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黑体" w:hAnsi="黑体" w:eastAsia="黑体" w:cs="Calibri"/>
          <w:kern w:val="0"/>
          <w:sz w:val="40"/>
          <w:szCs w:val="32"/>
        </w:rPr>
      </w:pPr>
      <w:bookmarkStart w:id="0" w:name="_GoBack"/>
      <w:bookmarkEnd w:id="0"/>
      <w:r>
        <w:rPr>
          <w:rFonts w:hint="eastAsia" w:ascii="黑体" w:hAnsi="黑体" w:eastAsia="黑体"/>
          <w:kern w:val="0"/>
          <w:sz w:val="29"/>
        </w:rPr>
        <w:t xml:space="preserve">附件 </w:t>
      </w:r>
    </w:p>
    <w:p>
      <w:pPr>
        <w:spacing w:line="5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县党政领导挂钩市县级安全生产红色隐患整改进展情况一览表</w:t>
      </w:r>
    </w:p>
    <w:p>
      <w:pPr>
        <w:spacing w:line="500" w:lineRule="exact"/>
        <w:jc w:val="center"/>
        <w:rPr>
          <w:rFonts w:ascii="仿宋_GB2312" w:hAnsi="宋体" w:eastAsia="仿宋_GB2312"/>
          <w:sz w:val="32"/>
          <w:szCs w:val="32"/>
        </w:rPr>
      </w:pPr>
      <w:r>
        <w:rPr>
          <w:rFonts w:hint="eastAsia" w:ascii="方正小标宋简体" w:hAnsi="宋体" w:eastAsia="方正小标宋简体" w:cs="宋体"/>
          <w:kern w:val="0"/>
          <w:sz w:val="44"/>
          <w:szCs w:val="44"/>
        </w:rPr>
        <w:t xml:space="preserve">            </w:t>
      </w:r>
      <w:r>
        <w:rPr>
          <w:rFonts w:hint="eastAsia" w:ascii="仿宋_GB2312" w:hAnsi="宋体" w:eastAsia="仿宋_GB2312" w:cs="宋体"/>
          <w:kern w:val="0"/>
          <w:sz w:val="32"/>
          <w:szCs w:val="32"/>
        </w:rPr>
        <w:t xml:space="preserve">                                                      2021年4月19日</w:t>
      </w:r>
    </w:p>
    <w:tbl>
      <w:tblPr>
        <w:tblStyle w:val="6"/>
        <w:tblW w:w="15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8"/>
        <w:gridCol w:w="5217"/>
        <w:gridCol w:w="709"/>
        <w:gridCol w:w="1134"/>
        <w:gridCol w:w="851"/>
        <w:gridCol w:w="1417"/>
        <w:gridCol w:w="38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序号</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问题隐患</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黑体" w:hAnsi="宋体" w:eastAsia="黑体" w:cs="宋体"/>
                <w:kern w:val="0"/>
                <w:szCs w:val="21"/>
              </w:rPr>
            </w:pPr>
            <w:r>
              <w:rPr>
                <w:rFonts w:hint="eastAsia" w:ascii="黑体" w:hAnsi="宋体" w:eastAsia="黑体" w:cs="宋体"/>
                <w:kern w:val="0"/>
                <w:szCs w:val="21"/>
              </w:rPr>
              <w:t>隐患</w:t>
            </w:r>
          </w:p>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类别</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整改时限</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黑体" w:hAnsi="宋体" w:eastAsia="黑体" w:cs="宋体"/>
                <w:kern w:val="0"/>
                <w:szCs w:val="21"/>
              </w:rPr>
            </w:pPr>
            <w:r>
              <w:rPr>
                <w:rFonts w:hint="eastAsia" w:ascii="黑体" w:hAnsi="宋体" w:eastAsia="黑体" w:cs="宋体"/>
                <w:kern w:val="0"/>
                <w:szCs w:val="21"/>
              </w:rPr>
              <w:t>县挂钩</w:t>
            </w:r>
          </w:p>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领导</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黑体" w:hAnsi="宋体" w:eastAsia="黑体" w:cs="宋体"/>
                <w:kern w:val="0"/>
                <w:szCs w:val="21"/>
              </w:rPr>
            </w:pPr>
            <w:r>
              <w:rPr>
                <w:rFonts w:hint="eastAsia" w:ascii="黑体" w:hAnsi="宋体" w:eastAsia="黑体" w:cs="宋体"/>
                <w:kern w:val="0"/>
                <w:szCs w:val="21"/>
              </w:rPr>
              <w:t>县牵头部门</w:t>
            </w:r>
          </w:p>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黑体" w:hAnsi="宋体" w:eastAsia="黑体" w:cs="宋体"/>
                <w:kern w:val="0"/>
                <w:szCs w:val="21"/>
              </w:rPr>
              <w:t>责任领导</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Calibri" w:hAnsi="宋体" w:eastAsia="黑体" w:cs="宋体"/>
                <w:kern w:val="0"/>
                <w:szCs w:val="21"/>
              </w:rPr>
            </w:pPr>
            <w:r>
              <w:rPr>
                <w:rFonts w:hint="eastAsia" w:ascii="黑体" w:hAnsi="宋体" w:eastAsia="黑体" w:cs="宋体"/>
                <w:kern w:val="0"/>
                <w:szCs w:val="21"/>
              </w:rPr>
              <w:t>整改进展情况</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rPr>
                <w:rFonts w:hint="default" w:ascii="Calibri" w:hAnsi="Calibri" w:eastAsia="黑体" w:cs="宋体"/>
                <w:kern w:val="0"/>
                <w:szCs w:val="21"/>
              </w:rPr>
            </w:pPr>
            <w:r>
              <w:rPr>
                <w:rFonts w:hint="eastAsia" w:ascii="Calibri" w:hAnsi="Calibri" w:eastAsia="黑体" w:cs="宋体"/>
                <w:kern w:val="0"/>
                <w:szCs w:val="21"/>
              </w:rPr>
              <w:t>是否按序时进度或整改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1</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380" w:lineRule="exact"/>
              <w:ind w:left="0" w:right="0"/>
              <w:jc w:val="left"/>
              <w:rPr>
                <w:rFonts w:hint="default" w:ascii="仿宋_GB2312" w:hAnsi="Calibri" w:eastAsia="仿宋_GB2312" w:cs="Calibri"/>
                <w:szCs w:val="21"/>
              </w:rPr>
            </w:pPr>
            <w:r>
              <w:rPr>
                <w:rFonts w:hint="eastAsia" w:ascii="仿宋_GB2312" w:eastAsia="仿宋_GB2312"/>
                <w:szCs w:val="21"/>
              </w:rPr>
              <w:t>长溪二桥位于G356线，中心桩号K239+188,该桥为钢筋水泥混凝土T型梁桥，共1跨。主要病害：桥面露骨、多处裂缝，排水设施及照明设施缺失，护栏多处倾斜断裂；桥梁上部结构中横向连接、梁底均开裂严重，支座均出现不同程度破损；桥梁下部结构中0#台、1#台均开裂。</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 w:val="18"/>
                <w:szCs w:val="18"/>
              </w:rPr>
            </w:pPr>
            <w:r>
              <w:rPr>
                <w:rFonts w:hint="eastAsia" w:ascii="仿宋_GB2312" w:eastAsia="仿宋_GB2312"/>
                <w:kern w:val="0"/>
                <w:sz w:val="18"/>
                <w:szCs w:val="18"/>
              </w:rPr>
              <w:t>（市级）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2021.6.30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陈文华</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县交通运输局</w:t>
            </w:r>
          </w:p>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郑际楷</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textAlignment w:val="center"/>
              <w:rPr>
                <w:rFonts w:hint="default" w:ascii="仿宋_GB2312" w:hAnsi="Calibri" w:eastAsia="仿宋_GB2312" w:cs="Calibri"/>
                <w:szCs w:val="21"/>
              </w:rPr>
            </w:pPr>
            <w:r>
              <w:rPr>
                <w:rFonts w:hint="eastAsia" w:ascii="仿宋_GB2312" w:hAnsi="Calibri" w:eastAsia="仿宋_GB2312" w:cs="Calibri"/>
                <w:szCs w:val="21"/>
              </w:rPr>
              <w:t>2020年11月13日启动</w:t>
            </w:r>
            <w:r>
              <w:rPr>
                <w:rFonts w:hint="eastAsia" w:ascii="仿宋_GB2312" w:eastAsia="仿宋_GB2312"/>
                <w:szCs w:val="21"/>
              </w:rPr>
              <w:t>长溪二桥危桥</w:t>
            </w:r>
            <w:r>
              <w:rPr>
                <w:rFonts w:hint="eastAsia" w:ascii="仿宋_GB2312" w:hAnsi="Calibri" w:eastAsia="仿宋_GB2312" w:cs="Calibri"/>
                <w:szCs w:val="21"/>
              </w:rPr>
              <w:t>加固改造工程，于2021年1月10日完成以下整改措施：1.预制、安装空心板梁；2.桥面铺装钢筋砼；3.两侧钢筋混凝土护栏防护；4.桥头两端破损路面修复。并于2月对工程进行验收。</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szCs w:val="21"/>
              </w:rPr>
            </w:pPr>
            <w:r>
              <w:rPr>
                <w:rFonts w:hint="eastAsia" w:ascii="仿宋_GB2312" w:hAnsi="Calibri" w:eastAsia="仿宋_GB2312" w:cs="Calibri"/>
                <w:szCs w:val="21"/>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2</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left"/>
              <w:textAlignment w:val="center"/>
              <w:rPr>
                <w:rFonts w:hint="default" w:ascii="仿宋_GB2312" w:hAnsi="Calibri" w:eastAsia="仿宋_GB2312" w:cs="Calibri"/>
                <w:kern w:val="0"/>
                <w:szCs w:val="21"/>
              </w:rPr>
            </w:pPr>
            <w:r>
              <w:rPr>
                <w:rStyle w:val="13"/>
                <w:rFonts w:hint="default"/>
                <w:color w:val="auto"/>
              </w:rPr>
              <w:t>福建省天利和矿业有限公司金竹坑水泥用灰岩矿“三同时”建设项目＋430m主井河对岸临时排土场堆置主巷道掘进废石约2.2万m</w:t>
            </w:r>
            <w:r>
              <w:rPr>
                <w:rStyle w:val="13"/>
                <w:rFonts w:hint="default"/>
                <w:color w:val="auto"/>
                <w:vertAlign w:val="superscript"/>
              </w:rPr>
              <w:t>3</w:t>
            </w:r>
            <w:r>
              <w:rPr>
                <w:rStyle w:val="13"/>
                <w:rFonts w:hint="default"/>
                <w:color w:val="auto"/>
              </w:rPr>
              <w:t>（排土线长约70m、宽约25m、高约13m），未砌筑拦碴坝，存在坍塌风险。</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 w:val="18"/>
                <w:szCs w:val="18"/>
              </w:rPr>
              <w:t>（市级）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林金龙</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县应急管理局</w:t>
            </w:r>
          </w:p>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魏初铭</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仿宋_GB2312" w:hAnsi="Calibri" w:eastAsia="仿宋_GB2312" w:cs="Calibri"/>
                <w:kern w:val="0"/>
                <w:szCs w:val="21"/>
              </w:rPr>
            </w:pPr>
            <w:r>
              <w:rPr>
                <w:rFonts w:hint="eastAsia" w:ascii="仿宋_GB2312" w:hAnsi="Calibri" w:eastAsia="仿宋_GB2312" w:cs="Calibri"/>
                <w:szCs w:val="21"/>
              </w:rPr>
              <w:t>于2021年2月3日制定了整改方案,1.排渣场外沿补砌拦渣坝；2.对台阶高度和坡面角超设计部分进行整改；3.严格按设计排渣顺序要求，由外往内逐层堆排。     如排渣场外沿征地遇到困难，要求排渣场内废石全部清空。</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hAnsi="Calibri" w:eastAsia="仿宋_GB2312" w:cs="Calibri"/>
                <w:kern w:val="0"/>
                <w:szCs w:val="21"/>
              </w:rPr>
            </w:pPr>
            <w:r>
              <w:rPr>
                <w:rFonts w:hint="eastAsia" w:ascii="仿宋_GB2312" w:hAnsi="Calibri" w:eastAsia="仿宋_GB2312" w:cs="Calibri"/>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3</w:t>
            </w:r>
          </w:p>
        </w:tc>
        <w:tc>
          <w:tcPr>
            <w:tcW w:w="5217"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rPr>
                <w:rFonts w:hint="default" w:ascii="仿宋_GB2312" w:cs="Times New Roman"/>
                <w:sz w:val="21"/>
                <w:szCs w:val="21"/>
              </w:rPr>
            </w:pPr>
            <w:r>
              <w:rPr>
                <w:rFonts w:hint="eastAsia" w:ascii="仿宋_GB2312" w:cs="Times New Roman"/>
                <w:sz w:val="21"/>
                <w:szCs w:val="21"/>
              </w:rPr>
              <w:t>永安煤业有限责任公司仙亭煤矿1号主仓皮带磨损老化严重。</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sz w:val="18"/>
                <w:szCs w:val="18"/>
              </w:rPr>
              <w:t>（县级）</w:t>
            </w:r>
          </w:p>
        </w:tc>
        <w:tc>
          <w:tcPr>
            <w:tcW w:w="1134"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2021.6.30</w:t>
            </w:r>
          </w:p>
        </w:tc>
        <w:tc>
          <w:tcPr>
            <w:tcW w:w="851" w:type="dxa"/>
            <w:tcBorders>
              <w:top w:val="single" w:color="auto" w:sz="4" w:space="0"/>
              <w:left w:val="nil"/>
              <w:bottom w:val="single" w:color="auto" w:sz="4" w:space="0"/>
              <w:right w:val="single" w:color="auto" w:sz="4" w:space="0"/>
            </w:tcBorders>
            <w:noWrap/>
            <w:vAlign w:val="center"/>
          </w:tcPr>
          <w:p>
            <w:pPr>
              <w:pStyle w:val="3"/>
              <w:keepNext w:val="0"/>
              <w:keepLines w:val="0"/>
              <w:suppressLineNumbers w:val="0"/>
              <w:autoSpaceDE w:val="0"/>
              <w:spacing w:before="0" w:beforeAutospacing="0" w:after="0" w:afterAutospacing="0"/>
              <w:ind w:left="0" w:right="0"/>
              <w:jc w:val="center"/>
              <w:rPr>
                <w:rFonts w:hint="default" w:ascii="仿宋_GB2312"/>
                <w:kern w:val="0"/>
                <w:sz w:val="21"/>
                <w:szCs w:val="21"/>
              </w:rPr>
            </w:pPr>
            <w:r>
              <w:rPr>
                <w:rFonts w:hint="eastAsia" w:ascii="仿宋_GB2312"/>
                <w:kern w:val="0"/>
                <w:sz w:val="21"/>
                <w:szCs w:val="21"/>
              </w:rPr>
              <w:t>陈文华</w:t>
            </w:r>
          </w:p>
        </w:tc>
        <w:tc>
          <w:tcPr>
            <w:tcW w:w="1417"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县工信局</w:t>
            </w:r>
          </w:p>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杨维瓦</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rPr>
                <w:rFonts w:hint="default" w:ascii="仿宋_GB2312" w:cs="Times New Roman"/>
                <w:szCs w:val="21"/>
              </w:rPr>
            </w:pPr>
            <w:r>
              <w:rPr>
                <w:rFonts w:hint="eastAsia" w:ascii="仿宋_GB2312" w:hAnsi="Calibri" w:eastAsia="仿宋_GB2312" w:cs="Calibri"/>
                <w:szCs w:val="21"/>
              </w:rPr>
              <w:t>仙亭煤矿已于2021年1月15日对矿井在用1号皮带机存在问题制定本整改方案，采购矿用阻燃型强力钢丝绳芯输送带予以更换，并于2021年4月完成整改措施。</w:t>
            </w:r>
          </w:p>
        </w:tc>
        <w:tc>
          <w:tcPr>
            <w:tcW w:w="1418"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hAnsi="Calibri" w:cs="Calibri"/>
                <w:kern w:val="2"/>
                <w:sz w:val="21"/>
                <w:szCs w:val="21"/>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4</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110kV梅林变右侧石英石加工厂防扬尘措施严重不足，石英石粉尘飘入变电站造成电器设备积尘、腐蚀、污闪放电，极易发生设备故障、保护误动等七级以上电网和设备事件隐患。</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林金龙</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供电公司</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尤国荣</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color w:val="000101"/>
                <w:spacing w:val="-10"/>
                <w:szCs w:val="21"/>
              </w:rPr>
            </w:pPr>
            <w:r>
              <w:rPr>
                <w:rFonts w:hint="eastAsia" w:ascii="仿宋_GB2312" w:hAnsi="Calibri" w:eastAsia="仿宋_GB2312" w:cs="Calibri"/>
                <w:szCs w:val="21"/>
              </w:rPr>
              <w:t>目前，业主已通过增加厂房内、外封堵（封闭厂房）、拆除厂房对外排气设备、厂房顶增加喷雾设备等四项防扬尘措施，下一步争取政府和环保部门的大力支持联合办公督促业主增加15米排气筒从根本上解决粉尘污染问题，防止发生电网及设备事件，电网安全稳定运行得到有效保障。</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5</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kern w:val="0"/>
                <w:szCs w:val="21"/>
              </w:rPr>
              <w:t>桃源镇杨坑村水库（C123 1.02km至1.435km）临水临崖路段:临水临崖，急弯，长下坡。</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Cs w:val="21"/>
              </w:rPr>
              <w:t>2021.10.30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夏寿南</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县交通运输局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郑际楷</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hAnsi="Calibri" w:eastAsia="仿宋_GB2312" w:cs="Calibri"/>
                <w:szCs w:val="21"/>
              </w:rPr>
              <w:t>目前已完成该路段施工图设计、招投标工作、错车道建设，目前按整改方案推进波形护栏增设、警示标志、凸型镜面设置。</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6</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建设镇满家乐超市无独立消控室，存在较大火灾事故隐患。</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2021.6.30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施正立</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县消防救援大队</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傅小军</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满家乐超市所在场所“三宝商业广场”已设置消防控制室，故满家乐超市无需独立设置消防控制室。下一步，将在协调和明确“三宝商业广场”消防控制室管理责任单位后，督促指导相关责任单位对现有消防控制室设施进行维修保养。</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7</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kern w:val="0"/>
                <w:szCs w:val="21"/>
              </w:rPr>
            </w:pPr>
            <w:r>
              <w:rPr>
                <w:rFonts w:hint="eastAsia" w:ascii="仿宋_GB2312" w:eastAsia="仿宋_GB2312"/>
                <w:szCs w:val="21"/>
              </w:rPr>
              <w:t>上京中学学校教学楼后坡土质松软，存在山体滑坡危险。</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黄  芳</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县教育局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涂建志</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因征地问题无法协商，3月10日上午，上京镇政府分管教育领导、设计单位、施工单位到现场实地考察，对原有的设计方案进行变更，待变更设计图纸出来，工程队马上跟进施工，预计在6月15日之前完工，在未开工之前，设立警戒线，每天安排一名行政和保安加强巡查。</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8</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文江中小学通往中心幼儿园道路（中心小学侧边）路边山体陡峭，存在山体滑坡危险。</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茅有温</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县教育局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涂建志</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rPr>
                <w:rFonts w:hint="default" w:ascii="仿宋_GB2312" w:hAnsi="Calibri" w:eastAsia="仿宋_GB2312" w:cs="Calibri"/>
                <w:szCs w:val="21"/>
              </w:rPr>
            </w:pPr>
            <w:r>
              <w:rPr>
                <w:rFonts w:hint="eastAsia" w:ascii="仿宋_GB2312" w:hAnsi="Calibri" w:eastAsia="仿宋_GB2312" w:cs="Calibri"/>
                <w:szCs w:val="21"/>
              </w:rPr>
              <w:t>已设立警戒线，每天安排值日行政和一名保安加强巡查。将隐患上报文江镇镇政府主要领导，争取协助隐患整改。</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9</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湖美乡湖上村七口池连接国道路口、大尤村蹦羊头矿山路口狭窄，遮挡来往车辆视线，易发生道路交通事故。</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2021.9.30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黄春明</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县交通运输局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郑际楷</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1.对</w:t>
            </w:r>
            <w:r>
              <w:rPr>
                <w:rFonts w:hint="eastAsia" w:ascii="仿宋_GB2312" w:eastAsia="仿宋_GB2312"/>
                <w:szCs w:val="21"/>
              </w:rPr>
              <w:t>湖美乡湖上村七口池连接国道路口采取设置反光警示柱、增设道路交通广角镜、增设减速带、增设“交叉路口、减速慢行”交通警示标志整改措施；2. 对大尤村蹦羊头矿山路口采取拓宽硬化路口路面整改措施。</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10</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高云水库输水隧洞存在漏水现象，影响隧洞运行安全。</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陈  磊</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县水利局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林建明</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已于21年2月23日制定整改方案，整改措施：1.由水库主管部门委托有资质第三方机构编制水库除险加固方案。2.水库主管部门把除险加固方案送水库行业主管部门审查。3.水库管理部门按照批复的方案进行大坝加固及放水涵洞改造。</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szCs w:val="21"/>
              </w:rPr>
            </w:pPr>
            <w:r>
              <w:rPr>
                <w:rFonts w:hint="eastAsia" w:ascii="仿宋_GB2312" w:eastAsia="仿宋_GB2312"/>
                <w:szCs w:val="21"/>
              </w:rPr>
              <w:t>11</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rPr>
                <w:rFonts w:hint="default" w:ascii="仿宋_GB2312" w:hAnsi="Calibri" w:eastAsia="仿宋_GB2312" w:cs="Calibri"/>
                <w:kern w:val="0"/>
                <w:szCs w:val="21"/>
              </w:rPr>
            </w:pPr>
            <w:r>
              <w:rPr>
                <w:rFonts w:hint="eastAsia" w:ascii="仿宋_GB2312" w:eastAsia="仿宋_GB2312"/>
                <w:szCs w:val="21"/>
              </w:rPr>
              <w:t>上京高速口（上互线）（X7B3 6.4km至6.75km）事故多发路段:高速互通口，车流量较大，下坡弯道、车速较快。</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2021.10.30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吴文旗</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kern w:val="0"/>
                <w:szCs w:val="21"/>
              </w:rPr>
            </w:pPr>
            <w:r>
              <w:rPr>
                <w:rFonts w:hint="eastAsia" w:ascii="仿宋_GB2312" w:eastAsia="仿宋_GB2312"/>
                <w:kern w:val="0"/>
                <w:szCs w:val="21"/>
              </w:rPr>
              <w:t>县交通运输局</w:t>
            </w:r>
          </w:p>
          <w:p>
            <w:pPr>
              <w:keepNext w:val="0"/>
              <w:keepLines w:val="0"/>
              <w:widowControl/>
              <w:suppressLineNumbers w:val="0"/>
              <w:autoSpaceDE w:val="0"/>
              <w:spacing w:before="0" w:beforeAutospacing="0" w:after="0" w:afterAutospacing="0"/>
              <w:ind w:left="0" w:right="0"/>
              <w:jc w:val="center"/>
              <w:textAlignment w:val="center"/>
              <w:rPr>
                <w:rFonts w:hint="default" w:ascii="仿宋_GB2312" w:hAnsi="Calibri" w:eastAsia="仿宋_GB2312" w:cs="Calibri"/>
                <w:szCs w:val="21"/>
              </w:rPr>
            </w:pPr>
            <w:r>
              <w:rPr>
                <w:rFonts w:hint="eastAsia" w:ascii="仿宋_GB2312" w:eastAsia="仿宋_GB2312"/>
                <w:kern w:val="0"/>
                <w:szCs w:val="21"/>
              </w:rPr>
              <w:t>郑际楷</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utoSpaceDE w:val="0"/>
              <w:spacing w:before="0" w:beforeAutospacing="0" w:after="0" w:afterAutospacing="0"/>
              <w:ind w:left="0" w:right="0"/>
              <w:jc w:val="left"/>
              <w:textAlignment w:val="center"/>
              <w:rPr>
                <w:rFonts w:hint="default" w:ascii="仿宋_GB2312" w:hAnsi="Calibri" w:eastAsia="仿宋_GB2312" w:cs="Calibri"/>
                <w:szCs w:val="21"/>
              </w:rPr>
            </w:pPr>
            <w:r>
              <w:rPr>
                <w:rFonts w:hint="eastAsia" w:ascii="仿宋_GB2312" w:hAnsi="Calibri" w:eastAsia="仿宋_GB2312" w:cs="Calibri"/>
                <w:szCs w:val="21"/>
              </w:rPr>
              <w:t>整治措施：1.在该路段增设震荡标线60平方米（该项已完成）；增设“下坡”和“慢”交通警示标志2面；3拆除养护路段波形护栏，公路边沟由矩形沟改造成安保型边沟。</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12</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default"/>
              </w:rPr>
              <w:fldChar w:fldCharType="begin"/>
            </w:r>
            <w:r>
              <w:rPr>
                <w:rFonts w:hint="default"/>
              </w:rPr>
              <w:instrText xml:space="preserve"> HYPERLINK "http://59.204.128.132:81/JCSJPage/DWGLPage/DWXXSearchPage.aspx" \o "安全责任人：施友团
安全管理人：范永炫
管理人电话：15859835449
单位其他情况：人员密集场所
使用名称：冠超市" </w:instrText>
            </w:r>
            <w:r>
              <w:rPr>
                <w:rFonts w:hint="default"/>
              </w:rPr>
              <w:fldChar w:fldCharType="separate"/>
            </w:r>
            <w:r>
              <w:rPr>
                <w:rFonts w:hint="eastAsia" w:ascii="仿宋_GB2312" w:eastAsia="仿宋_GB2312"/>
                <w:szCs w:val="21"/>
              </w:rPr>
              <w:t>大田县冠超商贸有限公司</w:t>
            </w:r>
            <w:r>
              <w:rPr>
                <w:rFonts w:hint="eastAsia" w:ascii="仿宋_GB2312" w:eastAsia="仿宋_GB2312"/>
                <w:szCs w:val="21"/>
              </w:rPr>
              <w:fldChar w:fldCharType="end"/>
            </w:r>
            <w:r>
              <w:rPr>
                <w:rFonts w:hint="eastAsia" w:ascii="仿宋_GB2312" w:eastAsia="仿宋_GB2312"/>
                <w:szCs w:val="21"/>
              </w:rPr>
              <w:t>：（1）冷库与仓库防火分隔设置不符合要求；（2）设备用房堆放可燃物；（3）地下室入口处下方未设置喷淋；（4）仓库内设置排气扇破坏防火分隔；（5）超市服务台边设置仓储区，未进行防火分隔；（6）员工消防安全教育培训不足。</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2021.6.30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詹冬华</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县商务局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苏</w:t>
            </w:r>
            <w:r>
              <w:rPr>
                <w:rFonts w:hint="eastAsia" w:ascii="仿宋_GB2312"/>
                <w:szCs w:val="21"/>
              </w:rPr>
              <w:t>祎</w:t>
            </w:r>
            <w:r>
              <w:rPr>
                <w:rFonts w:hint="eastAsia" w:ascii="仿宋_GB2312" w:eastAsia="仿宋_GB2312"/>
                <w:szCs w:val="21"/>
              </w:rPr>
              <w:t>群</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已于2021年3月完成下列整改措施：1.要求根据冷库与仓库的防火分隔规范要求进行分隔；2.要求福建冠业投资发展有限公司大田店负责人对设备用房堆放可燃物进行清理，确保设备用房内无可燃、易燃物并保持干净整洁；3.要求严格按照消防规范对地下室入口处下方安装喷淋头；4.要求对仓库内设置的排气扇按照市、县消防救援大队提出的整改要求进行整改，严格按照建筑防火规范要求进行整改；5.要求对超市服务台边设置仓储区进行清除；6.要求企业加强对员工的业务培训，定期组织业务学习，组织开展消防应急演练加强员工的安全意识。</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13</w:t>
            </w:r>
          </w:p>
        </w:tc>
        <w:tc>
          <w:tcPr>
            <w:tcW w:w="5217"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rPr>
                <w:rFonts w:hint="default" w:ascii="仿宋_GB2312" w:cs="Times New Roman"/>
                <w:sz w:val="21"/>
                <w:szCs w:val="21"/>
              </w:rPr>
            </w:pPr>
            <w:r>
              <w:rPr>
                <w:rFonts w:hint="eastAsia" w:ascii="仿宋_GB2312" w:cs="Times New Roman"/>
                <w:sz w:val="21"/>
                <w:szCs w:val="21"/>
              </w:rPr>
              <w:t>大田县山贵崎煤矿有限公司矿井在用空气压缩机房没有实现无人值守，未设置远程控制软件和主机。</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sz w:val="18"/>
                <w:szCs w:val="18"/>
              </w:rPr>
              <w:t>（县级）</w:t>
            </w:r>
          </w:p>
        </w:tc>
        <w:tc>
          <w:tcPr>
            <w:tcW w:w="1134"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2021.10.30</w:t>
            </w:r>
          </w:p>
        </w:tc>
        <w:tc>
          <w:tcPr>
            <w:tcW w:w="851"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姜  妍</w:t>
            </w:r>
          </w:p>
        </w:tc>
        <w:tc>
          <w:tcPr>
            <w:tcW w:w="1417" w:type="dxa"/>
            <w:tcBorders>
              <w:top w:val="single" w:color="auto" w:sz="4" w:space="0"/>
              <w:left w:val="nil"/>
              <w:bottom w:val="single" w:color="auto" w:sz="4" w:space="0"/>
              <w:right w:val="single" w:color="auto" w:sz="4" w:space="0"/>
            </w:tcBorders>
            <w:noWrap/>
            <w:vAlign w:val="center"/>
          </w:tcPr>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县工信局</w:t>
            </w:r>
          </w:p>
          <w:p>
            <w:pPr>
              <w:pStyle w:val="12"/>
              <w:keepNext w:val="0"/>
              <w:keepLines w:val="0"/>
              <w:widowControl w:val="0"/>
              <w:suppressLineNumbers w:val="0"/>
              <w:autoSpaceDE w:val="0"/>
              <w:spacing w:before="0" w:beforeAutospacing="0" w:after="0" w:afterAutospacing="0"/>
              <w:ind w:left="0" w:right="0"/>
              <w:jc w:val="center"/>
              <w:rPr>
                <w:rFonts w:hint="default" w:ascii="仿宋_GB2312" w:cs="Times New Roman"/>
                <w:sz w:val="21"/>
                <w:szCs w:val="21"/>
              </w:rPr>
            </w:pPr>
            <w:r>
              <w:rPr>
                <w:rFonts w:hint="eastAsia" w:ascii="仿宋_GB2312" w:cs="Times New Roman"/>
                <w:sz w:val="21"/>
                <w:szCs w:val="21"/>
              </w:rPr>
              <w:t>杨维瓦</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jc w:val="left"/>
              <w:rPr>
                <w:rFonts w:hint="default" w:ascii="仿宋_GB2312" w:cs="Times New Roman"/>
                <w:szCs w:val="21"/>
              </w:rPr>
            </w:pPr>
            <w:r>
              <w:rPr>
                <w:rFonts w:hint="eastAsia" w:ascii="仿宋_GB2312" w:hAnsi="Calibri" w:eastAsia="仿宋_GB2312" w:cs="Calibri"/>
                <w:szCs w:val="21"/>
              </w:rPr>
              <w:t>1.+675井口调度室新加工一张操作台；2.调度室与空压机房间（90米）架设一条光纤线；3.1台BKL132-8GH空压机进行控制器改造后和2台MG-250A/8kg空压机联并，经光纤输送到调度室主机，进行远程监控和操作。实现在用空气压缩机房无人值守。</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14</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“第二集美学村”部分建筑：（1）堆积易燃物品；（2）存在住户使用明火和大功率电器的情况；（3）部分电线线路老化。</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陈博天</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县文旅局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叶增稳</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大田县“第二集美学村”保护与开发工作指挥部和均溪镇人民政府已着手分批实施旧址群文物消防提升改造工程，已设置一处微型消防站，统一铺设烛台瓷砖，配置30个鞭炮燃放铁桶，将对老旧电线、开关等电器进行套管改造并安装烟感报警器、监控等。目前已完成16处文保单位的消防施工图纸设计，现已完成招投标工作，由于工程经费严重不足，指挥部正在向相关单位申请消防专项配套设施经费，预计2021年4月可进行老旧电线、电源开关、烟感报警器及监控设施的改造安装，工期时常为90天。旧址内各文物点的杂物堆积问题，具体工作由均溪镇人民政府、玉田村民委员会负责。</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15</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szCs w:val="21"/>
              </w:rPr>
            </w:pPr>
            <w:r>
              <w:rPr>
                <w:rFonts w:hint="eastAsia" w:ascii="仿宋_GB2312" w:eastAsia="仿宋_GB2312"/>
                <w:szCs w:val="21"/>
              </w:rPr>
              <w:t>大田县明都矿业有限公司尾矿库</w:t>
            </w:r>
            <w:r>
              <w:rPr>
                <w:rFonts w:hint="eastAsia" w:ascii="仿宋_GB2312" w:eastAsia="仿宋_GB2312"/>
                <w:kern w:val="0"/>
                <w:szCs w:val="21"/>
              </w:rPr>
              <w:t>长期停产，库区汇水面积大，存在漫坝风险。</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szCs w:val="21"/>
              </w:rPr>
              <w:t>2021.6.30</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Cs w:val="21"/>
              </w:rPr>
              <w:t>黄和新</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县应急管理局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szCs w:val="21"/>
              </w:rPr>
            </w:pPr>
            <w:r>
              <w:rPr>
                <w:rFonts w:hint="eastAsia" w:ascii="仿宋_GB2312" w:eastAsia="仿宋_GB2312"/>
                <w:kern w:val="0"/>
                <w:szCs w:val="21"/>
              </w:rPr>
              <w:t>魏初铭</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仿宋_GB2312" w:hAnsi="Calibri" w:eastAsia="仿宋_GB2312" w:cs="Calibri"/>
                <w:szCs w:val="21"/>
              </w:rPr>
            </w:pPr>
            <w:r>
              <w:rPr>
                <w:rFonts w:hint="eastAsia" w:ascii="仿宋_GB2312" w:hAnsi="Calibri" w:eastAsia="仿宋_GB2312" w:cs="Calibri"/>
                <w:szCs w:val="21"/>
              </w:rPr>
              <w:t>已于2021年4月完成以下整改措施：1.委托海湾工程有限公司编制闭库设计方案，并通过专家审查，计划于4月10日前完成；2.尾矿堆积坝及滩面平整；3.排洪系统和滩面排水系统建设；4.完善观测设施。</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Calibri" w:eastAsia="仿宋_GB2312" w:cs="Calibri"/>
                <w:szCs w:val="21"/>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4" w:hRule="atLeast"/>
        </w:trPr>
        <w:tc>
          <w:tcPr>
            <w:tcW w:w="57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16</w:t>
            </w:r>
          </w:p>
        </w:tc>
        <w:tc>
          <w:tcPr>
            <w:tcW w:w="52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kern w:val="0"/>
                <w:szCs w:val="21"/>
              </w:rPr>
            </w:pPr>
            <w:r>
              <w:rPr>
                <w:rFonts w:hint="eastAsia" w:ascii="仿宋_GB2312" w:eastAsia="仿宋_GB2312"/>
                <w:szCs w:val="21"/>
              </w:rPr>
              <w:t>大田县新岩水泥有限公司梅林石灰石矿中洋9号矿井上部发生地表开裂塌陷，造成10kV同杆架设线路（灵川线、梅林线）7至9号杆、35kV林谷4号杆和110kV梅谷4号杆倾斜，存在重大生产安全事故隐患。</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80" w:lineRule="exact"/>
              <w:ind w:left="0" w:right="0"/>
              <w:jc w:val="center"/>
              <w:textAlignment w:val="center"/>
              <w:rPr>
                <w:rFonts w:hint="default" w:ascii="仿宋_GB2312" w:eastAsia="仿宋_GB2312"/>
                <w:kern w:val="0"/>
                <w:szCs w:val="21"/>
              </w:rPr>
            </w:pPr>
            <w:r>
              <w:rPr>
                <w:rFonts w:hint="eastAsia" w:ascii="仿宋_GB2312" w:eastAsia="仿宋_GB2312"/>
                <w:kern w:val="0"/>
                <w:szCs w:val="21"/>
              </w:rPr>
              <w:t>红色</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 w:val="18"/>
                <w:szCs w:val="18"/>
              </w:rPr>
              <w:t>（</w:t>
            </w:r>
            <w:r>
              <w:rPr>
                <w:rFonts w:hint="eastAsia" w:ascii="仿宋_GB2312"/>
                <w:sz w:val="18"/>
                <w:szCs w:val="18"/>
              </w:rPr>
              <w:t>县</w:t>
            </w:r>
            <w:r>
              <w:rPr>
                <w:rFonts w:hint="eastAsia" w:ascii="仿宋_GB2312" w:eastAsia="仿宋_GB2312"/>
                <w:kern w:val="0"/>
                <w:sz w:val="18"/>
                <w:szCs w:val="18"/>
              </w:rPr>
              <w:t>级）</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szCs w:val="21"/>
              </w:rPr>
              <w:t>2021.12.31</w:t>
            </w:r>
          </w:p>
        </w:tc>
        <w:tc>
          <w:tcPr>
            <w:tcW w:w="851"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陈秀达</w:t>
            </w:r>
          </w:p>
        </w:tc>
        <w:tc>
          <w:tcPr>
            <w:tcW w:w="1417"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县应急管理局</w:t>
            </w:r>
          </w:p>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eastAsia="仿宋_GB2312"/>
                <w:kern w:val="0"/>
                <w:szCs w:val="21"/>
              </w:rPr>
              <w:t>魏初铭</w:t>
            </w:r>
          </w:p>
        </w:tc>
        <w:tc>
          <w:tcPr>
            <w:tcW w:w="382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jc w:val="left"/>
              <w:rPr>
                <w:rFonts w:hint="default" w:ascii="仿宋_GB2312" w:hAnsi="Calibri" w:eastAsia="仿宋_GB2312" w:cs="Calibri"/>
                <w:szCs w:val="21"/>
              </w:rPr>
            </w:pPr>
            <w:r>
              <w:rPr>
                <w:rFonts w:hint="eastAsia" w:ascii="仿宋_GB2312" w:hAnsi="Calibri" w:eastAsia="仿宋_GB2312" w:cs="Calibri"/>
                <w:szCs w:val="21"/>
              </w:rPr>
              <w:t>1.已完成对地表大的裂缝采用塑料薄膜进行覆盖，防止雨水灌入，同时已经与林场协商，林场履行必要的林木砍伐OA审批程序后，聘请有相关资质的施工队将该区域林木进行砍伐，使用钩机覆土填埋压实，植树绿化，达到自然生态治理效果。</w:t>
            </w:r>
          </w:p>
          <w:p>
            <w:pPr>
              <w:keepNext w:val="0"/>
              <w:keepLines w:val="0"/>
              <w:suppressLineNumbers w:val="0"/>
              <w:autoSpaceDE w:val="0"/>
              <w:spacing w:before="0" w:beforeAutospacing="0" w:after="0" w:afterAutospacing="0"/>
              <w:ind w:left="0" w:right="0"/>
              <w:jc w:val="left"/>
              <w:rPr>
                <w:rFonts w:hint="default" w:ascii="仿宋_GB2312" w:hAnsi="Calibri" w:eastAsia="仿宋_GB2312" w:cs="Calibri"/>
                <w:kern w:val="0"/>
                <w:szCs w:val="21"/>
              </w:rPr>
            </w:pPr>
            <w:r>
              <w:rPr>
                <w:rFonts w:hint="eastAsia" w:ascii="仿宋_GB2312" w:hAnsi="Calibri" w:eastAsia="仿宋_GB2312" w:cs="Calibri"/>
                <w:szCs w:val="21"/>
              </w:rPr>
              <w:t>2. 由于原9#硐的主运输斜坡道从塌陷区下方穿过，考虑到安全因素目前无法通行，但矿山作为水泥厂的配备矿山，导致水泥厂的石灰石矿严重不足，因此采取如下完善配套措施：(1)根据矿山开采现状，现委托福建省华夏设计院院结合矿山实际情况对中洋矿井进行改建设计；（2）主要运输巷道治理。对9#硐地表硐口和井下+651m往斜坡道方向设置两道</w:t>
            </w:r>
            <w:r>
              <w:rPr>
                <w:rFonts w:hint="default" w:ascii="仿宋_GB2312" w:hAnsi="Calibri" w:eastAsia="仿宋_GB2312" w:cs="Calibri"/>
                <w:szCs w:val="21"/>
              </w:rPr>
              <w:t>混凝土密闭墙</w:t>
            </w:r>
            <w:r>
              <w:rPr>
                <w:rFonts w:hint="eastAsia" w:ascii="仿宋_GB2312" w:hAnsi="Calibri" w:eastAsia="仿宋_GB2312" w:cs="Calibri"/>
                <w:szCs w:val="21"/>
              </w:rPr>
              <w:t>进行封堵，以避开塌陷区域</w:t>
            </w:r>
            <w:r>
              <w:rPr>
                <w:rFonts w:hint="default" w:ascii="仿宋_GB2312" w:hAnsi="Calibri" w:eastAsia="仿宋_GB2312" w:cs="Calibri"/>
                <w:szCs w:val="21"/>
              </w:rPr>
              <w:t>，</w:t>
            </w:r>
            <w:r>
              <w:rPr>
                <w:rFonts w:hint="eastAsia" w:ascii="仿宋_GB2312" w:hAnsi="Calibri" w:eastAsia="仿宋_GB2312" w:cs="Calibri"/>
                <w:szCs w:val="21"/>
              </w:rPr>
              <w:t>两</w:t>
            </w:r>
            <w:r>
              <w:rPr>
                <w:rFonts w:hint="default" w:ascii="仿宋_GB2312" w:hAnsi="Calibri" w:eastAsia="仿宋_GB2312" w:cs="Calibri"/>
                <w:szCs w:val="21"/>
              </w:rPr>
              <w:t>道密闭墙距离为5</w:t>
            </w:r>
            <w:r>
              <w:rPr>
                <w:rFonts w:hint="eastAsia" w:ascii="仿宋_GB2312" w:hAnsi="Calibri" w:eastAsia="仿宋_GB2312" w:cs="Calibri"/>
                <w:szCs w:val="21"/>
              </w:rPr>
              <w:t>-10</w:t>
            </w:r>
            <w:r>
              <w:rPr>
                <w:rFonts w:hint="default" w:ascii="仿宋_GB2312" w:hAnsi="Calibri" w:eastAsia="仿宋_GB2312" w:cs="Calibri"/>
                <w:szCs w:val="21"/>
              </w:rPr>
              <w:t>m，并在其间采用废石碴进行充填</w:t>
            </w:r>
            <w:r>
              <w:rPr>
                <w:rFonts w:hint="eastAsia" w:ascii="仿宋_GB2312" w:hAnsi="Calibri" w:eastAsia="仿宋_GB2312" w:cs="Calibri"/>
                <w:szCs w:val="21"/>
              </w:rPr>
              <w:t>；3.制定地表塌陷区拟采取的治理方案及治理安全措施。</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spacing w:before="0" w:beforeAutospacing="0" w:after="0" w:afterAutospacing="0"/>
              <w:ind w:left="0" w:right="0"/>
              <w:jc w:val="center"/>
              <w:rPr>
                <w:rFonts w:hint="default" w:ascii="仿宋_GB2312" w:hAnsi="Calibri" w:eastAsia="仿宋_GB2312" w:cs="Calibri"/>
                <w:kern w:val="0"/>
                <w:szCs w:val="21"/>
              </w:rPr>
            </w:pPr>
            <w:r>
              <w:rPr>
                <w:rFonts w:hint="eastAsia" w:ascii="仿宋_GB2312" w:hAnsi="Calibri" w:eastAsia="仿宋_GB2312" w:cs="Calibri"/>
                <w:szCs w:val="21"/>
              </w:rPr>
              <w:t>是</w:t>
            </w:r>
          </w:p>
        </w:tc>
      </w:tr>
    </w:tbl>
    <w:p>
      <w:pPr>
        <w:rPr>
          <w:rFonts w:ascii="仿宋_GB2312" w:eastAsia="仿宋_GB2312"/>
          <w:sz w:val="32"/>
          <w:szCs w:val="32"/>
        </w:rPr>
      </w:pPr>
    </w:p>
    <w:sectPr>
      <w:footerReference r:id="rId3" w:type="default"/>
      <w:pgSz w:w="16838" w:h="11906" w:orient="landscape"/>
      <w:pgMar w:top="1418" w:right="1077" w:bottom="1418" w:left="107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12724"/>
    <w:rsid w:val="000018CC"/>
    <w:rsid w:val="00014918"/>
    <w:rsid w:val="0001767B"/>
    <w:rsid w:val="00041782"/>
    <w:rsid w:val="0004244F"/>
    <w:rsid w:val="00044272"/>
    <w:rsid w:val="00074BE8"/>
    <w:rsid w:val="000A7B41"/>
    <w:rsid w:val="000B010E"/>
    <w:rsid w:val="000B4396"/>
    <w:rsid w:val="000C2B22"/>
    <w:rsid w:val="000D49E9"/>
    <w:rsid w:val="00101104"/>
    <w:rsid w:val="00107F8A"/>
    <w:rsid w:val="001229CB"/>
    <w:rsid w:val="00123A1A"/>
    <w:rsid w:val="00130B1C"/>
    <w:rsid w:val="001316C1"/>
    <w:rsid w:val="00136010"/>
    <w:rsid w:val="00153A83"/>
    <w:rsid w:val="00187741"/>
    <w:rsid w:val="00192D1D"/>
    <w:rsid w:val="001A00C7"/>
    <w:rsid w:val="001B0C9B"/>
    <w:rsid w:val="001D18E7"/>
    <w:rsid w:val="001E04C7"/>
    <w:rsid w:val="001F7A12"/>
    <w:rsid w:val="001F7A36"/>
    <w:rsid w:val="00210989"/>
    <w:rsid w:val="00225495"/>
    <w:rsid w:val="00241698"/>
    <w:rsid w:val="0024577C"/>
    <w:rsid w:val="00247B13"/>
    <w:rsid w:val="00261343"/>
    <w:rsid w:val="00265254"/>
    <w:rsid w:val="00266724"/>
    <w:rsid w:val="0029665A"/>
    <w:rsid w:val="002A245A"/>
    <w:rsid w:val="002A5DCD"/>
    <w:rsid w:val="002B0FD5"/>
    <w:rsid w:val="002B1FA5"/>
    <w:rsid w:val="002B33A3"/>
    <w:rsid w:val="002D5881"/>
    <w:rsid w:val="00313F20"/>
    <w:rsid w:val="00324E2D"/>
    <w:rsid w:val="00332245"/>
    <w:rsid w:val="00344523"/>
    <w:rsid w:val="00363887"/>
    <w:rsid w:val="00381603"/>
    <w:rsid w:val="00382606"/>
    <w:rsid w:val="00392018"/>
    <w:rsid w:val="00396CCA"/>
    <w:rsid w:val="00397151"/>
    <w:rsid w:val="003A019C"/>
    <w:rsid w:val="003A3D01"/>
    <w:rsid w:val="003B04C2"/>
    <w:rsid w:val="003C28F1"/>
    <w:rsid w:val="003E06A0"/>
    <w:rsid w:val="003F1048"/>
    <w:rsid w:val="004068A0"/>
    <w:rsid w:val="00433200"/>
    <w:rsid w:val="0043325B"/>
    <w:rsid w:val="00480724"/>
    <w:rsid w:val="004C58A6"/>
    <w:rsid w:val="004C7878"/>
    <w:rsid w:val="00512122"/>
    <w:rsid w:val="00512407"/>
    <w:rsid w:val="005135CB"/>
    <w:rsid w:val="00524998"/>
    <w:rsid w:val="0055388C"/>
    <w:rsid w:val="00564245"/>
    <w:rsid w:val="00574C0E"/>
    <w:rsid w:val="00582392"/>
    <w:rsid w:val="00582DA3"/>
    <w:rsid w:val="00584696"/>
    <w:rsid w:val="00591477"/>
    <w:rsid w:val="005C4CAF"/>
    <w:rsid w:val="005D4DAD"/>
    <w:rsid w:val="00612724"/>
    <w:rsid w:val="00631952"/>
    <w:rsid w:val="00664EA1"/>
    <w:rsid w:val="00697186"/>
    <w:rsid w:val="006A247E"/>
    <w:rsid w:val="006B05B1"/>
    <w:rsid w:val="006D5599"/>
    <w:rsid w:val="006D7722"/>
    <w:rsid w:val="006F36E6"/>
    <w:rsid w:val="006F6FC2"/>
    <w:rsid w:val="00721AB5"/>
    <w:rsid w:val="007352EB"/>
    <w:rsid w:val="007429EC"/>
    <w:rsid w:val="007458CF"/>
    <w:rsid w:val="007567BC"/>
    <w:rsid w:val="00756A35"/>
    <w:rsid w:val="00760E34"/>
    <w:rsid w:val="0076718E"/>
    <w:rsid w:val="00772C06"/>
    <w:rsid w:val="007821A6"/>
    <w:rsid w:val="007833C6"/>
    <w:rsid w:val="00787788"/>
    <w:rsid w:val="00796BA1"/>
    <w:rsid w:val="007A5AC7"/>
    <w:rsid w:val="007A6DB6"/>
    <w:rsid w:val="007B5ED1"/>
    <w:rsid w:val="007D5E55"/>
    <w:rsid w:val="00814CDD"/>
    <w:rsid w:val="00823531"/>
    <w:rsid w:val="008656CA"/>
    <w:rsid w:val="00874D6F"/>
    <w:rsid w:val="008841F4"/>
    <w:rsid w:val="00885060"/>
    <w:rsid w:val="00893B39"/>
    <w:rsid w:val="008D072B"/>
    <w:rsid w:val="008E348F"/>
    <w:rsid w:val="008F0B54"/>
    <w:rsid w:val="009206D6"/>
    <w:rsid w:val="00923C6B"/>
    <w:rsid w:val="0093397E"/>
    <w:rsid w:val="00935BB0"/>
    <w:rsid w:val="00940F6A"/>
    <w:rsid w:val="0096021D"/>
    <w:rsid w:val="00964DAF"/>
    <w:rsid w:val="009937AA"/>
    <w:rsid w:val="009A734A"/>
    <w:rsid w:val="009B16B0"/>
    <w:rsid w:val="009C7551"/>
    <w:rsid w:val="009E2C0E"/>
    <w:rsid w:val="00A1408D"/>
    <w:rsid w:val="00A21B74"/>
    <w:rsid w:val="00A40CAB"/>
    <w:rsid w:val="00A41AED"/>
    <w:rsid w:val="00A4607F"/>
    <w:rsid w:val="00A50E2B"/>
    <w:rsid w:val="00A53F36"/>
    <w:rsid w:val="00A76923"/>
    <w:rsid w:val="00A9307D"/>
    <w:rsid w:val="00AA1834"/>
    <w:rsid w:val="00AA5D28"/>
    <w:rsid w:val="00AC5809"/>
    <w:rsid w:val="00AD341A"/>
    <w:rsid w:val="00AE6801"/>
    <w:rsid w:val="00AE73AA"/>
    <w:rsid w:val="00AF33B4"/>
    <w:rsid w:val="00AF4EB1"/>
    <w:rsid w:val="00B138C8"/>
    <w:rsid w:val="00B41EC9"/>
    <w:rsid w:val="00B51996"/>
    <w:rsid w:val="00B5453C"/>
    <w:rsid w:val="00B807A9"/>
    <w:rsid w:val="00B8246B"/>
    <w:rsid w:val="00B95AA5"/>
    <w:rsid w:val="00BA31C3"/>
    <w:rsid w:val="00BA3360"/>
    <w:rsid w:val="00BA4F3A"/>
    <w:rsid w:val="00BA7DF5"/>
    <w:rsid w:val="00BB4B89"/>
    <w:rsid w:val="00BB6125"/>
    <w:rsid w:val="00BC4E92"/>
    <w:rsid w:val="00C11F40"/>
    <w:rsid w:val="00C2567F"/>
    <w:rsid w:val="00C369F7"/>
    <w:rsid w:val="00C474B5"/>
    <w:rsid w:val="00C61091"/>
    <w:rsid w:val="00C66124"/>
    <w:rsid w:val="00C665B1"/>
    <w:rsid w:val="00C834D5"/>
    <w:rsid w:val="00C84449"/>
    <w:rsid w:val="00CA0082"/>
    <w:rsid w:val="00CB197F"/>
    <w:rsid w:val="00CC450F"/>
    <w:rsid w:val="00CD094F"/>
    <w:rsid w:val="00CE2FAE"/>
    <w:rsid w:val="00CE6F98"/>
    <w:rsid w:val="00D1116D"/>
    <w:rsid w:val="00D137D5"/>
    <w:rsid w:val="00D17423"/>
    <w:rsid w:val="00D3047E"/>
    <w:rsid w:val="00D47BE1"/>
    <w:rsid w:val="00D55953"/>
    <w:rsid w:val="00D64C85"/>
    <w:rsid w:val="00D75A8D"/>
    <w:rsid w:val="00D80CAF"/>
    <w:rsid w:val="00D8577C"/>
    <w:rsid w:val="00DA5D76"/>
    <w:rsid w:val="00DC47E8"/>
    <w:rsid w:val="00DC5FEF"/>
    <w:rsid w:val="00DD2EE1"/>
    <w:rsid w:val="00DF30EB"/>
    <w:rsid w:val="00DF36A3"/>
    <w:rsid w:val="00E04748"/>
    <w:rsid w:val="00E64AA8"/>
    <w:rsid w:val="00E66F11"/>
    <w:rsid w:val="00E8082B"/>
    <w:rsid w:val="00E86FE7"/>
    <w:rsid w:val="00EA55C6"/>
    <w:rsid w:val="00EB4DD8"/>
    <w:rsid w:val="00EC721E"/>
    <w:rsid w:val="00EE7D1A"/>
    <w:rsid w:val="00F03466"/>
    <w:rsid w:val="00F0626E"/>
    <w:rsid w:val="00F075D5"/>
    <w:rsid w:val="00F1751A"/>
    <w:rsid w:val="00F305C5"/>
    <w:rsid w:val="00F33320"/>
    <w:rsid w:val="00F335D3"/>
    <w:rsid w:val="00F35B67"/>
    <w:rsid w:val="00F43439"/>
    <w:rsid w:val="00F45822"/>
    <w:rsid w:val="00F47A69"/>
    <w:rsid w:val="00F507E1"/>
    <w:rsid w:val="00F76DBA"/>
    <w:rsid w:val="00F82695"/>
    <w:rsid w:val="00FA3798"/>
    <w:rsid w:val="00FB0131"/>
    <w:rsid w:val="00FB44FE"/>
    <w:rsid w:val="00FB512E"/>
    <w:rsid w:val="00FF0903"/>
    <w:rsid w:val="00FF112C"/>
    <w:rsid w:val="00FF36CC"/>
    <w:rsid w:val="00FF3F87"/>
    <w:rsid w:val="00FF484A"/>
    <w:rsid w:val="10BF2D5B"/>
    <w:rsid w:val="14690D1D"/>
    <w:rsid w:val="2CFF4CFC"/>
    <w:rsid w:val="417245D3"/>
    <w:rsid w:val="475330C2"/>
    <w:rsid w:val="4A9F51CD"/>
    <w:rsid w:val="5D39174D"/>
    <w:rsid w:val="66E43857"/>
    <w:rsid w:val="69FC7F21"/>
    <w:rsid w:val="6B550FED"/>
    <w:rsid w:val="7FEC0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unhideWhenUsed/>
    <w:qFormat/>
    <w:uiPriority w:val="99"/>
    <w:rPr>
      <w:rFonts w:ascii="Calibri" w:hAnsi="Calibri" w:eastAsia="仿宋_GB2312" w:cs="Calibri"/>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2"/>
    <w:semiHidden/>
    <w:uiPriority w:val="99"/>
  </w:style>
  <w:style w:type="paragraph" w:customStyle="1" w:styleId="12">
    <w:name w:val="p0"/>
    <w:basedOn w:val="1"/>
    <w:qFormat/>
    <w:uiPriority w:val="0"/>
    <w:pPr>
      <w:widowControl/>
      <w:spacing w:before="100" w:beforeAutospacing="1" w:after="100" w:afterAutospacing="1" w:line="360" w:lineRule="atLeast"/>
      <w:jc w:val="left"/>
    </w:pPr>
    <w:rPr>
      <w:rFonts w:ascii="宋体" w:hAnsi="宋体" w:eastAsia="仿宋_GB2312" w:cs="宋体"/>
      <w:kern w:val="0"/>
      <w:sz w:val="24"/>
      <w:szCs w:val="20"/>
    </w:rPr>
  </w:style>
  <w:style w:type="character" w:customStyle="1" w:styleId="13">
    <w:name w:val="15"/>
    <w:basedOn w:val="7"/>
    <w:uiPriority w:val="0"/>
    <w:rPr>
      <w:rFonts w:hint="eastAsia" w:ascii="仿宋_GB2312" w:eastAsia="仿宋_GB2312"/>
      <w:color w:val="FF0000"/>
      <w:sz w:val="21"/>
      <w:szCs w:val="21"/>
    </w:rPr>
  </w:style>
  <w:style w:type="character" w:customStyle="1" w:styleId="14">
    <w:name w:val="批注框文本 Char"/>
    <w:basedOn w:val="7"/>
    <w:link w:val="3"/>
    <w:uiPriority w:val="99"/>
    <w:rPr>
      <w:rFonts w:ascii="Calibri" w:hAnsi="Calibri" w:eastAsia="仿宋_GB2312" w:cs="Calibri"/>
      <w:kern w:val="2"/>
      <w:sz w:val="18"/>
      <w:szCs w:val="18"/>
    </w:rPr>
  </w:style>
  <w:style w:type="paragraph" w:customStyle="1" w:styleId="15">
    <w:name w:val="Default"/>
    <w:basedOn w:val="1"/>
    <w:qFormat/>
    <w:uiPriority w:val="0"/>
    <w:pPr>
      <w:autoSpaceDE w:val="0"/>
      <w:autoSpaceDN w:val="0"/>
      <w:adjustRightInd w:val="0"/>
      <w:jc w:val="left"/>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729</Words>
  <Characters>4159</Characters>
  <Lines>34</Lines>
  <Paragraphs>9</Paragraphs>
  <TotalTime>141</TotalTime>
  <ScaleCrop>false</ScaleCrop>
  <LinksUpToDate>false</LinksUpToDate>
  <CharactersWithSpaces>4879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2020-06-30T09:29:00Z</dcterms:created>
  <dc:creator>PC</dc:creator>
  <cp:lastModifiedBy>天涯</cp:lastModifiedBy>
  <cp:lastPrinted>2021-04-21T01:08:00Z</cp:lastPrinted>
  <dcterms:modified xsi:type="dcterms:W3CDTF">2021-04-25T08:06:13Z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CBC6E112B1F24F91AC6E535D56EB8A99</vt:lpwstr>
  </property>
</Properties>
</file>