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AA3C5">
      <w:pPr>
        <w:tabs>
          <w:tab w:val="left" w:pos="3612"/>
          <w:tab w:val="center" w:pos="4365"/>
        </w:tabs>
        <w:snapToGrid w:val="0"/>
        <w:spacing w:line="600" w:lineRule="exact"/>
        <w:jc w:val="center"/>
        <w:rPr>
          <w:rFonts w:hint="eastAsia" w:ascii="方正小标宋简体" w:eastAsia="方正小标宋简体"/>
          <w:kern w:val="32"/>
          <w:sz w:val="44"/>
          <w:szCs w:val="20"/>
          <w:lang w:eastAsia="zh-CN"/>
        </w:rPr>
      </w:pPr>
      <w:r>
        <w:rPr>
          <w:rFonts w:hint="eastAsia" w:ascii="方正小标宋简体" w:eastAsia="方正小标宋简体"/>
          <w:kern w:val="32"/>
          <w:sz w:val="44"/>
          <w:szCs w:val="20"/>
          <w:lang w:eastAsia="zh-CN"/>
        </w:rPr>
        <w:t>工贸及劳动密集型企业安全隐患</w:t>
      </w:r>
    </w:p>
    <w:p w14:paraId="743697E3">
      <w:pPr>
        <w:tabs>
          <w:tab w:val="left" w:pos="3612"/>
          <w:tab w:val="center" w:pos="4365"/>
        </w:tabs>
        <w:snapToGrid w:val="0"/>
        <w:spacing w:line="600" w:lineRule="exact"/>
        <w:jc w:val="center"/>
        <w:rPr>
          <w:rFonts w:hint="eastAsia"/>
          <w:lang w:eastAsia="zh-CN"/>
        </w:rPr>
      </w:pPr>
      <w:r>
        <w:rPr>
          <w:rFonts w:hint="eastAsia" w:ascii="方正小标宋简体" w:eastAsia="方正小标宋简体"/>
          <w:kern w:val="32"/>
          <w:sz w:val="44"/>
          <w:szCs w:val="20"/>
          <w:lang w:eastAsia="zh-CN"/>
        </w:rPr>
        <w:t>大排查大整治行动检查表</w:t>
      </w:r>
    </w:p>
    <w:p w14:paraId="3FC152DF">
      <w:pPr>
        <w:pStyle w:val="4"/>
      </w:pPr>
      <w:r>
        <w:rPr>
          <w:rFonts w:hint="eastAsia" w:ascii="仿宋_GB2312" w:eastAsia="仿宋_GB2312"/>
          <w:sz w:val="24"/>
          <w:szCs w:val="24"/>
          <w:lang w:eastAsia="zh-CN"/>
        </w:rPr>
        <w:t>受检单位：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                                              </w:t>
      </w:r>
      <w:r>
        <w:rPr>
          <w:rFonts w:hint="eastAsia" w:ascii="仿宋_GB2312" w:eastAsia="仿宋_GB2312"/>
          <w:sz w:val="24"/>
          <w:szCs w:val="24"/>
          <w:lang w:eastAsia="zh-CN"/>
        </w:rPr>
        <w:t>检查时间：</w:t>
      </w:r>
    </w:p>
    <w:tbl>
      <w:tblPr>
        <w:tblStyle w:val="7"/>
        <w:tblW w:w="1133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5"/>
        <w:gridCol w:w="936"/>
        <w:gridCol w:w="1561"/>
        <w:gridCol w:w="3094"/>
        <w:gridCol w:w="600"/>
        <w:gridCol w:w="675"/>
        <w:gridCol w:w="659"/>
        <w:gridCol w:w="1260"/>
        <w:gridCol w:w="1260"/>
        <w:gridCol w:w="651"/>
      </w:tblGrid>
      <w:tr w14:paraId="7EDAB3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635" w:type="dxa"/>
            <w:vMerge w:val="restart"/>
            <w:vAlign w:val="center"/>
          </w:tcPr>
          <w:p w14:paraId="451507D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36" w:type="dxa"/>
            <w:vMerge w:val="restart"/>
            <w:vAlign w:val="center"/>
          </w:tcPr>
          <w:p w14:paraId="3B0FFF4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</w:rPr>
              <w:t>检查项目</w:t>
            </w:r>
          </w:p>
        </w:tc>
        <w:tc>
          <w:tcPr>
            <w:tcW w:w="1561" w:type="dxa"/>
            <w:vMerge w:val="restart"/>
            <w:vAlign w:val="center"/>
          </w:tcPr>
          <w:p w14:paraId="4A41C86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</w:rPr>
              <w:t>检查内容</w:t>
            </w:r>
          </w:p>
        </w:tc>
        <w:tc>
          <w:tcPr>
            <w:tcW w:w="3094" w:type="dxa"/>
            <w:vMerge w:val="restart"/>
            <w:vAlign w:val="center"/>
          </w:tcPr>
          <w:p w14:paraId="5485EAD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检查要点</w:t>
            </w:r>
          </w:p>
        </w:tc>
        <w:tc>
          <w:tcPr>
            <w:tcW w:w="1934" w:type="dxa"/>
            <w:gridSpan w:val="3"/>
            <w:vAlign w:val="center"/>
          </w:tcPr>
          <w:p w14:paraId="2A62B60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检查结果是否存在问题隐患</w:t>
            </w:r>
          </w:p>
        </w:tc>
        <w:tc>
          <w:tcPr>
            <w:tcW w:w="1260" w:type="dxa"/>
            <w:vMerge w:val="restart"/>
            <w:vAlign w:val="center"/>
          </w:tcPr>
          <w:p w14:paraId="256CE3A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</w:t>
            </w:r>
          </w:p>
          <w:p w14:paraId="4E54262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1260" w:type="dxa"/>
            <w:vMerge w:val="restart"/>
            <w:vAlign w:val="center"/>
          </w:tcPr>
          <w:p w14:paraId="5AF659D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问题隐患具体描述</w:t>
            </w:r>
          </w:p>
        </w:tc>
        <w:tc>
          <w:tcPr>
            <w:tcW w:w="651" w:type="dxa"/>
            <w:vMerge w:val="restart"/>
            <w:shd w:val="clear" w:color="auto" w:fill="auto"/>
            <w:vAlign w:val="center"/>
          </w:tcPr>
          <w:p w14:paraId="3A22F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检查人员</w:t>
            </w:r>
          </w:p>
        </w:tc>
      </w:tr>
      <w:tr w14:paraId="6ED30A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635" w:type="dxa"/>
            <w:vMerge w:val="continue"/>
            <w:vAlign w:val="center"/>
          </w:tcPr>
          <w:p w14:paraId="54A63BF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宋体" w:eastAsia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23EAAAA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宋体" w:eastAsia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Merge w:val="continue"/>
            <w:vAlign w:val="center"/>
          </w:tcPr>
          <w:p w14:paraId="3F22AAD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宋体" w:eastAsia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94" w:type="dxa"/>
            <w:vMerge w:val="continue"/>
            <w:vAlign w:val="center"/>
          </w:tcPr>
          <w:p w14:paraId="0AB3D93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宋体" w:eastAsia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14:paraId="1479DDF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675" w:type="dxa"/>
            <w:vAlign w:val="center"/>
          </w:tcPr>
          <w:p w14:paraId="0A9E951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659" w:type="dxa"/>
            <w:vAlign w:val="center"/>
          </w:tcPr>
          <w:p w14:paraId="3052FA1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不涉及</w:t>
            </w:r>
          </w:p>
        </w:tc>
        <w:tc>
          <w:tcPr>
            <w:tcW w:w="1260" w:type="dxa"/>
            <w:vMerge w:val="continue"/>
            <w:vAlign w:val="center"/>
          </w:tcPr>
          <w:p w14:paraId="0F11CB6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493D6BD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 w:val="continue"/>
            <w:vAlign w:val="center"/>
          </w:tcPr>
          <w:p w14:paraId="7C76807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11773D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restart"/>
            <w:vAlign w:val="center"/>
          </w:tcPr>
          <w:p w14:paraId="6C4E5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936" w:type="dxa"/>
            <w:vMerge w:val="restart"/>
            <w:vAlign w:val="center"/>
          </w:tcPr>
          <w:p w14:paraId="439FC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  <w:t>劳动密集场所消防安全方面</w:t>
            </w:r>
          </w:p>
        </w:tc>
        <w:tc>
          <w:tcPr>
            <w:tcW w:w="1561" w:type="dxa"/>
            <w:vAlign w:val="center"/>
          </w:tcPr>
          <w:p w14:paraId="33A82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  <w:t>（1）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  <w:t>安全疏散设施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3094" w:type="dxa"/>
            <w:vAlign w:val="center"/>
          </w:tcPr>
          <w:p w14:paraId="34546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①疏散通道、安全出口数量是否充足、是否畅通无阻（严禁堵塞、占用、锁闭）；</w:t>
            </w:r>
          </w:p>
          <w:p w14:paraId="327B5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②疏散指示标志、应急照明是否完好有效；</w:t>
            </w:r>
          </w:p>
          <w:p w14:paraId="23381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③门窗是否设置影响逃生和灭火救援的铁栅栏、广告牌等障碍物；</w:t>
            </w:r>
          </w:p>
          <w:p w14:paraId="0B3C7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④人员密集场所是否在营业期间进行动火作业。</w:t>
            </w:r>
          </w:p>
        </w:tc>
        <w:tc>
          <w:tcPr>
            <w:tcW w:w="600" w:type="dxa"/>
            <w:vAlign w:val="center"/>
          </w:tcPr>
          <w:p w14:paraId="66B7F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57B31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6135D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48BD3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消防为主，各部门配合</w:t>
            </w:r>
          </w:p>
        </w:tc>
        <w:tc>
          <w:tcPr>
            <w:tcW w:w="1260" w:type="dxa"/>
            <w:vAlign w:val="center"/>
          </w:tcPr>
          <w:p w14:paraId="55119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3BD36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45182E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continue"/>
            <w:vAlign w:val="center"/>
          </w:tcPr>
          <w:p w14:paraId="7B4F5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75CA1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61" w:type="dxa"/>
            <w:vAlign w:val="center"/>
          </w:tcPr>
          <w:p w14:paraId="07B63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  <w:t>（2）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  <w:t>消防设施器材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3094" w:type="dxa"/>
            <w:vAlign w:val="center"/>
          </w:tcPr>
          <w:p w14:paraId="57B08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①灭火器、室内消火栓、自动喷水灭火系统、火灾自动报警系统等消防设施是否按要求配置、是否完好有效；</w:t>
            </w:r>
          </w:p>
          <w:p w14:paraId="3609C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②消防水泵房、消防控制室运行是否正常；</w:t>
            </w:r>
          </w:p>
          <w:p w14:paraId="07F8D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③员工是否会正确使用消防器材。</w:t>
            </w:r>
          </w:p>
        </w:tc>
        <w:tc>
          <w:tcPr>
            <w:tcW w:w="600" w:type="dxa"/>
            <w:vAlign w:val="center"/>
          </w:tcPr>
          <w:p w14:paraId="2DBE9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6F3A7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4E75C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67A29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消防为主，各部门配合</w:t>
            </w:r>
          </w:p>
        </w:tc>
        <w:tc>
          <w:tcPr>
            <w:tcW w:w="1260" w:type="dxa"/>
            <w:vAlign w:val="center"/>
          </w:tcPr>
          <w:p w14:paraId="72195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36A51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14:paraId="4D5BE5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continue"/>
            <w:vAlign w:val="center"/>
          </w:tcPr>
          <w:p w14:paraId="2DB65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3E002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61" w:type="dxa"/>
            <w:vAlign w:val="center"/>
          </w:tcPr>
          <w:p w14:paraId="76997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（3）用火用电安全管理。</w:t>
            </w:r>
          </w:p>
        </w:tc>
        <w:tc>
          <w:tcPr>
            <w:tcW w:w="3094" w:type="dxa"/>
            <w:vAlign w:val="center"/>
          </w:tcPr>
          <w:p w14:paraId="491B1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是否存在私拉乱接电气线路、超负荷用电、使用“三无”电器产品；</w:t>
            </w:r>
          </w:p>
          <w:p w14:paraId="1FF75E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电动自行车是否违规入内充电；</w:t>
            </w:r>
          </w:p>
          <w:p w14:paraId="41E754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明火作业是否履行动火审批手续，是否落实监护措施；</w:t>
            </w:r>
          </w:p>
          <w:p w14:paraId="40658C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④是否存在违规使用明火取暖、做饭。</w:t>
            </w:r>
          </w:p>
        </w:tc>
        <w:tc>
          <w:tcPr>
            <w:tcW w:w="600" w:type="dxa"/>
            <w:vAlign w:val="center"/>
          </w:tcPr>
          <w:p w14:paraId="65CDC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71A32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1AB50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4E126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消防为主，各部门配合</w:t>
            </w:r>
          </w:p>
        </w:tc>
        <w:tc>
          <w:tcPr>
            <w:tcW w:w="1260" w:type="dxa"/>
            <w:vAlign w:val="center"/>
          </w:tcPr>
          <w:p w14:paraId="669FF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37EFA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1B6B01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continue"/>
            <w:vAlign w:val="center"/>
          </w:tcPr>
          <w:p w14:paraId="06BAD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34E4B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61" w:type="dxa"/>
            <w:vAlign w:val="center"/>
          </w:tcPr>
          <w:p w14:paraId="53491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（4）防火分隔与材料。</w:t>
            </w:r>
          </w:p>
        </w:tc>
        <w:tc>
          <w:tcPr>
            <w:tcW w:w="3094" w:type="dxa"/>
            <w:vAlign w:val="center"/>
          </w:tcPr>
          <w:p w14:paraId="73FEE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车间、仓库、办公室、员工宿舍是否采用防火墙进行有效分隔；</w:t>
            </w:r>
          </w:p>
          <w:p w14:paraId="497F5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内部装修是否使用聚氨酯泡沫、聚苯乙烯等易燃可燃材料；</w:t>
            </w:r>
          </w:p>
          <w:p w14:paraId="4ABA7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管道井、电缆井是否进行防火封堵。</w:t>
            </w:r>
          </w:p>
        </w:tc>
        <w:tc>
          <w:tcPr>
            <w:tcW w:w="600" w:type="dxa"/>
            <w:vAlign w:val="center"/>
          </w:tcPr>
          <w:p w14:paraId="63B38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5E74D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52B85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5B32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消防为主，各部门配合</w:t>
            </w:r>
          </w:p>
        </w:tc>
        <w:tc>
          <w:tcPr>
            <w:tcW w:w="1260" w:type="dxa"/>
            <w:vAlign w:val="center"/>
          </w:tcPr>
          <w:p w14:paraId="76F4A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223F2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256303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continue"/>
            <w:vAlign w:val="center"/>
          </w:tcPr>
          <w:p w14:paraId="6F69F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262DF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61" w:type="dxa"/>
            <w:vAlign w:val="center"/>
          </w:tcPr>
          <w:p w14:paraId="0249B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（5）员工消防安全素质。</w:t>
            </w:r>
          </w:p>
        </w:tc>
        <w:tc>
          <w:tcPr>
            <w:tcW w:w="3094" w:type="dxa"/>
            <w:vAlign w:val="center"/>
          </w:tcPr>
          <w:p w14:paraId="767D9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是否开展全员消防安全培训，“一懂三会”（懂本场所火灾危险性，会报警、会灭火、会逃生）掌握情况；</w:t>
            </w:r>
          </w:p>
          <w:p w14:paraId="00036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是否制定灭火和应急疏散预案并定期演练。</w:t>
            </w:r>
          </w:p>
        </w:tc>
        <w:tc>
          <w:tcPr>
            <w:tcW w:w="600" w:type="dxa"/>
            <w:vAlign w:val="center"/>
          </w:tcPr>
          <w:p w14:paraId="6978A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3DF27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3F0C5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3CD6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消防为主，各部门配合</w:t>
            </w:r>
          </w:p>
        </w:tc>
        <w:tc>
          <w:tcPr>
            <w:tcW w:w="1260" w:type="dxa"/>
            <w:vAlign w:val="center"/>
          </w:tcPr>
          <w:p w14:paraId="1F3CF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4002F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1DADD5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restart"/>
            <w:vAlign w:val="center"/>
          </w:tcPr>
          <w:p w14:paraId="2FFA8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36" w:type="dxa"/>
            <w:vMerge w:val="restart"/>
            <w:vAlign w:val="center"/>
          </w:tcPr>
          <w:p w14:paraId="27832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老旧厂房结构安全与设施隐患方面</w:t>
            </w:r>
          </w:p>
        </w:tc>
        <w:tc>
          <w:tcPr>
            <w:tcW w:w="1561" w:type="dxa"/>
            <w:vAlign w:val="center"/>
          </w:tcPr>
          <w:p w14:paraId="58808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（1）建筑结构安全。</w:t>
            </w:r>
          </w:p>
        </w:tc>
        <w:tc>
          <w:tcPr>
            <w:tcW w:w="3094" w:type="dxa"/>
            <w:vAlign w:val="center"/>
          </w:tcPr>
          <w:p w14:paraId="724FD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①厂房是否存在基础下沉、墙体开裂、梁柱变形、屋面渗漏等结构安全隐患；是否超设计荷载使用；</w:t>
            </w:r>
          </w:p>
          <w:p w14:paraId="3D830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②是否擅自改变建筑用途（如将仓库改为人员密集车间）。</w:t>
            </w:r>
          </w:p>
        </w:tc>
        <w:tc>
          <w:tcPr>
            <w:tcW w:w="600" w:type="dxa"/>
            <w:vAlign w:val="center"/>
          </w:tcPr>
          <w:p w14:paraId="6FAAE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1B84D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1861C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B6C3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住建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为主，各部门配合</w:t>
            </w:r>
          </w:p>
        </w:tc>
        <w:tc>
          <w:tcPr>
            <w:tcW w:w="1260" w:type="dxa"/>
            <w:vAlign w:val="center"/>
          </w:tcPr>
          <w:p w14:paraId="570F5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21FD8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185DFD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continue"/>
            <w:vAlign w:val="center"/>
          </w:tcPr>
          <w:p w14:paraId="4C0B1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6C0A0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61" w:type="dxa"/>
            <w:vAlign w:val="center"/>
          </w:tcPr>
          <w:p w14:paraId="43FF4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（2）电气线路与设备老化。</w:t>
            </w:r>
          </w:p>
        </w:tc>
        <w:tc>
          <w:tcPr>
            <w:tcW w:w="3094" w:type="dxa"/>
            <w:vAlign w:val="center"/>
          </w:tcPr>
          <w:p w14:paraId="640FD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①电气线路是否老化、破损、绝缘不良；</w:t>
            </w:r>
          </w:p>
          <w:p w14:paraId="4B112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②开关、插座、配电箱是否完好；是否安装漏电保护装置；</w:t>
            </w:r>
          </w:p>
          <w:p w14:paraId="44896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③接地系统是否可靠；</w:t>
            </w:r>
          </w:p>
          <w:p w14:paraId="11913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④是否存在“蜘蛛网”式布线。</w:t>
            </w:r>
          </w:p>
        </w:tc>
        <w:tc>
          <w:tcPr>
            <w:tcW w:w="600" w:type="dxa"/>
            <w:vAlign w:val="center"/>
          </w:tcPr>
          <w:p w14:paraId="7EF4F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75753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6B3B2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68786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住建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为主，各部门配合</w:t>
            </w:r>
          </w:p>
        </w:tc>
        <w:tc>
          <w:tcPr>
            <w:tcW w:w="1260" w:type="dxa"/>
            <w:vAlign w:val="center"/>
          </w:tcPr>
          <w:p w14:paraId="48025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7249B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0136A3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continue"/>
            <w:vAlign w:val="center"/>
          </w:tcPr>
          <w:p w14:paraId="38B63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76420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61" w:type="dxa"/>
            <w:vAlign w:val="center"/>
          </w:tcPr>
          <w:p w14:paraId="4A68F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（3）消防设施历史欠账。</w:t>
            </w:r>
          </w:p>
        </w:tc>
        <w:tc>
          <w:tcPr>
            <w:tcW w:w="3094" w:type="dxa"/>
            <w:vAlign w:val="center"/>
          </w:tcPr>
          <w:p w14:paraId="5E226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①老旧厂房原有消防设施是否符合现行消防技术标准；</w:t>
            </w:r>
          </w:p>
          <w:p w14:paraId="7CA76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②消防水源是否充足；</w:t>
            </w:r>
          </w:p>
          <w:p w14:paraId="441B9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③消防车道是否畅通、宽度是否满足要求；</w:t>
            </w:r>
          </w:p>
          <w:p w14:paraId="1D820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④消防登高操作场地是否被占用。</w:t>
            </w:r>
          </w:p>
        </w:tc>
        <w:tc>
          <w:tcPr>
            <w:tcW w:w="600" w:type="dxa"/>
            <w:vAlign w:val="center"/>
          </w:tcPr>
          <w:p w14:paraId="4FF09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2ED23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388F8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00268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住建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为主，各部门配合</w:t>
            </w:r>
          </w:p>
        </w:tc>
        <w:tc>
          <w:tcPr>
            <w:tcW w:w="1260" w:type="dxa"/>
            <w:vAlign w:val="center"/>
          </w:tcPr>
          <w:p w14:paraId="3C7B9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2F6FF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0712BD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restart"/>
            <w:vAlign w:val="center"/>
          </w:tcPr>
          <w:p w14:paraId="33F05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36" w:type="dxa"/>
            <w:vMerge w:val="restart"/>
            <w:vAlign w:val="center"/>
          </w:tcPr>
          <w:p w14:paraId="2EE22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  <w:t>违规私搭乱建拆除方面</w:t>
            </w:r>
          </w:p>
        </w:tc>
        <w:tc>
          <w:tcPr>
            <w:tcW w:w="1561" w:type="dxa"/>
            <w:vAlign w:val="center"/>
          </w:tcPr>
          <w:p w14:paraId="6CC51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（1）排查认定。</w:t>
            </w:r>
          </w:p>
        </w:tc>
        <w:tc>
          <w:tcPr>
            <w:tcW w:w="3094" w:type="dxa"/>
            <w:vAlign w:val="center"/>
          </w:tcPr>
          <w:p w14:paraId="0F7D0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①全面排查厂区范围内未经规划许可、未办理施工许可擅自搭建的建筑物、构筑物（如彩钢板房、铁皮棚、简易仓库、临时工棚、夹层住人等）；</w:t>
            </w:r>
          </w:p>
          <w:p w14:paraId="45205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②占用防火间距、消防车道、疏散通道的搭建物；</w:t>
            </w:r>
          </w:p>
          <w:p w14:paraId="0C70F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③在楼顶、阳台违规加层的建筑。</w:t>
            </w:r>
          </w:p>
        </w:tc>
        <w:tc>
          <w:tcPr>
            <w:tcW w:w="600" w:type="dxa"/>
            <w:vAlign w:val="center"/>
          </w:tcPr>
          <w:p w14:paraId="6B27E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615E6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2C2A2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9438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住建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为主，各部门配合</w:t>
            </w:r>
          </w:p>
        </w:tc>
        <w:tc>
          <w:tcPr>
            <w:tcW w:w="1260" w:type="dxa"/>
            <w:vAlign w:val="center"/>
          </w:tcPr>
          <w:p w14:paraId="677E0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6EEDB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0A2643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continue"/>
            <w:vAlign w:val="center"/>
          </w:tcPr>
          <w:p w14:paraId="39C0E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0A0A3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61" w:type="dxa"/>
            <w:vAlign w:val="center"/>
          </w:tcPr>
          <w:p w14:paraId="05E95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（2）强制拆除。</w:t>
            </w:r>
          </w:p>
        </w:tc>
        <w:tc>
          <w:tcPr>
            <w:tcW w:w="3094" w:type="dxa"/>
            <w:vAlign w:val="center"/>
          </w:tcPr>
          <w:p w14:paraId="26E5E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①占用防火间距、堵塞消防车道和疏散通道的；</w:t>
            </w:r>
          </w:p>
          <w:p w14:paraId="24501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②用于生产加工、仓储且存在重大安全隐患的；</w:t>
            </w:r>
          </w:p>
          <w:p w14:paraId="068E6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③在老旧厂房上加层加建的；</w:t>
            </w:r>
          </w:p>
          <w:p w14:paraId="171E5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④使用易燃可燃材料搭建的。</w:t>
            </w:r>
          </w:p>
        </w:tc>
        <w:tc>
          <w:tcPr>
            <w:tcW w:w="600" w:type="dxa"/>
            <w:vAlign w:val="center"/>
          </w:tcPr>
          <w:p w14:paraId="492B3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6055D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22A98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7AE3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住建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为主，各部门配合</w:t>
            </w:r>
          </w:p>
        </w:tc>
        <w:tc>
          <w:tcPr>
            <w:tcW w:w="1260" w:type="dxa"/>
            <w:vAlign w:val="center"/>
          </w:tcPr>
          <w:p w14:paraId="6D85B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65F48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7E1BB0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Align w:val="center"/>
          </w:tcPr>
          <w:p w14:paraId="29451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36" w:type="dxa"/>
            <w:vAlign w:val="center"/>
          </w:tcPr>
          <w:p w14:paraId="71DC9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外包外租作业安全方面</w:t>
            </w:r>
          </w:p>
        </w:tc>
        <w:tc>
          <w:tcPr>
            <w:tcW w:w="1561" w:type="dxa"/>
            <w:vAlign w:val="center"/>
          </w:tcPr>
          <w:p w14:paraId="40DD6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3094" w:type="dxa"/>
            <w:vAlign w:val="center"/>
          </w:tcPr>
          <w:p w14:paraId="33DA1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①企业未对承包单位、承租单位的安全生产工作统一协调管理；</w:t>
            </w:r>
          </w:p>
          <w:p w14:paraId="6E443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②未签订安全管理协议；</w:t>
            </w:r>
          </w:p>
          <w:p w14:paraId="3BFF3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③未定期开展安全检查；</w:t>
            </w:r>
          </w:p>
          <w:p w14:paraId="57D12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④外包队伍资质不符、作业人员未培训合格上岗。</w:t>
            </w:r>
          </w:p>
        </w:tc>
        <w:tc>
          <w:tcPr>
            <w:tcW w:w="600" w:type="dxa"/>
            <w:vAlign w:val="center"/>
          </w:tcPr>
          <w:p w14:paraId="7B336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77372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78FC8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64FAF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应急为主，各部门配合</w:t>
            </w:r>
          </w:p>
        </w:tc>
        <w:tc>
          <w:tcPr>
            <w:tcW w:w="1260" w:type="dxa"/>
            <w:vAlign w:val="center"/>
          </w:tcPr>
          <w:p w14:paraId="61CE7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65DAB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614DCF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Align w:val="center"/>
          </w:tcPr>
          <w:p w14:paraId="3DD14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36" w:type="dxa"/>
            <w:vAlign w:val="center"/>
          </w:tcPr>
          <w:p w14:paraId="657C3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特种设备安全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方面</w:t>
            </w:r>
          </w:p>
        </w:tc>
        <w:tc>
          <w:tcPr>
            <w:tcW w:w="1561" w:type="dxa"/>
            <w:vAlign w:val="center"/>
          </w:tcPr>
          <w:p w14:paraId="39B81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3094" w:type="dxa"/>
            <w:vAlign w:val="center"/>
          </w:tcPr>
          <w:p w14:paraId="26683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锅炉、压力容器、压力管道、电梯、起重机械等特种设备无证、超期、失保、失管、人员无证、重大隐患带病运行等内容。</w:t>
            </w:r>
          </w:p>
        </w:tc>
        <w:tc>
          <w:tcPr>
            <w:tcW w:w="600" w:type="dxa"/>
            <w:vAlign w:val="center"/>
          </w:tcPr>
          <w:p w14:paraId="358A8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5D75F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35C91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5E48F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市场监管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为主，各部门配合</w:t>
            </w:r>
          </w:p>
        </w:tc>
        <w:tc>
          <w:tcPr>
            <w:tcW w:w="1260" w:type="dxa"/>
            <w:vAlign w:val="center"/>
          </w:tcPr>
          <w:p w14:paraId="0741A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518BA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4D3163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Align w:val="center"/>
          </w:tcPr>
          <w:p w14:paraId="214FC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36" w:type="dxa"/>
            <w:vAlign w:val="center"/>
          </w:tcPr>
          <w:p w14:paraId="439B5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环保设施安全方面</w:t>
            </w:r>
          </w:p>
        </w:tc>
        <w:tc>
          <w:tcPr>
            <w:tcW w:w="1561" w:type="dxa"/>
            <w:vAlign w:val="center"/>
          </w:tcPr>
          <w:p w14:paraId="167A0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3094" w:type="dxa"/>
            <w:vAlign w:val="center"/>
          </w:tcPr>
          <w:p w14:paraId="7EC4A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废气、废水、固废危废、在线监测、应急配套等治污设施的安全隐患。</w:t>
            </w:r>
          </w:p>
        </w:tc>
        <w:tc>
          <w:tcPr>
            <w:tcW w:w="600" w:type="dxa"/>
            <w:vAlign w:val="center"/>
          </w:tcPr>
          <w:p w14:paraId="30F3A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20F7E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2FD7F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1B80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生态环境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为主，各部门配合</w:t>
            </w:r>
          </w:p>
        </w:tc>
        <w:tc>
          <w:tcPr>
            <w:tcW w:w="1260" w:type="dxa"/>
            <w:vAlign w:val="center"/>
          </w:tcPr>
          <w:p w14:paraId="16994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32B95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4E5ABA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restart"/>
            <w:vAlign w:val="center"/>
          </w:tcPr>
          <w:p w14:paraId="473AC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36" w:type="dxa"/>
            <w:vMerge w:val="restart"/>
            <w:vAlign w:val="center"/>
          </w:tcPr>
          <w:p w14:paraId="18582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工贸企业安全方面</w:t>
            </w:r>
          </w:p>
        </w:tc>
        <w:tc>
          <w:tcPr>
            <w:tcW w:w="1561" w:type="dxa"/>
            <w:vAlign w:val="center"/>
          </w:tcPr>
          <w:p w14:paraId="47738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(1)粉尘涉爆。</w:t>
            </w:r>
          </w:p>
        </w:tc>
        <w:tc>
          <w:tcPr>
            <w:tcW w:w="3094" w:type="dxa"/>
            <w:vAlign w:val="center"/>
          </w:tcPr>
          <w:p w14:paraId="79AB4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①粉尘爆炸危险场所设置在非框架结构的多层建（构）筑物内，或者粉尘爆炸危险场所内设有员工宿舍、会议室、办公室、休息室等人员聚集场所的；</w:t>
            </w:r>
          </w:p>
          <w:p w14:paraId="3C819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②不同类别的可燃性粉尘、可燃性粉尘与可燃气体等易加剧爆炸危险的介质共用一套除尘系统，或者不同建（构）筑物、不同防火分区共用一套除尘系统、除尘系统互联互通的；</w:t>
            </w:r>
          </w:p>
          <w:p w14:paraId="5495A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③干式除尘系统未采取泄爆、惰化、抑爆等任一种爆炸防控措施的；</w:t>
            </w:r>
          </w:p>
          <w:p w14:paraId="17855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④铝镁等金属粉尘除尘系统采用正压除尘方式，或者其他可燃性粉尘除尘系统采用正压吹送粉尘时，未采取火花探测消除等防范点燃源措施的；</w:t>
            </w:r>
          </w:p>
          <w:p w14:paraId="7386C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⑤除尘系统采用重力沉降室除尘，或者采用干式巷道式构筑物作为除尘风道的；</w:t>
            </w:r>
          </w:p>
          <w:p w14:paraId="3A623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⑥铝镁等金属粉尘、木质粉尘的干式除尘系统未设置锁气卸灰装置的；</w:t>
            </w:r>
          </w:p>
          <w:p w14:paraId="45178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⑦除尘器、收尘仓等划分为20区的粉尘爆炸危险场所电气设备不符合防爆要求的；</w:t>
            </w:r>
          </w:p>
          <w:p w14:paraId="48D29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⑧粉碎、研磨、造粒等易产生机械点燃源的工艺设备前，未设置铁、石等杂物去除装置，或者</w:t>
            </w:r>
            <w:bookmarkStart w:id="0" w:name="_Hlk134513658"/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木制品加工企业与砂光机连接的风管未设置火花探测消除装置</w:t>
            </w:r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的；</w:t>
            </w:r>
          </w:p>
          <w:p w14:paraId="677B6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⑨遇湿自燃金属粉尘收集、堆放、储存场所未采取通风等防止氢气积聚措施，或者干式收集、堆放、储存场所未采取防水、防潮措施的；</w:t>
            </w:r>
          </w:p>
          <w:p w14:paraId="19EC4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⑩未落实粉尘清理制度，造成作业现场积尘严重的。</w:t>
            </w:r>
          </w:p>
        </w:tc>
        <w:tc>
          <w:tcPr>
            <w:tcW w:w="600" w:type="dxa"/>
            <w:vAlign w:val="center"/>
          </w:tcPr>
          <w:p w14:paraId="4323A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153AF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42F23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6FDA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应急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为主，各部门配合</w:t>
            </w:r>
          </w:p>
        </w:tc>
        <w:tc>
          <w:tcPr>
            <w:tcW w:w="1260" w:type="dxa"/>
            <w:vAlign w:val="center"/>
          </w:tcPr>
          <w:p w14:paraId="27AA5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1AA3E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6A7966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continue"/>
            <w:vAlign w:val="center"/>
          </w:tcPr>
          <w:p w14:paraId="3055C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39E9D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61" w:type="dxa"/>
            <w:vAlign w:val="center"/>
          </w:tcPr>
          <w:p w14:paraId="7AF66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(2)液氨制冷。</w:t>
            </w:r>
          </w:p>
        </w:tc>
        <w:tc>
          <w:tcPr>
            <w:tcW w:w="3094" w:type="dxa"/>
            <w:vAlign w:val="center"/>
          </w:tcPr>
          <w:p w14:paraId="022C3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①包装、分割、产品整理场所的空调系统采用氨直接蒸发制冷的；</w:t>
            </w:r>
          </w:p>
          <w:p w14:paraId="05426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②快速冻结装置未设置在单独的作业间内，或者快速冻结装置作业间内作业人员数量超过9人的。</w:t>
            </w:r>
          </w:p>
        </w:tc>
        <w:tc>
          <w:tcPr>
            <w:tcW w:w="600" w:type="dxa"/>
            <w:vAlign w:val="center"/>
          </w:tcPr>
          <w:p w14:paraId="35E8E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365D2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303A1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C470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应急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为主，各部门配合</w:t>
            </w:r>
          </w:p>
        </w:tc>
        <w:tc>
          <w:tcPr>
            <w:tcW w:w="1260" w:type="dxa"/>
            <w:vAlign w:val="center"/>
          </w:tcPr>
          <w:p w14:paraId="2BD08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57939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757B419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continue"/>
            <w:vAlign w:val="center"/>
          </w:tcPr>
          <w:p w14:paraId="41E52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62EA9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61" w:type="dxa"/>
            <w:vAlign w:val="center"/>
          </w:tcPr>
          <w:p w14:paraId="2B9C4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(3)有限空间作业。</w:t>
            </w:r>
          </w:p>
        </w:tc>
        <w:tc>
          <w:tcPr>
            <w:tcW w:w="3094" w:type="dxa"/>
            <w:vAlign w:val="center"/>
          </w:tcPr>
          <w:p w14:paraId="00A10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①未对有限空间进行辨识、建立安全管理台账，并且未设置明显的安全警示标志的；</w:t>
            </w:r>
          </w:p>
          <w:p w14:paraId="6D3EB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②未落实有限空间作业审批，或者未执行“先通风、再检测、后作业”要求，或者作业现场未设置监护人员的。</w:t>
            </w:r>
          </w:p>
        </w:tc>
        <w:tc>
          <w:tcPr>
            <w:tcW w:w="600" w:type="dxa"/>
            <w:vAlign w:val="center"/>
          </w:tcPr>
          <w:p w14:paraId="00FE4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5E447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15A68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406F3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应急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为主，各部门配合</w:t>
            </w:r>
          </w:p>
        </w:tc>
        <w:tc>
          <w:tcPr>
            <w:tcW w:w="1260" w:type="dxa"/>
            <w:vAlign w:val="center"/>
          </w:tcPr>
          <w:p w14:paraId="05671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468EF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781ABF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0" w:hRule="atLeast"/>
          <w:jc w:val="center"/>
        </w:trPr>
        <w:tc>
          <w:tcPr>
            <w:tcW w:w="635" w:type="dxa"/>
            <w:vMerge w:val="continue"/>
            <w:vAlign w:val="center"/>
          </w:tcPr>
          <w:p w14:paraId="3E580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4B048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61" w:type="dxa"/>
            <w:vAlign w:val="center"/>
          </w:tcPr>
          <w:p w14:paraId="15876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(4)冶金煤气作业。</w:t>
            </w:r>
          </w:p>
        </w:tc>
        <w:tc>
          <w:tcPr>
            <w:tcW w:w="3094" w:type="dxa"/>
            <w:vAlign w:val="center"/>
          </w:tcPr>
          <w:p w14:paraId="42CF6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①煤气生产、回收净化、加压混合、储存、使用设施附近的会议室、活动室、休息室、操作室、交接班室、更衣室等6类人员聚集场所，以及可能发生煤气泄漏、积聚的场所和部位未设置固定式一氧化碳浓度监测报警装置，或者监测数据未接入24小时有人值守场所的；</w:t>
            </w:r>
          </w:p>
          <w:p w14:paraId="339D4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②加热炉、煤气柜、除尘器、加压机、烘烤器等设施，以及进入车间前的煤气管道未安装隔断装置的；</w:t>
            </w:r>
          </w:p>
          <w:p w14:paraId="12BAB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③正压煤气输配管线水封式排水器的最高封堵煤气压力小于30kPa，或者同一煤气管道隔断装置的两侧共用一个排水器，或者不同煤气管道排水器上部的排水管连通，或者不同介质的煤气管道共用一个排水器的。</w:t>
            </w:r>
          </w:p>
        </w:tc>
        <w:tc>
          <w:tcPr>
            <w:tcW w:w="600" w:type="dxa"/>
            <w:vAlign w:val="center"/>
          </w:tcPr>
          <w:p w14:paraId="51158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vAlign w:val="center"/>
          </w:tcPr>
          <w:p w14:paraId="26593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38747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D748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应急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为主，各部门配合</w:t>
            </w:r>
          </w:p>
        </w:tc>
        <w:tc>
          <w:tcPr>
            <w:tcW w:w="1260" w:type="dxa"/>
            <w:vAlign w:val="center"/>
          </w:tcPr>
          <w:p w14:paraId="53230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199CB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76D7C2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343" w:hRule="atLeast"/>
          <w:jc w:val="center"/>
        </w:trPr>
        <w:tc>
          <w:tcPr>
            <w:tcW w:w="11331" w:type="dxa"/>
            <w:gridSpan w:val="10"/>
            <w:vAlign w:val="center"/>
          </w:tcPr>
          <w:p w14:paraId="0AB3A649"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0"/>
                <w:sz w:val="21"/>
                <w:szCs w:val="21"/>
                <w:lang w:eastAsia="zh-CN"/>
              </w:rPr>
              <w:t>存在的其他问题隐患：</w:t>
            </w:r>
          </w:p>
          <w:p w14:paraId="7DB8B833"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</w:p>
          <w:p w14:paraId="74FAC739"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</w:p>
          <w:p w14:paraId="0B7B1779"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</w:p>
          <w:p w14:paraId="20833DBB">
            <w:pPr>
              <w:pStyle w:val="2"/>
              <w:rPr>
                <w:rFonts w:hint="eastAsia"/>
                <w:lang w:eastAsia="zh-CN"/>
              </w:rPr>
            </w:pPr>
          </w:p>
          <w:p w14:paraId="6518DAB5">
            <w:pPr>
              <w:rPr>
                <w:rFonts w:hint="eastAsia"/>
                <w:lang w:eastAsia="zh-CN"/>
              </w:rPr>
            </w:pPr>
            <w:bookmarkStart w:id="1" w:name="_GoBack"/>
            <w:bookmarkEnd w:id="1"/>
          </w:p>
          <w:p w14:paraId="0C6FD4A1">
            <w:pPr>
              <w:pStyle w:val="2"/>
              <w:rPr>
                <w:rFonts w:hint="eastAsia"/>
                <w:lang w:eastAsia="zh-CN"/>
              </w:rPr>
            </w:pPr>
          </w:p>
          <w:p w14:paraId="50834100"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检查人：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受检单位负责人：</w:t>
            </w:r>
          </w:p>
          <w:p w14:paraId="0F92F93E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</w:p>
          <w:p w14:paraId="5A06C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宋体" w:eastAsia="仿宋_GB2312" w:cs="宋体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检查单位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/>
              </w:rPr>
              <w:t>：</w:t>
            </w:r>
          </w:p>
        </w:tc>
      </w:tr>
    </w:tbl>
    <w:p w14:paraId="19265C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7013EE"/>
    <w:rsid w:val="047013EE"/>
    <w:rsid w:val="09FF5075"/>
    <w:rsid w:val="11D05109"/>
    <w:rsid w:val="12762995"/>
    <w:rsid w:val="37B33215"/>
    <w:rsid w:val="5547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qFormat/>
    <w:uiPriority w:val="0"/>
    <w:rPr>
      <w:sz w:val="18"/>
      <w:szCs w:val="18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"/>
    <w:qFormat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5">
    <w:name w:val="Body Text Indent"/>
    <w:basedOn w:val="1"/>
    <w:next w:val="3"/>
    <w:unhideWhenUsed/>
    <w:qFormat/>
    <w:uiPriority w:val="99"/>
    <w:pPr>
      <w:spacing w:after="120" w:afterLines="0"/>
      <w:ind w:left="420" w:leftChars="200"/>
    </w:pPr>
  </w:style>
  <w:style w:type="paragraph" w:styleId="6">
    <w:name w:val="Body Text First Indent 2"/>
    <w:basedOn w:val="5"/>
    <w:qFormat/>
    <w:uiPriority w:val="0"/>
    <w:pPr>
      <w:spacing w:after="0" w:afterLines="0"/>
      <w:ind w:firstLine="420" w:firstLineChars="200"/>
    </w:pPr>
    <w:rPr>
      <w:rFonts w:ascii="Calibri" w:hAnsi="Calibri" w:eastAsia="宋体" w:cs="Times New Roman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2313</Words>
  <Characters>2327</Characters>
  <Lines>0</Lines>
  <Paragraphs>0</Paragraphs>
  <TotalTime>0</TotalTime>
  <ScaleCrop>false</ScaleCrop>
  <LinksUpToDate>false</LinksUpToDate>
  <CharactersWithSpaces>2327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2026-07-17T00:14:00Z</dcterms:created>
  <dc:creator>吃货的早餐</dc:creator>
  <cp:lastModifiedBy>吃货的早餐</cp:lastModifiedBy>
  <dcterms:modified xsi:type="dcterms:W3CDTF">2026-07-20T03:05:18Z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370F708878BA4E799A8C09CE4C847A98_13</vt:lpwstr>
  </property>
  <property fmtid="{D5CDD505-2E9C-101B-9397-08002B2CF9AE}" pid="4" name="KSOTemplateDocerSaveRecord">
    <vt:lpwstr>eyJoZGlkIjoiNGJkOTMxNDViZTNmNDZjY2RiMjgxZTM1YTFlNzU4YTEiLCJ1c2VySWQiOiIyMzU4OTEyMDMifQ==</vt:lpwstr>
  </property>
</Properties>
</file>