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Style w:val="17"/>
          <w:rFonts w:hint="eastAsia" w:ascii="黑体" w:hAnsi="黑体" w:eastAsia="黑体"/>
          <w:sz w:val="32"/>
          <w:szCs w:val="32"/>
        </w:rPr>
      </w:pPr>
      <w:r>
        <w:rPr>
          <w:rStyle w:val="17"/>
          <w:rFonts w:hint="eastAsia" w:ascii="黑体" w:hAnsi="黑体" w:eastAsia="黑体"/>
          <w:sz w:val="32"/>
          <w:szCs w:val="32"/>
        </w:rPr>
        <w:t>附件</w:t>
      </w:r>
    </w:p>
    <w:p>
      <w:pPr>
        <w:spacing w:line="600" w:lineRule="exact"/>
        <w:jc w:val="center"/>
        <w:rPr>
          <w:rStyle w:val="17"/>
          <w:rFonts w:hint="eastAsia" w:ascii="方正小标宋简体" w:eastAsia="方正小标宋简体"/>
          <w:sz w:val="36"/>
          <w:szCs w:val="36"/>
        </w:rPr>
      </w:pPr>
      <w:r>
        <w:rPr>
          <w:rStyle w:val="17"/>
          <w:rFonts w:hint="eastAsia" w:ascii="方正小标宋简体" w:eastAsia="方正小标宋简体"/>
          <w:sz w:val="36"/>
          <w:szCs w:val="36"/>
        </w:rPr>
        <w:t>非煤矿山企业重点检査清单</w:t>
      </w:r>
    </w:p>
    <w:p>
      <w:pPr>
        <w:spacing w:line="310" w:lineRule="exact"/>
        <w:ind w:right="100"/>
        <w:jc w:val="center"/>
        <w:rPr>
          <w:rFonts w:hint="eastAsia"/>
        </w:rPr>
      </w:pPr>
    </w:p>
    <w:tbl>
      <w:tblPr>
        <w:tblStyle w:val="4"/>
        <w:tblW w:w="9038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57"/>
        <w:gridCol w:w="5611"/>
        <w:gridCol w:w="1382"/>
        <w:gridCol w:w="888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2" w:hRule="exact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shd w:val="clear" w:color="auto" w:fill="auto"/>
              <w:spacing w:before="0" w:line="360" w:lineRule="exact"/>
              <w:jc w:val="center"/>
              <w:rPr>
                <w:rFonts w:ascii="黑体" w:hAnsi="黑体" w:eastAsia="黑体"/>
                <w:b/>
                <w:sz w:val="21"/>
              </w:rPr>
            </w:pPr>
            <w:r>
              <w:rPr>
                <w:rStyle w:val="10"/>
                <w:rFonts w:ascii="黑体" w:hAnsi="黑体" w:eastAsia="黑体"/>
                <w:b/>
                <w:sz w:val="21"/>
              </w:rPr>
              <w:t>项目</w:t>
            </w:r>
          </w:p>
        </w:tc>
        <w:tc>
          <w:tcPr>
            <w:tcW w:w="561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shd w:val="clear" w:color="auto" w:fill="auto"/>
              <w:spacing w:before="0" w:line="360" w:lineRule="exact"/>
              <w:jc w:val="center"/>
              <w:rPr>
                <w:rFonts w:ascii="黑体" w:hAnsi="黑体" w:eastAsia="黑体"/>
                <w:b/>
                <w:sz w:val="21"/>
              </w:rPr>
            </w:pPr>
            <w:r>
              <w:rPr>
                <w:rStyle w:val="10"/>
                <w:rFonts w:ascii="黑体" w:hAnsi="黑体" w:eastAsia="黑体"/>
                <w:b/>
                <w:sz w:val="21"/>
              </w:rPr>
              <w:t>检查内容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shd w:val="clear" w:color="auto" w:fill="auto"/>
              <w:spacing w:before="0" w:line="360" w:lineRule="exact"/>
              <w:jc w:val="center"/>
              <w:rPr>
                <w:rFonts w:ascii="黑体" w:hAnsi="黑体" w:eastAsia="黑体"/>
                <w:b/>
                <w:sz w:val="21"/>
              </w:rPr>
            </w:pPr>
            <w:r>
              <w:rPr>
                <w:rStyle w:val="10"/>
                <w:rFonts w:ascii="黑体" w:hAnsi="黑体" w:eastAsia="黑体"/>
                <w:b/>
                <w:sz w:val="21"/>
              </w:rPr>
              <w:t>检查情况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shd w:val="clear" w:color="auto" w:fill="auto"/>
              <w:spacing w:before="0" w:line="360" w:lineRule="exact"/>
              <w:jc w:val="center"/>
              <w:rPr>
                <w:rFonts w:ascii="黑体" w:hAnsi="黑体" w:eastAsia="黑体"/>
                <w:b/>
                <w:sz w:val="21"/>
              </w:rPr>
            </w:pPr>
            <w:r>
              <w:rPr>
                <w:rStyle w:val="10"/>
                <w:rFonts w:ascii="黑体" w:hAnsi="黑体" w:eastAsia="黑体"/>
                <w:b/>
                <w:sz w:val="21"/>
              </w:rPr>
              <w:t>备注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94" w:hRule="exact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shd w:val="clear" w:color="auto" w:fill="auto"/>
              <w:spacing w:before="0" w:line="360" w:lineRule="exact"/>
              <w:jc w:val="center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建设项目</w:t>
            </w:r>
          </w:p>
        </w:tc>
        <w:tc>
          <w:tcPr>
            <w:tcW w:w="561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pStyle w:val="12"/>
              <w:shd w:val="clear" w:color="auto" w:fill="auto"/>
              <w:spacing w:before="0" w:line="312" w:lineRule="exact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1</w:t>
            </w:r>
            <w:r>
              <w:rPr>
                <w:rStyle w:val="14"/>
                <w:rFonts w:hint="eastAsia" w:ascii="仿宋_GB2312" w:eastAsia="仿宋_GB2312" w:hAnsiTheme="minorEastAsia"/>
                <w:sz w:val="24"/>
                <w:szCs w:val="24"/>
              </w:rPr>
              <w:t>、</w:t>
            </w: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是否按照批复的建设项目设计组织施工；</w:t>
            </w:r>
          </w:p>
          <w:p>
            <w:pPr>
              <w:pStyle w:val="12"/>
              <w:shd w:val="clear" w:color="auto" w:fill="auto"/>
              <w:spacing w:before="0" w:line="312" w:lineRule="exact"/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2</w:t>
            </w:r>
            <w:r>
              <w:rPr>
                <w:rStyle w:val="14"/>
                <w:rFonts w:hint="eastAsia" w:ascii="仿宋_GB2312" w:eastAsia="仿宋_GB2312" w:hAnsiTheme="minorEastAsia"/>
                <w:sz w:val="24"/>
                <w:szCs w:val="24"/>
              </w:rPr>
              <w:t>、</w:t>
            </w: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 xml:space="preserve">是否按照建设项目设计的工期安排施工计划； </w:t>
            </w:r>
          </w:p>
          <w:p>
            <w:pPr>
              <w:pStyle w:val="12"/>
              <w:shd w:val="clear" w:color="auto" w:fill="auto"/>
              <w:spacing w:before="0" w:line="312" w:lineRule="exact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3、建设项目未如期完成，是否申请延期。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left"/>
              <w:rPr>
                <w:rFonts w:asciiTheme="minorEastAsia" w:hAnsiTheme="minorEastAsia"/>
                <w:sz w:val="20"/>
                <w:szCs w:val="10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left"/>
              <w:rPr>
                <w:rFonts w:asciiTheme="minorEastAsia" w:hAnsiTheme="minorEastAsia"/>
                <w:sz w:val="2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901" w:hRule="exact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shd w:val="clear" w:color="auto" w:fill="auto"/>
              <w:spacing w:before="0" w:line="360" w:lineRule="exact"/>
              <w:jc w:val="center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现场管理</w:t>
            </w:r>
          </w:p>
        </w:tc>
        <w:tc>
          <w:tcPr>
            <w:tcW w:w="561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pStyle w:val="12"/>
              <w:shd w:val="clear" w:color="auto" w:fill="auto"/>
              <w:spacing w:before="0" w:line="312" w:lineRule="exact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1</w:t>
            </w:r>
            <w:r>
              <w:rPr>
                <w:rStyle w:val="14"/>
                <w:rFonts w:hint="eastAsia" w:ascii="仿宋_GB2312" w:eastAsia="仿宋_GB2312" w:hAnsiTheme="minorEastAsia"/>
                <w:sz w:val="24"/>
                <w:szCs w:val="24"/>
              </w:rPr>
              <w:t>、</w:t>
            </w: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所有的工作面在开工前是否对安全风险进行研判，并按要求编制、审批、学习贯彻《作业规程》；</w:t>
            </w:r>
          </w:p>
          <w:p>
            <w:pPr>
              <w:pStyle w:val="12"/>
              <w:shd w:val="clear" w:color="auto" w:fill="auto"/>
              <w:spacing w:before="0" w:line="312" w:lineRule="exact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2、是否建立反</w:t>
            </w:r>
            <w:r>
              <w:rPr>
                <w:rStyle w:val="14"/>
                <w:rFonts w:hint="eastAsia" w:ascii="仿宋_GB2312" w:eastAsia="仿宋_GB2312" w:hAnsiTheme="minorEastAsia"/>
                <w:sz w:val="24"/>
                <w:szCs w:val="24"/>
              </w:rPr>
              <w:t>“</w:t>
            </w: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三违</w:t>
            </w:r>
            <w:r>
              <w:rPr>
                <w:rStyle w:val="14"/>
                <w:rFonts w:hint="eastAsia" w:ascii="仿宋_GB2312" w:eastAsia="仿宋_GB2312" w:hAnsiTheme="minorEastAsia"/>
                <w:sz w:val="24"/>
                <w:szCs w:val="24"/>
              </w:rPr>
              <w:t>”</w:t>
            </w: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制度，并组织员工学习；</w:t>
            </w:r>
          </w:p>
          <w:p>
            <w:pPr>
              <w:pStyle w:val="12"/>
              <w:shd w:val="clear" w:color="auto" w:fill="auto"/>
              <w:spacing w:before="0" w:line="302" w:lineRule="exact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3、对动火作业、高处作业等高风险作业，是否制定防范措施，是否经相关负责人审批，是否组织学习并在作业中安排专人盯守。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left"/>
              <w:rPr>
                <w:rFonts w:asciiTheme="minorEastAsia" w:hAnsiTheme="minorEastAsia"/>
                <w:sz w:val="20"/>
                <w:szCs w:val="10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left"/>
              <w:rPr>
                <w:rFonts w:asciiTheme="minorEastAsia" w:hAnsiTheme="minorEastAsia"/>
                <w:sz w:val="2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29" w:hRule="exact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shd w:val="clear" w:color="auto" w:fill="auto"/>
              <w:spacing w:before="0" w:line="360" w:lineRule="exact"/>
              <w:jc w:val="center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安全培训</w:t>
            </w:r>
          </w:p>
        </w:tc>
        <w:tc>
          <w:tcPr>
            <w:tcW w:w="561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pStyle w:val="12"/>
              <w:shd w:val="clear" w:color="auto" w:fill="auto"/>
              <w:spacing w:before="0" w:line="317" w:lineRule="exact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  <w:lang w:val="zh-CN"/>
              </w:rPr>
              <w:t>1</w:t>
            </w:r>
            <w:r>
              <w:rPr>
                <w:rStyle w:val="14"/>
                <w:rFonts w:hint="eastAsia" w:ascii="仿宋_GB2312" w:eastAsia="仿宋_GB2312" w:hAnsiTheme="minorEastAsia"/>
                <w:sz w:val="24"/>
                <w:szCs w:val="24"/>
              </w:rPr>
              <w:t>、</w:t>
            </w: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是否制定并落实年度安全培训计划；</w:t>
            </w:r>
          </w:p>
          <w:p>
            <w:pPr>
              <w:pStyle w:val="12"/>
              <w:shd w:val="clear" w:color="auto" w:fill="auto"/>
              <w:spacing w:before="0" w:line="317" w:lineRule="exact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Style w:val="14"/>
                <w:rFonts w:hint="eastAsia" w:ascii="仿宋_GB2312" w:eastAsia="仿宋_GB2312" w:hAnsiTheme="minorEastAsia"/>
                <w:sz w:val="24"/>
                <w:szCs w:val="24"/>
              </w:rPr>
              <w:t>2、“</w:t>
            </w: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三项岗位</w:t>
            </w:r>
            <w:r>
              <w:rPr>
                <w:rStyle w:val="14"/>
                <w:rFonts w:hint="eastAsia" w:ascii="仿宋_GB2312" w:eastAsia="仿宋_GB2312" w:hAnsiTheme="minorEastAsia"/>
                <w:sz w:val="24"/>
                <w:szCs w:val="24"/>
              </w:rPr>
              <w:t>”</w:t>
            </w: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人员是否经考核合格，特种作业人员是否持证上岗，其他作业人员是否按规定进行安全教育培训。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left"/>
              <w:rPr>
                <w:rFonts w:asciiTheme="minorEastAsia" w:hAnsiTheme="minorEastAsia"/>
                <w:sz w:val="20"/>
                <w:szCs w:val="10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left"/>
              <w:rPr>
                <w:rFonts w:asciiTheme="minorEastAsia" w:hAnsiTheme="minorEastAsia"/>
                <w:sz w:val="2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70" w:hRule="exact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shd w:val="clear" w:color="auto" w:fill="auto"/>
              <w:spacing w:before="0" w:line="360" w:lineRule="exact"/>
              <w:jc w:val="center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车辆运输</w:t>
            </w:r>
          </w:p>
        </w:tc>
        <w:tc>
          <w:tcPr>
            <w:tcW w:w="561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pStyle w:val="12"/>
              <w:shd w:val="clear" w:color="auto" w:fill="auto"/>
              <w:spacing w:before="0" w:line="312" w:lineRule="exact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1</w:t>
            </w:r>
            <w:r>
              <w:rPr>
                <w:rStyle w:val="14"/>
                <w:rFonts w:hint="eastAsia" w:ascii="仿宋_GB2312" w:eastAsia="仿宋_GB2312" w:hAnsiTheme="minorEastAsia"/>
                <w:sz w:val="24"/>
                <w:szCs w:val="24"/>
              </w:rPr>
              <w:t>、</w:t>
            </w: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矿山是否制定矿区内车辆的运行管理办法或规定，是否明确车辆与行人的交互关系；</w:t>
            </w:r>
          </w:p>
          <w:p>
            <w:pPr>
              <w:pStyle w:val="12"/>
              <w:shd w:val="clear" w:color="auto" w:fill="auto"/>
              <w:spacing w:before="0" w:line="312" w:lineRule="exact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2、车辆行走的巷道是否按照规定设置躲避硐室，是否有明显的</w:t>
            </w:r>
            <w:r>
              <w:rPr>
                <w:rStyle w:val="14"/>
                <w:rFonts w:hint="eastAsia" w:ascii="仿宋_GB2312" w:eastAsia="仿宋_GB2312" w:hAnsiTheme="minorEastAsia"/>
                <w:sz w:val="24"/>
                <w:szCs w:val="24"/>
              </w:rPr>
              <w:t>“</w:t>
            </w: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行人不行车</w:t>
            </w:r>
            <w:r>
              <w:rPr>
                <w:rStyle w:val="14"/>
                <w:rFonts w:hint="eastAsia" w:ascii="仿宋_GB2312" w:eastAsia="仿宋_GB2312" w:hAnsiTheme="minorEastAsia"/>
                <w:sz w:val="24"/>
                <w:szCs w:val="24"/>
              </w:rPr>
              <w:t>”</w:t>
            </w: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警示标志；</w:t>
            </w:r>
          </w:p>
          <w:p>
            <w:pPr>
              <w:pStyle w:val="12"/>
              <w:shd w:val="clear" w:color="auto" w:fill="auto"/>
              <w:spacing w:before="0" w:line="312" w:lineRule="exact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3、井下运输车辆是否定期维护保养。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left"/>
              <w:rPr>
                <w:rFonts w:asciiTheme="minorEastAsia" w:hAnsiTheme="minorEastAsia"/>
                <w:sz w:val="20"/>
                <w:szCs w:val="10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left"/>
              <w:rPr>
                <w:rFonts w:asciiTheme="minorEastAsia" w:hAnsiTheme="minorEastAsia"/>
                <w:sz w:val="2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54" w:hRule="exact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shd w:val="clear" w:color="auto" w:fill="auto"/>
              <w:spacing w:before="0" w:line="360" w:lineRule="exact"/>
              <w:jc w:val="center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顶板管理</w:t>
            </w:r>
          </w:p>
        </w:tc>
        <w:tc>
          <w:tcPr>
            <w:tcW w:w="561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pStyle w:val="12"/>
              <w:shd w:val="clear" w:color="auto" w:fill="auto"/>
              <w:spacing w:before="0" w:line="312" w:lineRule="exact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  <w:lang w:val="zh-CN"/>
              </w:rPr>
              <w:t>1</w:t>
            </w:r>
            <w:r>
              <w:rPr>
                <w:rStyle w:val="14"/>
                <w:rFonts w:hint="eastAsia" w:ascii="仿宋_GB2312" w:eastAsia="仿宋_GB2312" w:hAnsiTheme="minorEastAsia"/>
                <w:sz w:val="24"/>
                <w:szCs w:val="24"/>
              </w:rPr>
              <w:t>、</w:t>
            </w: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是否制定并落实</w:t>
            </w:r>
            <w:r>
              <w:rPr>
                <w:rStyle w:val="14"/>
                <w:rFonts w:hint="eastAsia" w:ascii="仿宋_GB2312" w:eastAsia="仿宋_GB2312" w:hAnsiTheme="minorEastAsia"/>
                <w:sz w:val="24"/>
                <w:szCs w:val="24"/>
              </w:rPr>
              <w:t>“</w:t>
            </w: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敲帮问顶</w:t>
            </w:r>
            <w:r>
              <w:rPr>
                <w:rStyle w:val="14"/>
                <w:rFonts w:hint="eastAsia" w:ascii="仿宋_GB2312" w:eastAsia="仿宋_GB2312" w:hAnsiTheme="minorEastAsia"/>
                <w:sz w:val="24"/>
                <w:szCs w:val="24"/>
              </w:rPr>
              <w:t>”</w:t>
            </w: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制度，厚矿体是否配备撬毛台车；</w:t>
            </w:r>
          </w:p>
          <w:p>
            <w:pPr>
              <w:pStyle w:val="12"/>
              <w:shd w:val="clear" w:color="auto" w:fill="auto"/>
              <w:spacing w:before="0" w:line="312" w:lineRule="exact"/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2、是否按设计要求采取支护措施，在不稳固的岩层中掘进时是否进行超前支护；</w:t>
            </w:r>
          </w:p>
          <w:p>
            <w:pPr>
              <w:pStyle w:val="12"/>
              <w:shd w:val="clear" w:color="auto" w:fill="auto"/>
              <w:spacing w:before="0" w:line="312" w:lineRule="exact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  <w:lang w:val="zh-CN"/>
              </w:rPr>
              <w:t>3</w:t>
            </w:r>
            <w:r>
              <w:rPr>
                <w:rStyle w:val="14"/>
                <w:rFonts w:hint="eastAsia" w:ascii="仿宋_GB2312" w:eastAsia="仿宋_GB2312" w:hAnsiTheme="minorEastAsia"/>
                <w:sz w:val="24"/>
                <w:szCs w:val="24"/>
              </w:rPr>
              <w:t>、</w:t>
            </w: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是否采用木材或者其他可燃材料作永久支护。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left"/>
              <w:rPr>
                <w:rFonts w:asciiTheme="minorEastAsia" w:hAnsiTheme="minorEastAsia"/>
                <w:sz w:val="20"/>
                <w:szCs w:val="10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left"/>
              <w:rPr>
                <w:rFonts w:asciiTheme="minorEastAsia" w:hAnsiTheme="minorEastAsia"/>
                <w:sz w:val="2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79" w:hRule="exact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shd w:val="clear" w:color="auto" w:fill="auto"/>
              <w:spacing w:before="0" w:line="360" w:lineRule="exact"/>
              <w:jc w:val="center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高处作业</w:t>
            </w:r>
          </w:p>
        </w:tc>
        <w:tc>
          <w:tcPr>
            <w:tcW w:w="561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pStyle w:val="12"/>
              <w:shd w:val="clear" w:color="auto" w:fill="auto"/>
              <w:spacing w:before="0" w:line="307" w:lineRule="exact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1</w:t>
            </w:r>
            <w:r>
              <w:rPr>
                <w:rStyle w:val="14"/>
                <w:rFonts w:hint="eastAsia" w:ascii="仿宋_GB2312" w:eastAsia="仿宋_GB2312" w:hAnsiTheme="minorEastAsia"/>
                <w:sz w:val="24"/>
                <w:szCs w:val="24"/>
              </w:rPr>
              <w:t>、</w:t>
            </w: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天井、溜井施工作业面是否有良好的照明；</w:t>
            </w:r>
          </w:p>
          <w:p>
            <w:pPr>
              <w:pStyle w:val="12"/>
              <w:shd w:val="clear" w:color="auto" w:fill="auto"/>
              <w:spacing w:before="0" w:line="307" w:lineRule="exact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2、天井、溜井采用普通法掘进时，是否按规定设置可靠的支护棚和工作平台；</w:t>
            </w:r>
          </w:p>
          <w:p>
            <w:pPr>
              <w:pStyle w:val="12"/>
              <w:shd w:val="clear" w:color="auto" w:fill="auto"/>
              <w:spacing w:before="0" w:line="307" w:lineRule="exact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3、天井、溜井、漏斗口等存在人员可能坠落的地方，是否设置警示标志、照明、护栏等安全设施。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left"/>
              <w:rPr>
                <w:rFonts w:asciiTheme="minorEastAsia" w:hAnsiTheme="minorEastAsia"/>
                <w:sz w:val="20"/>
                <w:szCs w:val="10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left"/>
              <w:rPr>
                <w:rFonts w:asciiTheme="minorEastAsia" w:hAnsiTheme="minorEastAsia"/>
                <w:sz w:val="2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50" w:hRule="exact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2"/>
              <w:shd w:val="clear" w:color="auto" w:fill="auto"/>
              <w:spacing w:before="0" w:line="360" w:lineRule="exact"/>
              <w:jc w:val="center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隐患排查 治理</w:t>
            </w:r>
          </w:p>
        </w:tc>
        <w:tc>
          <w:tcPr>
            <w:tcW w:w="5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12"/>
              <w:shd w:val="clear" w:color="auto" w:fill="auto"/>
              <w:spacing w:before="0" w:line="312" w:lineRule="exact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1</w:t>
            </w:r>
            <w:r>
              <w:rPr>
                <w:rStyle w:val="14"/>
                <w:rFonts w:hint="eastAsia" w:ascii="仿宋_GB2312" w:eastAsia="仿宋_GB2312" w:hAnsiTheme="minorEastAsia"/>
                <w:sz w:val="24"/>
                <w:szCs w:val="24"/>
              </w:rPr>
              <w:t>、</w:t>
            </w: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是否按照规定开展隐患排查治理；</w:t>
            </w:r>
          </w:p>
          <w:p>
            <w:pPr>
              <w:pStyle w:val="12"/>
              <w:shd w:val="clear" w:color="auto" w:fill="auto"/>
              <w:spacing w:before="0" w:line="312" w:lineRule="exact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2</w:t>
            </w:r>
            <w:r>
              <w:rPr>
                <w:rStyle w:val="14"/>
                <w:rFonts w:hint="eastAsia" w:ascii="仿宋_GB2312" w:eastAsia="仿宋_GB2312" w:hAnsiTheme="minorEastAsia"/>
                <w:sz w:val="24"/>
                <w:szCs w:val="24"/>
              </w:rPr>
              <w:t>、</w:t>
            </w: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非煤矿山安全整治三年行动</w:t>
            </w:r>
            <w:r>
              <w:rPr>
                <w:rStyle w:val="14"/>
                <w:rFonts w:hint="eastAsia" w:ascii="仿宋_GB2312" w:eastAsia="仿宋_GB2312" w:hAnsiTheme="minorEastAsia"/>
                <w:sz w:val="24"/>
                <w:szCs w:val="24"/>
              </w:rPr>
              <w:t>“</w:t>
            </w: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两清单一报告”，安全生产大检查、非煤矿山集中整治</w:t>
            </w:r>
            <w:r>
              <w:rPr>
                <w:rStyle w:val="14"/>
                <w:rFonts w:hint="eastAsia" w:ascii="仿宋_GB2312" w:eastAsia="仿宋_GB2312" w:hAnsiTheme="minorEastAsia"/>
                <w:sz w:val="24"/>
                <w:szCs w:val="24"/>
              </w:rPr>
              <w:t>“</w:t>
            </w: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开小灶”排查出的隐患是否按 照</w:t>
            </w:r>
            <w:r>
              <w:rPr>
                <w:rStyle w:val="14"/>
                <w:rFonts w:hint="eastAsia" w:ascii="仿宋_GB2312" w:eastAsia="仿宋_GB2312" w:hAnsiTheme="minorEastAsia"/>
                <w:sz w:val="24"/>
                <w:szCs w:val="24"/>
              </w:rPr>
              <w:t>“</w:t>
            </w: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五落实</w:t>
            </w:r>
            <w:r>
              <w:rPr>
                <w:rStyle w:val="14"/>
                <w:rFonts w:hint="eastAsia" w:ascii="仿宋_GB2312" w:eastAsia="仿宋_GB2312" w:hAnsiTheme="minorEastAsia"/>
                <w:sz w:val="24"/>
                <w:szCs w:val="24"/>
              </w:rPr>
              <w:t>”</w:t>
            </w:r>
            <w:r>
              <w:rPr>
                <w:rStyle w:val="10"/>
                <w:rFonts w:hint="eastAsia" w:ascii="仿宋_GB2312" w:eastAsia="仿宋_GB2312" w:hAnsiTheme="minorEastAsia"/>
                <w:sz w:val="24"/>
                <w:szCs w:val="24"/>
              </w:rPr>
              <w:t>进行整改。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jc w:val="left"/>
              <w:rPr>
                <w:rFonts w:asciiTheme="minorEastAsia" w:hAnsiTheme="minorEastAsia"/>
                <w:sz w:val="20"/>
                <w:szCs w:val="10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left"/>
              <w:rPr>
                <w:rFonts w:asciiTheme="minorEastAsia" w:hAnsiTheme="minorEastAsia"/>
                <w:sz w:val="20"/>
                <w:szCs w:val="10"/>
              </w:rPr>
            </w:pPr>
          </w:p>
        </w:tc>
      </w:tr>
    </w:tbl>
    <w:p>
      <w:pPr>
        <w:snapToGrid w:val="0"/>
        <w:spacing w:line="480" w:lineRule="exact"/>
        <w:rPr>
          <w:rFonts w:hint="eastAsia" w:ascii="仿宋_GB2312" w:eastAsia="仿宋_GB2312"/>
          <w:snapToGrid w:val="0"/>
          <w:kern w:val="0"/>
          <w:sz w:val="28"/>
          <w:szCs w:val="28"/>
        </w:rPr>
      </w:pPr>
    </w:p>
    <w:p>
      <w:pPr>
        <w:snapToGrid w:val="0"/>
        <w:spacing w:line="420" w:lineRule="exact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atang">
    <w:panose1 w:val="02030600000101010101"/>
    <w:charset w:val="81"/>
    <w:family w:val="roman"/>
    <w:pitch w:val="default"/>
    <w:sig w:usb0="B00002AF" w:usb1="69D77CFB" w:usb2="00000030" w:usb3="00000000" w:csb0="4008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77661963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hjNjlkNWI2OTgzOGEzMDAwMzBlZmIyZjZmZTFhMTkifQ=="/>
  </w:docVars>
  <w:rsids>
    <w:rsidRoot w:val="0075600F"/>
    <w:rsid w:val="0007434C"/>
    <w:rsid w:val="00093DF7"/>
    <w:rsid w:val="000C7F6C"/>
    <w:rsid w:val="001A08AA"/>
    <w:rsid w:val="00233CDB"/>
    <w:rsid w:val="00246747"/>
    <w:rsid w:val="0028077F"/>
    <w:rsid w:val="00286B62"/>
    <w:rsid w:val="00386E10"/>
    <w:rsid w:val="003E4A44"/>
    <w:rsid w:val="0041453F"/>
    <w:rsid w:val="00422E7A"/>
    <w:rsid w:val="00504A32"/>
    <w:rsid w:val="005071A6"/>
    <w:rsid w:val="00553164"/>
    <w:rsid w:val="005B6D0F"/>
    <w:rsid w:val="00656A89"/>
    <w:rsid w:val="006B5D52"/>
    <w:rsid w:val="00721D4E"/>
    <w:rsid w:val="0075600F"/>
    <w:rsid w:val="0079292C"/>
    <w:rsid w:val="007D0214"/>
    <w:rsid w:val="007E3AC0"/>
    <w:rsid w:val="008B7232"/>
    <w:rsid w:val="00904869"/>
    <w:rsid w:val="00921649"/>
    <w:rsid w:val="009340B7"/>
    <w:rsid w:val="009756B4"/>
    <w:rsid w:val="00A63A46"/>
    <w:rsid w:val="00A92EB4"/>
    <w:rsid w:val="00AA4C60"/>
    <w:rsid w:val="00B23C58"/>
    <w:rsid w:val="00C04601"/>
    <w:rsid w:val="00C14039"/>
    <w:rsid w:val="00C15A47"/>
    <w:rsid w:val="00CA20A0"/>
    <w:rsid w:val="00CB2635"/>
    <w:rsid w:val="00CC6053"/>
    <w:rsid w:val="00E071A8"/>
    <w:rsid w:val="00E9674C"/>
    <w:rsid w:val="00EC2B1D"/>
    <w:rsid w:val="00F60EE9"/>
    <w:rsid w:val="00FC6228"/>
    <w:rsid w:val="00FF0A55"/>
    <w:rsid w:val="061D3AC1"/>
    <w:rsid w:val="0FE708DB"/>
    <w:rsid w:val="131674A7"/>
    <w:rsid w:val="199A4788"/>
    <w:rsid w:val="1B953920"/>
    <w:rsid w:val="1E426F5B"/>
    <w:rsid w:val="226360A0"/>
    <w:rsid w:val="228D11B4"/>
    <w:rsid w:val="26EF6BA2"/>
    <w:rsid w:val="2D801010"/>
    <w:rsid w:val="330A1CE8"/>
    <w:rsid w:val="4AB26A7F"/>
    <w:rsid w:val="53F9480F"/>
    <w:rsid w:val="555D2102"/>
    <w:rsid w:val="616B5D24"/>
    <w:rsid w:val="637E0B79"/>
    <w:rsid w:val="75074B8A"/>
    <w:rsid w:val="79C013A9"/>
    <w:rsid w:val="7A92401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ourier New" w:hAnsi="Courier New" w:eastAsiaTheme="minorEastAsia" w:cs="Courier New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Theme="minorHAnsi" w:hAnsiTheme="minorHAnsi" w:cstheme="minorBidi"/>
      <w:kern w:val="2"/>
      <w:sz w:val="18"/>
      <w:szCs w:val="18"/>
    </w:rPr>
  </w:style>
  <w:style w:type="character" w:customStyle="1" w:styleId="8">
    <w:name w:val="标题 #2_"/>
    <w:basedOn w:val="5"/>
    <w:qFormat/>
    <w:uiPriority w:val="0"/>
    <w:rPr>
      <w:rFonts w:ascii="宋体" w:hAnsi="宋体" w:eastAsia="宋体" w:cs="宋体"/>
      <w:spacing w:val="-21"/>
      <w:sz w:val="43"/>
      <w:szCs w:val="43"/>
      <w:u w:val="none"/>
    </w:rPr>
  </w:style>
  <w:style w:type="character" w:customStyle="1" w:styleId="9">
    <w:name w:val="标题 #2"/>
    <w:basedOn w:val="8"/>
    <w:qFormat/>
    <w:uiPriority w:val="0"/>
    <w:rPr>
      <w:color w:val="000000"/>
      <w:w w:val="100"/>
      <w:position w:val="0"/>
      <w:lang w:val="zh-CN"/>
    </w:rPr>
  </w:style>
  <w:style w:type="character" w:customStyle="1" w:styleId="10">
    <w:name w:val="标题 #2 + Batang"/>
    <w:basedOn w:val="8"/>
    <w:qFormat/>
    <w:uiPriority w:val="0"/>
    <w:rPr>
      <w:rFonts w:ascii="Batang" w:hAnsi="Batang" w:eastAsia="Batang" w:cs="Batang"/>
      <w:color w:val="000000"/>
      <w:spacing w:val="0"/>
      <w:w w:val="100"/>
      <w:position w:val="0"/>
      <w:sz w:val="15"/>
      <w:szCs w:val="15"/>
    </w:rPr>
  </w:style>
  <w:style w:type="character" w:customStyle="1" w:styleId="11">
    <w:name w:val="正文文本_"/>
    <w:basedOn w:val="5"/>
    <w:link w:val="12"/>
    <w:qFormat/>
    <w:uiPriority w:val="0"/>
    <w:rPr>
      <w:rFonts w:ascii="宋体" w:hAnsi="宋体" w:eastAsia="宋体" w:cs="宋体"/>
      <w:spacing w:val="18"/>
      <w:sz w:val="29"/>
      <w:szCs w:val="29"/>
      <w:shd w:val="clear" w:color="auto" w:fill="FFFFFF"/>
    </w:rPr>
  </w:style>
  <w:style w:type="paragraph" w:customStyle="1" w:styleId="12">
    <w:name w:val="正文文本5"/>
    <w:basedOn w:val="1"/>
    <w:link w:val="11"/>
    <w:qFormat/>
    <w:uiPriority w:val="0"/>
    <w:pPr>
      <w:shd w:val="clear" w:color="auto" w:fill="FFFFFF"/>
      <w:spacing w:before="540" w:line="600" w:lineRule="exact"/>
      <w:jc w:val="left"/>
    </w:pPr>
    <w:rPr>
      <w:rFonts w:ascii="宋体" w:hAnsi="宋体" w:eastAsia="宋体" w:cs="宋体"/>
      <w:spacing w:val="18"/>
      <w:kern w:val="0"/>
      <w:sz w:val="29"/>
      <w:szCs w:val="29"/>
    </w:rPr>
  </w:style>
  <w:style w:type="character" w:customStyle="1" w:styleId="13">
    <w:name w:val="正文文本1"/>
    <w:basedOn w:val="11"/>
    <w:qFormat/>
    <w:uiPriority w:val="0"/>
    <w:rPr>
      <w:color w:val="000000"/>
      <w:w w:val="100"/>
      <w:position w:val="0"/>
      <w:lang w:val="zh-CN"/>
    </w:rPr>
  </w:style>
  <w:style w:type="character" w:customStyle="1" w:styleId="14">
    <w:name w:val="正文文本 + Batang"/>
    <w:basedOn w:val="11"/>
    <w:qFormat/>
    <w:uiPriority w:val="0"/>
    <w:rPr>
      <w:rFonts w:ascii="Batang" w:hAnsi="Batang" w:eastAsia="Batang" w:cs="Batang"/>
      <w:b/>
      <w:bCs/>
      <w:color w:val="000000"/>
      <w:spacing w:val="28"/>
      <w:w w:val="80"/>
      <w:position w:val="0"/>
      <w:sz w:val="27"/>
      <w:szCs w:val="27"/>
      <w:lang w:val="zh-CN"/>
    </w:rPr>
  </w:style>
  <w:style w:type="character" w:customStyle="1" w:styleId="15">
    <w:name w:val="正文文本2"/>
    <w:basedOn w:val="11"/>
    <w:qFormat/>
    <w:uiPriority w:val="0"/>
    <w:rPr>
      <w:color w:val="000000"/>
      <w:w w:val="100"/>
      <w:position w:val="0"/>
      <w:lang w:val="zh-CN"/>
    </w:rPr>
  </w:style>
  <w:style w:type="character" w:customStyle="1" w:styleId="16">
    <w:name w:val="正文文本 (6)_"/>
    <w:basedOn w:val="5"/>
    <w:qFormat/>
    <w:uiPriority w:val="0"/>
    <w:rPr>
      <w:rFonts w:ascii="宋体" w:hAnsi="宋体" w:eastAsia="宋体" w:cs="宋体"/>
      <w:spacing w:val="-14"/>
      <w:sz w:val="31"/>
      <w:szCs w:val="31"/>
      <w:u w:val="none"/>
    </w:rPr>
  </w:style>
  <w:style w:type="character" w:customStyle="1" w:styleId="17">
    <w:name w:val="正文文本 (6)"/>
    <w:basedOn w:val="16"/>
    <w:qFormat/>
    <w:uiPriority w:val="0"/>
    <w:rPr>
      <w:color w:val="000000"/>
      <w:w w:val="100"/>
      <w:position w:val="0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708</Words>
  <Characters>713</Characters>
  <Lines>28</Lines>
  <Paragraphs>8</Paragraphs>
  <TotalTime>196</TotalTime>
  <ScaleCrop>false</ScaleCrop>
  <LinksUpToDate>false</LinksUpToDate>
  <CharactersWithSpaces>920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2022-11-22T08:27:00Z</dcterms:created>
  <dc:creator>Administrator</dc:creator>
  <cp:lastModifiedBy>天涯</cp:lastModifiedBy>
  <cp:lastPrinted>2022-11-23T08:38:00Z</cp:lastPrinted>
  <dcterms:modified xsi:type="dcterms:W3CDTF">2022-11-30T08:11:13Z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E57AB214C6F9426C934D72E979C0FB21</vt:lpwstr>
  </property>
</Properties>
</file>