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附表6</w:t>
      </w:r>
    </w:p>
    <w:p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大田县本级支出预算说明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297892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19322</w:t>
      </w:r>
      <w:r>
        <w:rPr>
          <w:rFonts w:hint="eastAsia" w:ascii="仿宋" w:hAnsi="仿宋" w:eastAsia="仿宋"/>
          <w:kern w:val="0"/>
          <w:sz w:val="32"/>
          <w:szCs w:val="32"/>
        </w:rPr>
        <w:t>万元，增长6.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。具体情况如下（分款级科目表述）：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（一）一般公共服务支出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12149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1970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13.95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人大事务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27.58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政协事务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29.91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政府办公厅(室)及相关机构事务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1869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1.47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发展与改革事务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统计信息事务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3.74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财政事务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21.08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税收事务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765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91.62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审计事务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增加101万元，增长46.96%。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纪检监察事务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1333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268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16.74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商贸事务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1183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1.42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港澳台侨事务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17.86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档案事务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民主党派及工商联事务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群众团体事务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55.42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党委办公厅(室)及相关机构事务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22.21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组织事务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52.65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宣传事务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18.86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统战事务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15.22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其他共产党事务支出(款)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市场监督管理事务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1491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14.80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（二）国防支出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38.00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国防动员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其他国防支出(款)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71.79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（三）公共安全支出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13777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2777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25.25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. 公安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12859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3239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.司法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893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10.70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（四）教育支出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70824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12176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14.67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  <w:r>
        <w:rPr>
          <w:rFonts w:ascii="仿宋" w:hAnsi="仿宋" w:eastAsia="仿宋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教育管理事务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288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29.12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普通教育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64498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10090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13.53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职业教育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2868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2.32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成人教育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3.54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特殊教育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4.27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 进修及培训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 教育费附加安排的支出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</w:rPr>
        <w:t>46万元，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3.16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 其他教育支出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1755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99.38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（五）科学技术支出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1107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73.80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科学技术管理事务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技术研究与开发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9.89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 科学技术普及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18.11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（六）文化旅游体育与传媒支出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4909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1.82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文化和旅游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934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58.48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文物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1277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2140.35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体育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2448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2.24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新闻出版广播电影37万元，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广播电视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15.71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6.其他文化体育与传媒支出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73.65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（七）社会保障和就业支出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31738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11738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58.69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1.人力资源和社会保障管理事务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948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296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民政管理事务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940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12.07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行政事业单位离退休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839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417.90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就业补助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73.89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抚恤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1988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289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17.01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6.退役安置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26.76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7.社会福利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1564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24.72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8.残疾人事业169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0.30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 最低生活保障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3261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489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13.04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 临时救助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3万元，增长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3.51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11. 特困人员救助供养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1706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35.83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财政对基本养老保险基金的补助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17281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11276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187.78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13.财政对其他社会保险基金的补助500万元，上年未安排该预算。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.退役军人管理事务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81万元</w:t>
      </w:r>
      <w:r>
        <w:rPr>
          <w:rFonts w:hint="eastAsia" w:ascii="仿宋" w:hAnsi="仿宋" w:eastAsia="仿宋"/>
          <w:kern w:val="0"/>
          <w:sz w:val="32"/>
          <w:szCs w:val="32"/>
        </w:rPr>
        <w:t>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30.65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（八）卫生健康支出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16557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3443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17.22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卫生健康管理事务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860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65.95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公立医院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3867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11.79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基层医疗卫生机构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3308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8.62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公共卫生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3555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581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19.54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 计划生育事务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373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27.99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6. 财政对基本医疗保险基金的补助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3897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3839万元</w:t>
      </w:r>
      <w:r>
        <w:rPr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6618.97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9.医疗救助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4.58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10.优抚对象医疗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138.46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（九）节能环保支出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2400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13600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85.00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环境保护管理事务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1171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98.40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.污染防治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2115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60.30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.天然林保护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27.81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.能源节约利用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61.07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（十）城乡社区支出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4525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18949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80.72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城乡社区管理事务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1755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12.56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城乡社区公共设施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893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6715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88.26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. 城乡社区环境卫生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1495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. 其他城乡社区支出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10956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96.64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（十一）农林水支出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15653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11798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42.98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农业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6913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2134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23.59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林业和草原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2374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3347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58.50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水利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3347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7.31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 扶贫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4317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97.65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农村综合改革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1456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534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26.83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. 普惠金融发展支出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54.75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其他农林水支出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1052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32.33%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（十二）交通运输支出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1356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35644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96.34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公路水路运输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1343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68.36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成品油价格改革对交通运输的补贴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96.44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（十三）资源勘探信息等支出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50.25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制造业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39.53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工业和信息产业监管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208.70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 支持中小企业发展和管理支出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（十四）商业服务业等支出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449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49.89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商业流通事务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13.89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涉外发展服务支出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363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89.63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（十五）自然资源海洋气象等支出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4143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643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18.37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自然资源事务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4042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639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18.78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. 气象事务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7.37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（十六）住房保障支出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17.60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保障性安居工程支出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672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442.11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（十七）粮油物资储备支出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18.00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粮油事务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410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18.00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（十八）灾害防治及应急管理支出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1703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297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14.85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32"/>
          <w:szCs w:val="32"/>
        </w:rPr>
        <w:t>应急管理事务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770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2万元，增长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13.57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kern w:val="0"/>
          <w:sz w:val="32"/>
          <w:szCs w:val="32"/>
        </w:rPr>
        <w:t>消防事务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933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18.10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（十九）预备费3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00万元，较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26.67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预备费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3800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26.67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（二十）其他支出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103867万元，较2020年预算数增加103867万元。其中：</w:t>
      </w:r>
    </w:p>
    <w:p>
      <w:pPr>
        <w:numPr>
          <w:numId w:val="0"/>
        </w:num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其他支出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103867万元，较2020年预算数增加103867万元。</w:t>
      </w:r>
    </w:p>
    <w:p>
      <w:pPr>
        <w:numPr>
          <w:numId w:val="0"/>
        </w:num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kern w:val="0"/>
          <w:sz w:val="32"/>
          <w:szCs w:val="32"/>
        </w:rPr>
        <w:t>）债务付息支出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7968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2.60</w:t>
      </w:r>
      <w:r>
        <w:rPr>
          <w:rFonts w:hint="eastAsia" w:ascii="仿宋" w:hAnsi="仿宋" w:eastAsia="仿宋"/>
          <w:kern w:val="0"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 地方政府一般债务付息支出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7968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2.60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度大田县本级对下税收返还和转移支付预算数为11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680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2.19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3" w:firstLineChars="200"/>
        <w:rPr>
          <w:rStyle w:val="6"/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（一）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一般性转移支付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度大田县本级对下一般转移支付预算数为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11680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2.19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。具体情况如下（分项目表述）：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1.均衡性转移支付项目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7030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6.84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%。主要原因是人员经费的增加。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2.农村综合改革转移支付项目4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00万元，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4.55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3.固定数额项目450万元，较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预算数持平。</w:t>
      </w:r>
    </w:p>
    <w:p>
      <w:pPr>
        <w:spacing w:line="600" w:lineRule="exact"/>
        <w:ind w:firstLine="643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（二）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专项转移支付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度大田县本级对下专项转移支付预算数为0万元，没有安排对下专项转移支付，与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度预算数持平。</w:t>
      </w:r>
    </w:p>
    <w:p>
      <w:pPr>
        <w:spacing w:line="600" w:lineRule="exact"/>
        <w:ind w:firstLine="643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（三）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税收返还</w:t>
      </w:r>
    </w:p>
    <w:p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度大田县本级对下税收返还预算数为0万元，没有安排对下税收返还，与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Arial"/>
          <w:kern w:val="0"/>
          <w:sz w:val="32"/>
          <w:szCs w:val="32"/>
        </w:rPr>
        <w:t>度预算数持平。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spacing w:line="600" w:lineRule="exact"/>
        <w:ind w:firstLine="62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新增政府债务限额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34106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，实际发行新增债券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34106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14606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19500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）。截至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2020年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底，全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344318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" w:hAnsi="仿宋" w:eastAsia="仿宋"/>
          <w:kern w:val="0"/>
          <w:sz w:val="32"/>
          <w:szCs w:val="32"/>
        </w:rPr>
        <w:t>23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0653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113665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）；债务余额严格控制在上级核定的限额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425031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内。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，大田县财政部门对乡村发展、环境保护、交通发展，经济发展共四个领域的四个财政重点支出项目进行了绩效评价，涉及财政资金2940.57万元。其中，绩效等级达到“优”的有2项，达到“良”的有2项，评为“合格”的有0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1C1"/>
    <w:rsid w:val="00014BC1"/>
    <w:rsid w:val="00016532"/>
    <w:rsid w:val="000204A3"/>
    <w:rsid w:val="00034354"/>
    <w:rsid w:val="000460D2"/>
    <w:rsid w:val="00057A3C"/>
    <w:rsid w:val="000663D1"/>
    <w:rsid w:val="000729D7"/>
    <w:rsid w:val="000831D3"/>
    <w:rsid w:val="000B2EE1"/>
    <w:rsid w:val="000B6959"/>
    <w:rsid w:val="000C3ED9"/>
    <w:rsid w:val="00102DF0"/>
    <w:rsid w:val="00117FDC"/>
    <w:rsid w:val="00161FEF"/>
    <w:rsid w:val="00162CBE"/>
    <w:rsid w:val="00192866"/>
    <w:rsid w:val="00192F7D"/>
    <w:rsid w:val="001C07AC"/>
    <w:rsid w:val="001E5CF3"/>
    <w:rsid w:val="002030C8"/>
    <w:rsid w:val="00251502"/>
    <w:rsid w:val="00254A9C"/>
    <w:rsid w:val="0026161A"/>
    <w:rsid w:val="00262BC7"/>
    <w:rsid w:val="00263DCB"/>
    <w:rsid w:val="002A42E6"/>
    <w:rsid w:val="002B0047"/>
    <w:rsid w:val="002B1183"/>
    <w:rsid w:val="002C43D9"/>
    <w:rsid w:val="002C4C2D"/>
    <w:rsid w:val="002D0BDD"/>
    <w:rsid w:val="002D2384"/>
    <w:rsid w:val="002D3455"/>
    <w:rsid w:val="002E6A0D"/>
    <w:rsid w:val="002F6B56"/>
    <w:rsid w:val="003011BB"/>
    <w:rsid w:val="00313891"/>
    <w:rsid w:val="003965BE"/>
    <w:rsid w:val="003A39B2"/>
    <w:rsid w:val="003D40C3"/>
    <w:rsid w:val="003E5F9F"/>
    <w:rsid w:val="004013E0"/>
    <w:rsid w:val="00404CC5"/>
    <w:rsid w:val="00415BC1"/>
    <w:rsid w:val="004432BD"/>
    <w:rsid w:val="00447EAD"/>
    <w:rsid w:val="00470132"/>
    <w:rsid w:val="00484596"/>
    <w:rsid w:val="004B147F"/>
    <w:rsid w:val="004D746A"/>
    <w:rsid w:val="004D7870"/>
    <w:rsid w:val="004F72FB"/>
    <w:rsid w:val="00512F6F"/>
    <w:rsid w:val="00533BA1"/>
    <w:rsid w:val="00547CA3"/>
    <w:rsid w:val="00550FE0"/>
    <w:rsid w:val="005775D9"/>
    <w:rsid w:val="00580AD9"/>
    <w:rsid w:val="005D12B2"/>
    <w:rsid w:val="005D4739"/>
    <w:rsid w:val="005E1B47"/>
    <w:rsid w:val="006466B1"/>
    <w:rsid w:val="00651375"/>
    <w:rsid w:val="006629E2"/>
    <w:rsid w:val="00664FC2"/>
    <w:rsid w:val="00681AD6"/>
    <w:rsid w:val="00696375"/>
    <w:rsid w:val="006A07CA"/>
    <w:rsid w:val="006B5C74"/>
    <w:rsid w:val="006C115A"/>
    <w:rsid w:val="006E1DFB"/>
    <w:rsid w:val="00721544"/>
    <w:rsid w:val="00756B94"/>
    <w:rsid w:val="007853E1"/>
    <w:rsid w:val="00786E4A"/>
    <w:rsid w:val="0079240F"/>
    <w:rsid w:val="007A0B3E"/>
    <w:rsid w:val="007A5D24"/>
    <w:rsid w:val="007B4DC4"/>
    <w:rsid w:val="007C2441"/>
    <w:rsid w:val="00801520"/>
    <w:rsid w:val="00843AAA"/>
    <w:rsid w:val="00854FB9"/>
    <w:rsid w:val="00863589"/>
    <w:rsid w:val="0089454D"/>
    <w:rsid w:val="008E5EF0"/>
    <w:rsid w:val="008E6A19"/>
    <w:rsid w:val="00915B9E"/>
    <w:rsid w:val="00934A35"/>
    <w:rsid w:val="00935080"/>
    <w:rsid w:val="00971FC1"/>
    <w:rsid w:val="009A5972"/>
    <w:rsid w:val="009D23AB"/>
    <w:rsid w:val="009D34A6"/>
    <w:rsid w:val="009F2D83"/>
    <w:rsid w:val="00A07FF8"/>
    <w:rsid w:val="00A266AF"/>
    <w:rsid w:val="00A4439C"/>
    <w:rsid w:val="00A67FED"/>
    <w:rsid w:val="00A708B7"/>
    <w:rsid w:val="00A83AE0"/>
    <w:rsid w:val="00A84FA7"/>
    <w:rsid w:val="00AA258E"/>
    <w:rsid w:val="00AC2C32"/>
    <w:rsid w:val="00AD5A20"/>
    <w:rsid w:val="00AF1494"/>
    <w:rsid w:val="00B03E7C"/>
    <w:rsid w:val="00B40190"/>
    <w:rsid w:val="00B55793"/>
    <w:rsid w:val="00BA298D"/>
    <w:rsid w:val="00BC66A5"/>
    <w:rsid w:val="00BC7DE2"/>
    <w:rsid w:val="00BE0283"/>
    <w:rsid w:val="00BE45A9"/>
    <w:rsid w:val="00BE7253"/>
    <w:rsid w:val="00BF0B2E"/>
    <w:rsid w:val="00BF4FF5"/>
    <w:rsid w:val="00C03A3B"/>
    <w:rsid w:val="00C4045A"/>
    <w:rsid w:val="00C4201B"/>
    <w:rsid w:val="00C616D5"/>
    <w:rsid w:val="00C6556B"/>
    <w:rsid w:val="00C66FE8"/>
    <w:rsid w:val="00C9159F"/>
    <w:rsid w:val="00C91869"/>
    <w:rsid w:val="00C93DAA"/>
    <w:rsid w:val="00C95284"/>
    <w:rsid w:val="00C97218"/>
    <w:rsid w:val="00CA4C1D"/>
    <w:rsid w:val="00CA54BD"/>
    <w:rsid w:val="00CA6158"/>
    <w:rsid w:val="00D058B8"/>
    <w:rsid w:val="00D060BE"/>
    <w:rsid w:val="00D123E5"/>
    <w:rsid w:val="00D223C5"/>
    <w:rsid w:val="00D34AA8"/>
    <w:rsid w:val="00D435A1"/>
    <w:rsid w:val="00D60802"/>
    <w:rsid w:val="00D73266"/>
    <w:rsid w:val="00D735D9"/>
    <w:rsid w:val="00D905AB"/>
    <w:rsid w:val="00D9767D"/>
    <w:rsid w:val="00E043DF"/>
    <w:rsid w:val="00E06CBF"/>
    <w:rsid w:val="00E44D34"/>
    <w:rsid w:val="00E469B6"/>
    <w:rsid w:val="00E60F23"/>
    <w:rsid w:val="00E95AAE"/>
    <w:rsid w:val="00ED1F11"/>
    <w:rsid w:val="00ED7195"/>
    <w:rsid w:val="00EE575F"/>
    <w:rsid w:val="00EE6597"/>
    <w:rsid w:val="00F30635"/>
    <w:rsid w:val="00F852F9"/>
    <w:rsid w:val="00F86007"/>
    <w:rsid w:val="00FC3FD7"/>
    <w:rsid w:val="00FC6532"/>
    <w:rsid w:val="00FC6FDA"/>
    <w:rsid w:val="00FD52EE"/>
    <w:rsid w:val="00FE08D8"/>
    <w:rsid w:val="019437BE"/>
    <w:rsid w:val="09807E00"/>
    <w:rsid w:val="0D4E6AA9"/>
    <w:rsid w:val="17B80D00"/>
    <w:rsid w:val="1DDC2BCA"/>
    <w:rsid w:val="209E31AF"/>
    <w:rsid w:val="25CA76C8"/>
    <w:rsid w:val="26256CEA"/>
    <w:rsid w:val="274226FD"/>
    <w:rsid w:val="2EC07FB0"/>
    <w:rsid w:val="33C16E0E"/>
    <w:rsid w:val="36BD40B8"/>
    <w:rsid w:val="375755B9"/>
    <w:rsid w:val="3B6B03DE"/>
    <w:rsid w:val="3C5C388D"/>
    <w:rsid w:val="3E0B20AE"/>
    <w:rsid w:val="3E387A4A"/>
    <w:rsid w:val="54E8257E"/>
    <w:rsid w:val="5A346E69"/>
    <w:rsid w:val="61D10C1B"/>
    <w:rsid w:val="688B4934"/>
    <w:rsid w:val="719B7945"/>
    <w:rsid w:val="76CE03BF"/>
    <w:rsid w:val="7BB85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970</Words>
  <Characters>5529</Characters>
  <Lines>46</Lines>
  <Paragraphs>12</Paragraphs>
  <TotalTime>7</TotalTime>
  <ScaleCrop>false</ScaleCrop>
  <LinksUpToDate>false</LinksUpToDate>
  <CharactersWithSpaces>6487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null</cp:lastModifiedBy>
  <cp:lastPrinted>2018-01-09T06:37:00Z</cp:lastPrinted>
  <dcterms:modified xsi:type="dcterms:W3CDTF">2021-02-02T08:08:57Z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