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大田县本级支出预算说明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288447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14170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5.1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。具体情况如下（分款级科目表述）：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18327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4.82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人大事务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政协事务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9.51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政府办公厅(室)及相关机构事务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2737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发展与改革事务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统计信息事务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财政事务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税收事务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6.25%。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审计事务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纪检监察事务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45.82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商贸事务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2176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13.68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港澳台侨事务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档案事务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党委办公厅(室)及相关机构事务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组织事务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2.26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宣传事务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统战事务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其他共产党事务支出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社会</w:t>
      </w:r>
      <w:r>
        <w:rPr>
          <w:rFonts w:hint="eastAsia" w:ascii="仿宋" w:hAnsi="仿宋" w:eastAsia="仿宋"/>
          <w:kern w:val="0"/>
          <w:sz w:val="32"/>
          <w:szCs w:val="32"/>
        </w:rPr>
        <w:t>事务支出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 信访事务支出138万元，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 其他一般公共服务支出131万元，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29.71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国防动员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其他国防支出(款)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17406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3.74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 武警警察部队25万元，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公安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16048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司法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1333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2.53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103514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教育管理事务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普通教育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94812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职业教育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9.14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成人教育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33.73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特殊教育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6. 进修及培训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1444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10.4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 教育费附加安排的支出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 其他教育支出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1.59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科学技术管理事务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技术研究与开发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科学技术普及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6.77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其他科学技术支出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4845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563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13.15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文化和旅游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13.21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文物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13.21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体育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2554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新闻出版广播电影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广播电视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33.67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6.其他文化体育与传媒支出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39117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4.48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民政管理事务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行政事业单位养老支出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10335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就业补助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抚恤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2378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41.13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退役安置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社会福利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残疾人事业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红十字事业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最低生活保障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4129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 临时救助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 特困人员救助供养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12.其他生活救助9万元，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财政对基本养老保险基金的补助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12688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14.财政对其他社会保险基金的补助0万元，与上年持平。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.退役军人管理事务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131万元</w:t>
      </w:r>
      <w:r>
        <w:rPr>
          <w:rFonts w:hint="eastAsia" w:ascii="仿宋" w:hAnsi="仿宋" w:eastAsia="仿宋"/>
          <w:kern w:val="0"/>
          <w:sz w:val="32"/>
          <w:szCs w:val="32"/>
        </w:rPr>
        <w:t>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25.96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16.其他社会保障和就业支出99万元，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20624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1114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5.12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卫生健康管理事务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公立医院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2741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45.7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基层医疗卫生机构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4673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8.45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公共卫生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4781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23.99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计划生育事务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 行政事业单位医疗1000万元，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财政对基本医疗保险基金的补助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医疗救助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/>
          <w:kern w:val="0"/>
          <w:sz w:val="32"/>
          <w:szCs w:val="32"/>
        </w:rPr>
        <w:t>优抚对象医疗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 中医药事务50万元，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 其他卫生健康支出55万元，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77.42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3437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17.79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环境保护管理事务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污染防治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 森林保护修复1096万元，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1096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5949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6.89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3054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城乡社区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规划与管理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城乡社区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公共设施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 城乡社区环境卫生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1899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 其他城乡社区支出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12403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10.42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农业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林业和草原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3732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3.91%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水利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巩固脱贫攻坚成果衔接乡村振兴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 普惠金融发展支出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2519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公路水路运输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1919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2.其他交通运输支出600万元，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（十三）资源勘探信息等支出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16667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6322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61.11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资源勘探开发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16025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6505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制造业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16.84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工业和信息产业监管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110.4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 支持中小企业发展和管理支出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22.44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商业流通事务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涉外发展服务支出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（十五）自然资源海洋气象等支出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2131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气象事务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3.其他自然资源海洋气象等支出6000万元，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保障性安居工程支出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 城乡社区住宅支出0万元，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2.42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粮油事务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（十八）灾害防治及应急管理支出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2717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/>
        </w:rPr>
        <w:t>增加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248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/>
        </w:rPr>
        <w:t>增长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10.04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%，其中：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</w:rPr>
        <w:t>应急管理事务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1087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51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</w:rPr>
        <w:t>消防事务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1630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197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13.75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18623万元，较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预算数增加8552万元，增长84.92%。其中：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18623万元，较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预算数增加8552万元，增长84.92%。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5.7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地方政府一般债务付息支出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（二十二）债务发行费用支出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度大田县本级对下税收返还和转移支付预算数为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16850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度大田县本级对下一般转移支付预算数为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16800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>
      <w:pPr>
        <w:spacing w:line="60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1.体制补助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.均衡性转移支付项目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3.结算补助520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4.41%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.农村综合改革转移支付项目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.其他一般性转移支付支出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17.59%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度大田县本级对下专项转移支付预算数为0万元，没有安排对下专项转移支付，与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度大田县本级对下税收返还预算数为0万元，没有安排对下税收返还，与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41398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137774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31376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106398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2024年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741113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274247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466866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）；债务余额严格控制在上级核定的限额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772272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，大田县财政部门对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交通运输、卫生健康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个领域的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个财政重点支出项目进行了绩效评价，涉及财政资金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3254.8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万元。其中，绩效等级达到“优”的有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项，达到“良”的有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项，评为“合格”的有0项。</w:t>
      </w:r>
    </w:p>
    <w:p>
      <w:pPr>
        <w:spacing w:line="600" w:lineRule="exact"/>
        <w:ind w:firstLine="620"/>
        <w:rPr>
          <w:rFonts w:ascii="仿宋" w:hAnsi="仿宋" w:eastAsia="仿宋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1C1"/>
    <w:rsid w:val="00014BC1"/>
    <w:rsid w:val="00016532"/>
    <w:rsid w:val="000204A3"/>
    <w:rsid w:val="00034354"/>
    <w:rsid w:val="000460D2"/>
    <w:rsid w:val="00057A3C"/>
    <w:rsid w:val="000663D1"/>
    <w:rsid w:val="000729D7"/>
    <w:rsid w:val="000831D3"/>
    <w:rsid w:val="000B2EE1"/>
    <w:rsid w:val="000B6959"/>
    <w:rsid w:val="000C3ED9"/>
    <w:rsid w:val="00102DF0"/>
    <w:rsid w:val="00117FDC"/>
    <w:rsid w:val="00161FEF"/>
    <w:rsid w:val="00162CBE"/>
    <w:rsid w:val="00192866"/>
    <w:rsid w:val="00192F7D"/>
    <w:rsid w:val="001C07AC"/>
    <w:rsid w:val="001E5CF3"/>
    <w:rsid w:val="002030C8"/>
    <w:rsid w:val="00251502"/>
    <w:rsid w:val="00254A9C"/>
    <w:rsid w:val="0026161A"/>
    <w:rsid w:val="00262BC7"/>
    <w:rsid w:val="00263DCB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F6B56"/>
    <w:rsid w:val="003011BB"/>
    <w:rsid w:val="00313891"/>
    <w:rsid w:val="003965BE"/>
    <w:rsid w:val="003A39B2"/>
    <w:rsid w:val="003D40C3"/>
    <w:rsid w:val="003E5F9F"/>
    <w:rsid w:val="004013E0"/>
    <w:rsid w:val="00404CC5"/>
    <w:rsid w:val="00415BC1"/>
    <w:rsid w:val="004432BD"/>
    <w:rsid w:val="00447EAD"/>
    <w:rsid w:val="00470132"/>
    <w:rsid w:val="00484596"/>
    <w:rsid w:val="004B147F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D12B2"/>
    <w:rsid w:val="005D4739"/>
    <w:rsid w:val="005E1B47"/>
    <w:rsid w:val="006466B1"/>
    <w:rsid w:val="00651375"/>
    <w:rsid w:val="006629E2"/>
    <w:rsid w:val="00664FC2"/>
    <w:rsid w:val="00681AD6"/>
    <w:rsid w:val="00696375"/>
    <w:rsid w:val="006A07CA"/>
    <w:rsid w:val="006B5C74"/>
    <w:rsid w:val="006C115A"/>
    <w:rsid w:val="006E1DFB"/>
    <w:rsid w:val="00721544"/>
    <w:rsid w:val="00756B94"/>
    <w:rsid w:val="007853E1"/>
    <w:rsid w:val="00786E4A"/>
    <w:rsid w:val="0079240F"/>
    <w:rsid w:val="007A0B3E"/>
    <w:rsid w:val="007A5D24"/>
    <w:rsid w:val="007B4DC4"/>
    <w:rsid w:val="007C2441"/>
    <w:rsid w:val="00801520"/>
    <w:rsid w:val="00843AAA"/>
    <w:rsid w:val="00854FB9"/>
    <w:rsid w:val="00863589"/>
    <w:rsid w:val="0089454D"/>
    <w:rsid w:val="008E5EF0"/>
    <w:rsid w:val="008E6A19"/>
    <w:rsid w:val="00915B9E"/>
    <w:rsid w:val="00934A35"/>
    <w:rsid w:val="00935080"/>
    <w:rsid w:val="00971FC1"/>
    <w:rsid w:val="009A5972"/>
    <w:rsid w:val="009D23AB"/>
    <w:rsid w:val="009D34A6"/>
    <w:rsid w:val="009F2D83"/>
    <w:rsid w:val="00A07FF8"/>
    <w:rsid w:val="00A266AF"/>
    <w:rsid w:val="00A4439C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40190"/>
    <w:rsid w:val="00B55793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616D5"/>
    <w:rsid w:val="00C6556B"/>
    <w:rsid w:val="00C66FE8"/>
    <w:rsid w:val="00C9159F"/>
    <w:rsid w:val="00C91869"/>
    <w:rsid w:val="00C93DAA"/>
    <w:rsid w:val="00C95284"/>
    <w:rsid w:val="00C97218"/>
    <w:rsid w:val="00CA4C1D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266"/>
    <w:rsid w:val="00D735D9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30635"/>
    <w:rsid w:val="00F852F9"/>
    <w:rsid w:val="00F86007"/>
    <w:rsid w:val="00FC3FD7"/>
    <w:rsid w:val="00FC6532"/>
    <w:rsid w:val="00FC6FDA"/>
    <w:rsid w:val="00FD52EE"/>
    <w:rsid w:val="00FE08D8"/>
    <w:rsid w:val="019437BE"/>
    <w:rsid w:val="09807E00"/>
    <w:rsid w:val="0D4E6AA9"/>
    <w:rsid w:val="17B80D00"/>
    <w:rsid w:val="1DDC2BCA"/>
    <w:rsid w:val="209E31AF"/>
    <w:rsid w:val="25CA76C8"/>
    <w:rsid w:val="26256CEA"/>
    <w:rsid w:val="274226FD"/>
    <w:rsid w:val="27C9D0A6"/>
    <w:rsid w:val="2EC07FB0"/>
    <w:rsid w:val="2FE512CD"/>
    <w:rsid w:val="33C16E0E"/>
    <w:rsid w:val="36BD40B8"/>
    <w:rsid w:val="375755B9"/>
    <w:rsid w:val="37DB7B51"/>
    <w:rsid w:val="39AF8C03"/>
    <w:rsid w:val="3B6B03DE"/>
    <w:rsid w:val="3C5C388D"/>
    <w:rsid w:val="3E0B20AE"/>
    <w:rsid w:val="3E387A4A"/>
    <w:rsid w:val="4D7674C9"/>
    <w:rsid w:val="54E8257E"/>
    <w:rsid w:val="5A346E69"/>
    <w:rsid w:val="5BAE5FC2"/>
    <w:rsid w:val="5EFAE343"/>
    <w:rsid w:val="5FBA6973"/>
    <w:rsid w:val="5FEFD058"/>
    <w:rsid w:val="5FFE2F7B"/>
    <w:rsid w:val="61D10C1B"/>
    <w:rsid w:val="64FF8C7F"/>
    <w:rsid w:val="688B4934"/>
    <w:rsid w:val="68FEAD01"/>
    <w:rsid w:val="6BFFA00B"/>
    <w:rsid w:val="719B7945"/>
    <w:rsid w:val="759B3ECC"/>
    <w:rsid w:val="76CE03BF"/>
    <w:rsid w:val="76DB4578"/>
    <w:rsid w:val="7ABFBC93"/>
    <w:rsid w:val="7BB85AF4"/>
    <w:rsid w:val="7BDE6F3B"/>
    <w:rsid w:val="7BF7229E"/>
    <w:rsid w:val="7DFB937A"/>
    <w:rsid w:val="7E99DAFD"/>
    <w:rsid w:val="7EABA666"/>
    <w:rsid w:val="7F73A5A2"/>
    <w:rsid w:val="7FB771EE"/>
    <w:rsid w:val="7FFEDBE5"/>
    <w:rsid w:val="9F687877"/>
    <w:rsid w:val="B6DF4A78"/>
    <w:rsid w:val="BEFD930E"/>
    <w:rsid w:val="C2B4D401"/>
    <w:rsid w:val="CBBBDE74"/>
    <w:rsid w:val="CDDF2D41"/>
    <w:rsid w:val="D4FE23D7"/>
    <w:rsid w:val="D517F34A"/>
    <w:rsid w:val="DB2FB19F"/>
    <w:rsid w:val="DEFEEFCD"/>
    <w:rsid w:val="E1F6B7F0"/>
    <w:rsid w:val="E967E542"/>
    <w:rsid w:val="EF3AFCF2"/>
    <w:rsid w:val="EF6FB467"/>
    <w:rsid w:val="EFBFC80B"/>
    <w:rsid w:val="F7FBD022"/>
    <w:rsid w:val="F7FF55FA"/>
    <w:rsid w:val="F9FD1536"/>
    <w:rsid w:val="FAF76A4D"/>
    <w:rsid w:val="FDFE51B2"/>
    <w:rsid w:val="FE736A2B"/>
    <w:rsid w:val="FF855930"/>
    <w:rsid w:val="FF9F6BEE"/>
    <w:rsid w:val="FFAD7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5529</Characters>
  <Lines>46</Lines>
  <Paragraphs>12</Paragraphs>
  <TotalTime>131</TotalTime>
  <ScaleCrop>false</ScaleCrop>
  <LinksUpToDate>false</LinksUpToDate>
  <CharactersWithSpaces>6487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2018-01-07T08:12:00Z</dcterms:created>
  <dc:creator>何吾志</dc:creator>
  <cp:lastModifiedBy>李丹丹</cp:lastModifiedBy>
  <cp:lastPrinted>2018-01-14T06:37:00Z</cp:lastPrinted>
  <dcterms:modified xsi:type="dcterms:W3CDTF">2025-03-06T11:08:33Z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