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widowControl/>
        <w:jc w:val="center"/>
        <w:rPr>
          <w:sz w:val="32"/>
          <w:szCs w:val="32"/>
          <w:highlight w:val="none"/>
        </w:rPr>
      </w:pPr>
    </w:p>
    <w:p>
      <w:pPr>
        <w:widowControl/>
        <w:jc w:val="both"/>
        <w:rPr>
          <w:sz w:val="84"/>
          <w:szCs w:val="84"/>
          <w:highlight w:val="none"/>
        </w:rPr>
      </w:pP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pPr>
        <w:widowControl/>
        <w:jc w:val="center"/>
        <w:rPr>
          <w:rFonts w:hint="eastAsia" w:ascii="方正小标宋简体" w:eastAsia="方正小标宋简体"/>
          <w:b/>
          <w:bCs/>
          <w:sz w:val="84"/>
          <w:szCs w:val="84"/>
          <w:highlight w:val="none"/>
          <w:lang w:eastAsia="zh-CN"/>
        </w:rPr>
      </w:pPr>
      <w:r>
        <w:rPr>
          <w:rFonts w:hint="eastAsia" w:ascii="方正小标宋简体" w:eastAsia="方正小标宋简体"/>
          <w:b/>
          <w:bCs/>
          <w:sz w:val="84"/>
          <w:szCs w:val="84"/>
          <w:highlight w:val="none"/>
        </w:rPr>
        <w:t>大田县</w:t>
      </w:r>
      <w:r>
        <w:rPr>
          <w:rFonts w:hint="eastAsia" w:ascii="方正小标宋简体" w:eastAsia="方正小标宋简体"/>
          <w:b/>
          <w:bCs/>
          <w:sz w:val="84"/>
          <w:szCs w:val="84"/>
          <w:highlight w:val="none"/>
          <w:lang w:eastAsia="zh-CN"/>
        </w:rPr>
        <w:t>屏山乡人民政府</w:t>
      </w:r>
    </w:p>
    <w:p>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u w:val="none" w:color="auto"/>
          <w:lang w:val="en-US" w:eastAsia="zh-CN"/>
        </w:rPr>
        <w:t>部门</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pPr>
            <w:pStyle w:val="17"/>
            <w:tabs>
              <w:tab w:val="right" w:leader="dot" w:pos="9730"/>
            </w:tabs>
            <w:ind w:left="0" w:leftChars="0" w:firstLine="0" w:firstLineChars="0"/>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"_Toc256000052"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部门概况</w:t>
          </w:r>
          <w:r>
            <w:tab/>
          </w:r>
          <w:r>
            <w:fldChar w:fldCharType="begin"/>
          </w:r>
          <w:r>
            <w:instrText xml:space="preserve"> PAGEREF _Toc256000052 \h </w:instrText>
          </w:r>
          <w:r>
            <w:fldChar w:fldCharType="separate"/>
          </w:r>
          <w:r>
            <w:t>1</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"_Toc256000053" </w:instrText>
          </w:r>
          <w:r>
            <w:fldChar w:fldCharType="separate"/>
          </w:r>
          <w:r>
            <w:rPr>
              <w:rStyle w:val="22"/>
              <w:rFonts w:ascii="仿宋" w:hAnsi="仿宋" w:eastAsia="仿宋" w:cs="仿宋"/>
            </w:rPr>
            <w:t>一、部门主要职责</w:t>
          </w:r>
          <w:r>
            <w:tab/>
          </w:r>
          <w:r>
            <w:fldChar w:fldCharType="begin"/>
          </w:r>
          <w:r>
            <w:instrText xml:space="preserve"> PAGEREF _Toc256000053 \h </w:instrText>
          </w:r>
          <w:r>
            <w:fldChar w:fldCharType="separate"/>
          </w:r>
          <w:r>
            <w:t>2</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"_Toc256000054" </w:instrText>
          </w:r>
          <w:r>
            <w:fldChar w:fldCharType="separate"/>
          </w:r>
          <w:r>
            <w:rPr>
              <w:rStyle w:val="22"/>
              <w:rFonts w:ascii="仿宋" w:hAnsi="仿宋" w:eastAsia="仿宋" w:cs="仿宋"/>
            </w:rPr>
            <w:t>二、部门决算单位基本情况</w:t>
          </w:r>
          <w:r>
            <w:tab/>
          </w:r>
          <w:r>
            <w:fldChar w:fldCharType="begin"/>
          </w:r>
          <w:r>
            <w:instrText xml:space="preserve"> PAGEREF _Toc256000054 \h </w:instrText>
          </w:r>
          <w:r>
            <w:fldChar w:fldCharType="separate"/>
          </w:r>
          <w:r>
            <w:t>3</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"_Toc256000055" </w:instrText>
          </w:r>
          <w:r>
            <w:fldChar w:fldCharType="separate"/>
          </w:r>
          <w:r>
            <w:rPr>
              <w:rStyle w:val="22"/>
              <w:rFonts w:ascii="仿宋" w:hAnsi="仿宋" w:eastAsia="仿宋" w:cs="仿宋"/>
            </w:rPr>
            <w:t>三、部门主要工作总结</w:t>
          </w:r>
          <w:r>
            <w:tab/>
          </w:r>
          <w:r>
            <w:fldChar w:fldCharType="begin"/>
          </w:r>
          <w:r>
            <w:instrText xml:space="preserve"> PAGEREF _Toc256000055 \h </w:instrText>
          </w:r>
          <w:r>
            <w:fldChar w:fldCharType="separate"/>
          </w:r>
          <w:r>
            <w:t>3</w:t>
          </w:r>
          <w:r>
            <w:fldChar w:fldCharType="end"/>
          </w:r>
          <w:r>
            <w:fldChar w:fldCharType="end"/>
          </w:r>
        </w:p>
        <w:p>
          <w:pPr>
            <w:pStyle w:val="17"/>
            <w:tabs>
              <w:tab w:val="right" w:leader="dot" w:pos="9730"/>
            </w:tabs>
            <w:ind w:left="0" w:leftChars="0" w:firstLine="0" w:firstLineChars="0"/>
            <w:rPr>
              <w:rFonts w:asciiTheme="minorHAnsi" w:hAnsiTheme="minorHAnsi"/>
              <w:sz w:val="22"/>
            </w:rPr>
          </w:pPr>
          <w:r>
            <w:fldChar w:fldCharType="begin"/>
          </w:r>
          <w:r>
            <w:instrText xml:space="preserve"> HYPERLINK \l "_Toc256000056"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2024年度部门决算表</w:t>
          </w:r>
          <w:r>
            <w:tab/>
          </w:r>
          <w:r>
            <w:fldChar w:fldCharType="begin"/>
          </w:r>
          <w:r>
            <w:instrText xml:space="preserve"> PAGEREF _Toc256000056 \h </w:instrText>
          </w:r>
          <w:r>
            <w:fldChar w:fldCharType="separate"/>
          </w:r>
          <w:r>
            <w:t>5</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"_Toc256000057" </w:instrText>
          </w:r>
          <w:r>
            <w:fldChar w:fldCharType="separate"/>
          </w:r>
          <w:r>
            <w:rPr>
              <w:rStyle w:val="22"/>
              <w:rFonts w:ascii="仿宋" w:hAnsi="仿宋" w:eastAsia="仿宋" w:cs="仿宋"/>
            </w:rPr>
            <w:t>一、收入支出决算总表</w:t>
          </w:r>
          <w:r>
            <w:tab/>
          </w:r>
          <w:r>
            <w:fldChar w:fldCharType="begin"/>
          </w:r>
          <w:r>
            <w:instrText xml:space="preserve"> PAGEREF _Toc256000057 \h </w:instrText>
          </w:r>
          <w:r>
            <w:fldChar w:fldCharType="separate"/>
          </w:r>
          <w:r>
            <w:t>6</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"_Toc256000058" </w:instrText>
          </w:r>
          <w:r>
            <w:fldChar w:fldCharType="separate"/>
          </w:r>
          <w:r>
            <w:rPr>
              <w:rStyle w:val="22"/>
              <w:rFonts w:ascii="仿宋" w:hAnsi="仿宋" w:eastAsia="仿宋" w:cs="仿宋"/>
            </w:rPr>
            <w:t>二、收入决算表</w:t>
          </w:r>
          <w:r>
            <w:tab/>
          </w:r>
          <w:r>
            <w:fldChar w:fldCharType="begin"/>
          </w:r>
          <w:r>
            <w:instrText xml:space="preserve"> PAGEREF _Toc256000058 \h </w:instrText>
          </w:r>
          <w:r>
            <w:fldChar w:fldCharType="separate"/>
          </w:r>
          <w:r>
            <w:t>8</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"_Toc256000059" </w:instrText>
          </w:r>
          <w:r>
            <w:fldChar w:fldCharType="separate"/>
          </w:r>
          <w:r>
            <w:rPr>
              <w:rStyle w:val="22"/>
              <w:rFonts w:ascii="仿宋" w:hAnsi="仿宋" w:eastAsia="仿宋" w:cs="仿宋"/>
            </w:rPr>
            <w:t>三、支出决算表</w:t>
          </w:r>
          <w:r>
            <w:tab/>
          </w:r>
          <w:r>
            <w:fldChar w:fldCharType="begin"/>
          </w:r>
          <w:r>
            <w:instrText xml:space="preserve"> PAGEREF _Toc256000059 \h </w:instrText>
          </w:r>
          <w:r>
            <w:fldChar w:fldCharType="separate"/>
          </w:r>
          <w:r>
            <w:t>12</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"_Toc256000060" </w:instrText>
          </w:r>
          <w:r>
            <w:fldChar w:fldCharType="separate"/>
          </w:r>
          <w:r>
            <w:rPr>
              <w:rStyle w:val="22"/>
              <w:rFonts w:ascii="仿宋" w:hAnsi="仿宋" w:eastAsia="仿宋" w:cs="仿宋"/>
            </w:rPr>
            <w:t>四、财政拨款收入支出决算总表</w:t>
          </w:r>
          <w:r>
            <w:tab/>
          </w:r>
          <w:r>
            <w:fldChar w:fldCharType="begin"/>
          </w:r>
          <w:r>
            <w:instrText xml:space="preserve"> PAGEREF _Toc256000060 \h </w:instrText>
          </w:r>
          <w:r>
            <w:fldChar w:fldCharType="separate"/>
          </w:r>
          <w:r>
            <w:t>15</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"_Toc256000061"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_Toc256000061 \h </w:instrText>
          </w:r>
          <w:r>
            <w:fldChar w:fldCharType="separate"/>
          </w:r>
          <w:r>
            <w:t>18</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"_Toc256000062"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_Toc256000062 \h </w:instrText>
          </w:r>
          <w:r>
            <w:fldChar w:fldCharType="separate"/>
          </w:r>
          <w:r>
            <w:t>20</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"_Toc256000063"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_Toc256000063 \h </w:instrText>
          </w:r>
          <w:r>
            <w:fldChar w:fldCharType="separate"/>
          </w:r>
          <w:r>
            <w:t>23</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"_Toc256000064"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_Toc256000064 \h </w:instrText>
          </w:r>
          <w:r>
            <w:fldChar w:fldCharType="separate"/>
          </w:r>
          <w:r>
            <w:t>24</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"_Toc256000065"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_Toc256000065 \h </w:instrText>
          </w:r>
          <w:r>
            <w:fldChar w:fldCharType="separate"/>
          </w:r>
          <w:r>
            <w:t>25</w:t>
          </w:r>
          <w:r>
            <w:fldChar w:fldCharType="end"/>
          </w:r>
          <w:r>
            <w:fldChar w:fldCharType="end"/>
          </w:r>
        </w:p>
        <w:p>
          <w:pPr>
            <w:pStyle w:val="17"/>
            <w:tabs>
              <w:tab w:val="right" w:leader="dot" w:pos="9730"/>
            </w:tabs>
            <w:ind w:left="0" w:leftChars="0" w:firstLine="0" w:firstLineChars="0"/>
            <w:rPr>
              <w:rFonts w:asciiTheme="minorHAnsi" w:hAnsiTheme="minorHAnsi"/>
              <w:sz w:val="22"/>
            </w:rPr>
          </w:pPr>
          <w:r>
            <w:fldChar w:fldCharType="begin"/>
          </w:r>
          <w:r>
            <w:instrText xml:space="preserve"> HYPERLINK \l "_Toc256000066"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2024年度部门决算情况说明</w:t>
          </w:r>
          <w:r>
            <w:tab/>
          </w:r>
          <w:r>
            <w:fldChar w:fldCharType="begin"/>
          </w:r>
          <w:r>
            <w:instrText xml:space="preserve"> PAGEREF _Toc256000066 \h </w:instrText>
          </w:r>
          <w:r>
            <w:fldChar w:fldCharType="separate"/>
          </w:r>
          <w:r>
            <w:t>26</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"_Toc256000067" </w:instrText>
          </w:r>
          <w:r>
            <w:fldChar w:fldCharType="separate"/>
          </w:r>
          <w:r>
            <w:rPr>
              <w:rStyle w:val="22"/>
              <w:rFonts w:ascii="仿宋" w:hAnsi="仿宋" w:eastAsia="仿宋" w:cs="仿宋"/>
            </w:rPr>
            <w:t>一、收入支出决算总体情况说明</w:t>
          </w:r>
          <w:r>
            <w:tab/>
          </w:r>
          <w:r>
            <w:fldChar w:fldCharType="begin"/>
          </w:r>
          <w:r>
            <w:instrText xml:space="preserve"> PAGEREF _Toc256000067 \h </w:instrText>
          </w:r>
          <w:r>
            <w:fldChar w:fldCharType="separate"/>
          </w:r>
          <w:r>
            <w:t>27</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"_Toc256000068"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_Toc256000068 \h </w:instrText>
          </w:r>
          <w:r>
            <w:fldChar w:fldCharType="separate"/>
          </w:r>
          <w:r>
            <w:t>28</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"_Toc256000069"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_Toc256000069 \h </w:instrText>
          </w:r>
          <w:r>
            <w:fldChar w:fldCharType="separate"/>
          </w:r>
          <w:r>
            <w:t>28</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"_Toc256000070"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_Toc256000070 \h </w:instrText>
          </w:r>
          <w:r>
            <w:fldChar w:fldCharType="separate"/>
          </w:r>
          <w:r>
            <w:t>30</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"_Toc256000071"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_Toc256000071 \h </w:instrText>
          </w:r>
          <w:r>
            <w:fldChar w:fldCharType="separate"/>
          </w:r>
          <w:r>
            <w:t>30</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"_Toc256000072"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_Toc256000072 \h </w:instrText>
          </w:r>
          <w:r>
            <w:fldChar w:fldCharType="separate"/>
          </w:r>
          <w:r>
            <w:t>30</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"_Toc256000073" </w:instrText>
          </w:r>
          <w:r>
            <w:fldChar w:fldCharType="separate"/>
          </w:r>
          <w:r>
            <w:rPr>
              <w:rStyle w:val="22"/>
              <w:rFonts w:ascii="仿宋" w:hAnsi="仿宋" w:eastAsia="仿宋" w:cs="仿宋"/>
            </w:rPr>
            <w:t>七、一般公共预算财政拨款“三公”经费支出决算情况说明</w:t>
          </w:r>
          <w:r>
            <w:tab/>
          </w:r>
          <w:r>
            <w:fldChar w:fldCharType="begin"/>
          </w:r>
          <w:r>
            <w:instrText xml:space="preserve"> PAGEREF _Toc256000073 \h </w:instrText>
          </w:r>
          <w:r>
            <w:fldChar w:fldCharType="separate"/>
          </w:r>
          <w:r>
            <w:t>30</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"_Toc256000074" </w:instrText>
          </w:r>
          <w:r>
            <w:fldChar w:fldCharType="separate"/>
          </w:r>
          <w:r>
            <w:rPr>
              <w:rStyle w:val="22"/>
              <w:rFonts w:ascii="仿宋" w:hAnsi="仿宋" w:eastAsia="仿宋" w:cs="仿宋"/>
            </w:rPr>
            <w:t>八、预算绩效情况说明</w:t>
          </w:r>
          <w:r>
            <w:tab/>
          </w:r>
          <w:r>
            <w:fldChar w:fldCharType="begin"/>
          </w:r>
          <w:r>
            <w:instrText xml:space="preserve"> PAGEREF _Toc256000074 \h </w:instrText>
          </w:r>
          <w:r>
            <w:fldChar w:fldCharType="separate"/>
          </w:r>
          <w:r>
            <w:t>31</w:t>
          </w:r>
          <w:r>
            <w:fldChar w:fldCharType="end"/>
          </w:r>
          <w:r>
            <w:fldChar w:fldCharType="end"/>
          </w:r>
        </w:p>
        <w:p>
          <w:pPr>
            <w:pStyle w:val="10"/>
            <w:tabs>
              <w:tab w:val="right" w:leader="dot" w:pos="9730"/>
            </w:tabs>
            <w:ind w:left="0" w:leftChars="0" w:firstLine="640" w:firstLineChars="200"/>
            <w:rPr>
              <w:rFonts w:asciiTheme="minorHAnsi" w:hAnsiTheme="minorHAnsi"/>
              <w:sz w:val="22"/>
            </w:rPr>
          </w:pPr>
          <w:r>
            <w:fldChar w:fldCharType="begin"/>
          </w:r>
          <w:r>
            <w:instrText xml:space="preserve"> HYPERLINK \l "_Toc256000075" </w:instrText>
          </w:r>
          <w:r>
            <w:fldChar w:fldCharType="separate"/>
          </w:r>
          <w:r>
            <w:rPr>
              <w:rStyle w:val="22"/>
              <w:rFonts w:ascii="仿宋" w:hAnsi="仿宋" w:eastAsia="仿宋" w:cs="仿宋"/>
            </w:rPr>
            <w:t>九、其他重要事项说明</w:t>
          </w:r>
          <w:r>
            <w:tab/>
          </w:r>
          <w:r>
            <w:fldChar w:fldCharType="begin"/>
          </w:r>
          <w:r>
            <w:instrText xml:space="preserve"> PAGEREF _Toc256000075 \h </w:instrText>
          </w:r>
          <w:r>
            <w:fldChar w:fldCharType="separate"/>
          </w:r>
          <w:r>
            <w:t>32</w:t>
          </w:r>
          <w:r>
            <w:fldChar w:fldCharType="end"/>
          </w:r>
          <w:r>
            <w:fldChar w:fldCharType="end"/>
          </w:r>
        </w:p>
        <w:p>
          <w:pPr>
            <w:pStyle w:val="17"/>
            <w:tabs>
              <w:tab w:val="right" w:leader="dot" w:pos="9730"/>
            </w:tabs>
            <w:ind w:left="0" w:leftChars="0" w:firstLine="0" w:firstLineChars="0"/>
            <w:rPr>
              <w:rFonts w:asciiTheme="minorHAnsi" w:hAnsiTheme="minorHAnsi"/>
              <w:sz w:val="22"/>
            </w:rPr>
          </w:pPr>
          <w:r>
            <w:fldChar w:fldCharType="begin"/>
          </w:r>
          <w:r>
            <w:instrText xml:space="preserve"> HYPERLINK \l "_Toc256000076"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_Toc256000076 \h </w:instrText>
          </w:r>
          <w:r>
            <w:fldChar w:fldCharType="separate"/>
          </w:r>
          <w:r>
            <w:t>33</w:t>
          </w:r>
          <w:r>
            <w:fldChar w:fldCharType="end"/>
          </w:r>
          <w:r>
            <w:fldChar w:fldCharType="end"/>
          </w:r>
        </w:p>
        <w:p>
          <w:pPr>
            <w:pStyle w:val="17"/>
            <w:tabs>
              <w:tab w:val="right" w:leader="dot" w:pos="9730"/>
            </w:tabs>
            <w:ind w:left="0" w:leftChars="0" w:firstLine="0" w:firstLineChars="0"/>
            <w:rPr>
              <w:rFonts w:asciiTheme="minorHAnsi" w:hAnsiTheme="minorHAnsi"/>
              <w:sz w:val="22"/>
            </w:rPr>
          </w:pPr>
          <w:r>
            <w:fldChar w:fldCharType="begin"/>
          </w:r>
          <w:r>
            <w:instrText xml:space="preserve"> HYPERLINK \l "_Toc256000077"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_Toc256000077 \h </w:instrText>
          </w:r>
          <w:r>
            <w:fldChar w:fldCharType="separate"/>
          </w:r>
          <w:r>
            <w:t>36</w:t>
          </w:r>
          <w:r>
            <w:fldChar w:fldCharType="end"/>
          </w:r>
          <w:r>
            <w:fldChar w:fldCharType="end"/>
          </w:r>
        </w:p>
        <w:p>
          <w:pPr>
            <w:adjustRightInd w:val="0"/>
            <w:snapToGrid w:val="0"/>
            <w:rPr>
              <w:rFonts w:ascii="宋体" w:hAnsi="宋体"/>
              <w:b/>
              <w:sz w:val="32"/>
              <w:szCs w:val="32"/>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pPr>
        <w:pStyle w:val="28"/>
        <w:widowControl/>
        <w:spacing w:before="100" w:after="100"/>
        <w:ind w:left="100" w:right="100" w:firstLine="0"/>
        <w:jc w:val="left"/>
        <w:rPr>
          <w:rFonts w:ascii="Times New Roman" w:hAnsi="Times New Roman" w:eastAsia="Times New Roman" w:cs="Times New Roman"/>
          <w:kern w:val="0"/>
          <w:sz w:val="24"/>
        </w:rPr>
      </w:pPr>
      <w:bookmarkStart w:id="0" w:name="a000"/>
    </w:p>
    <w:p>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100" w:right="100" w:firstLine="0"/>
        <w:jc w:val="left"/>
        <w:rPr>
          <w:rFonts w:ascii="Times New Roman" w:hAnsi="Times New Roman" w:eastAsia="Times New Roman" w:cs="Times New Roman"/>
          <w:kern w:val="0"/>
          <w:sz w:val="24"/>
        </w:rPr>
      </w:pPr>
    </w:p>
    <w:p>
      <w:pPr>
        <w:pStyle w:val="28"/>
        <w:widowControl/>
        <w:spacing w:before="100" w:after="100"/>
        <w:ind w:left="100" w:right="100" w:firstLine="0"/>
        <w:jc w:val="left"/>
        <w:rPr>
          <w:rFonts w:ascii="Times New Roman" w:hAnsi="Times New Roman" w:eastAsia="Times New Roman" w:cs="Times New Roman"/>
          <w:kern w:val="0"/>
          <w:sz w:val="24"/>
        </w:rPr>
      </w:pPr>
    </w:p>
    <w:p>
      <w:pPr>
        <w:pStyle w:val="28"/>
        <w:widowControl/>
        <w:spacing w:before="100" w:after="100"/>
        <w:ind w:left="100" w:right="100" w:firstLine="0"/>
        <w:jc w:val="left"/>
        <w:rPr>
          <w:rFonts w:ascii="Times New Roman" w:hAnsi="Times New Roman" w:eastAsia="Times New Roman" w:cs="Times New Roman"/>
          <w:kern w:val="0"/>
          <w:sz w:val="24"/>
        </w:rPr>
      </w:pPr>
    </w:p>
    <w:p>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52"/>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部门概况</w:t>
      </w:r>
      <w:bookmarkEnd w:id="1"/>
    </w:p>
    <w:p>
      <w:pPr>
        <w:sectPr>
          <w:footerReference r:id="rId5" w:type="default"/>
          <w:pgSz w:w="11906" w:h="16838"/>
          <w:pgMar w:top="1440" w:right="720" w:bottom="1440" w:left="720" w:header="720" w:footer="720" w:gutter="0"/>
          <w:pgNumType w:start="1"/>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5"/>
        <w:keepNext w:val="0"/>
        <w:keepLines w:val="0"/>
        <w:spacing w:before="240" w:after="100" w:line="560" w:lineRule="atLeast"/>
        <w:ind w:left="100" w:right="100" w:firstLine="640" w:firstLineChars="0"/>
        <w:rPr>
          <w:rFonts w:ascii="Times New Roman" w:hAnsi="Times New Roman" w:eastAsia="Times New Roman" w:cs="Times New Roman"/>
          <w:b/>
          <w:bCs/>
          <w:kern w:val="0"/>
          <w:sz w:val="28"/>
          <w:szCs w:val="28"/>
        </w:rPr>
      </w:pPr>
      <w:bookmarkStart w:id="2" w:name="_Toc256000053"/>
      <w:r>
        <w:rPr>
          <w:rFonts w:ascii="黑体" w:hAnsi="黑体" w:eastAsia="黑体" w:cs="黑体"/>
          <w:b w:val="0"/>
          <w:bCs w:val="0"/>
          <w:spacing w:val="0"/>
        </w:rPr>
        <w:t>一、部门主要职责</w:t>
      </w:r>
      <w:bookmarkEnd w:id="2"/>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大田县</w:t>
      </w:r>
      <w:r>
        <w:rPr>
          <w:rFonts w:hint="eastAsia" w:ascii="FangSong_GB2312" w:hAnsi="FangSong_GB2312" w:eastAsia="FangSong_GB2312" w:cs="FangSong_GB2312"/>
          <w:spacing w:val="0"/>
          <w:kern w:val="0"/>
          <w:sz w:val="32"/>
          <w:szCs w:val="32"/>
          <w:lang w:eastAsia="zh-CN"/>
        </w:rPr>
        <w:t>屏山乡人民政府</w:t>
      </w:r>
      <w:r>
        <w:rPr>
          <w:rFonts w:ascii="FangSong_GB2312" w:hAnsi="FangSong_GB2312" w:eastAsia="FangSong_GB2312" w:cs="FangSong_GB2312"/>
          <w:spacing w:val="0"/>
          <w:kern w:val="0"/>
          <w:sz w:val="32"/>
          <w:szCs w:val="32"/>
        </w:rPr>
        <w:t>部门的主要职责是： (一)执行上级国家行政机关的决定、命令和国家制定的法令、法规，接受同级党委的领导，执行本级人民代表大会的各项决议，并报告执行决议、决定和命令的情况。</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(二)制定并落实本行政区域的经济计划和措施，促进产业结构调整及其他经济保持平衡协调发展，全面提高人民群众的生活水平和生活质量。</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(三)承担国有资产、集体资产管理、监督及增值保值责任;保护公民私人所有合法财产，保障集体经济组织应有的自主权；监督企业和各种经济联合体、个体户认真执行国家的法律、法令和政策，履行经济合同。</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四)开展社会主义民主和法制的宣传教育，保障公民的权利；制定社会治安综合治理工作规划并组织实施；加强社区管理工作，依法管理外来流动人口，处理人民来信来访，调解民间纠纷，打击违法犯罪，维护社会稳定。</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五)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(六)加强乡级财政的监督和管理，按计划组织、管理乡财政收入和支出，执行国家有关财经纪律和政策，保证国家财政收入的完成；做好统计工作。</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(七)指导、支持、帮助村民委员会的组织制度建设和业务建设，促进村民委员会民主自治。</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(八)制定和组织实施乡村建设规划；加强公用、市政设施、水利建设和管理以及房屋土地管理和环境综合整治工作，保护和改善生活环境和生态环境。</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(九)承办县人民政府交办的其它事项。</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3" w:name="_Toc256000054"/>
      <w:r>
        <w:rPr>
          <w:rFonts w:ascii="黑体" w:hAnsi="黑体" w:eastAsia="黑体" w:cs="黑体"/>
          <w:b w:val="0"/>
          <w:bCs w:val="0"/>
          <w:spacing w:val="0"/>
        </w:rPr>
        <w:t>二、部门决算单位基本情况</w:t>
      </w:r>
      <w:bookmarkEnd w:id="3"/>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从决算单位构成看，大田县</w:t>
      </w:r>
      <w:r>
        <w:rPr>
          <w:rFonts w:hint="eastAsia" w:ascii="FangSong_GB2312" w:hAnsi="FangSong_GB2312" w:eastAsia="FangSong_GB2312" w:cs="FangSong_GB2312"/>
          <w:spacing w:val="0"/>
          <w:kern w:val="0"/>
          <w:sz w:val="32"/>
          <w:szCs w:val="32"/>
          <w:lang w:eastAsia="zh-CN"/>
        </w:rPr>
        <w:t>屏山乡人民政府</w:t>
      </w:r>
      <w:r>
        <w:rPr>
          <w:rFonts w:ascii="FangSong_GB2312" w:hAnsi="FangSong_GB2312" w:eastAsia="FangSong_GB2312" w:cs="FangSong_GB2312"/>
          <w:spacing w:val="0"/>
          <w:kern w:val="0"/>
          <w:sz w:val="32"/>
          <w:szCs w:val="32"/>
        </w:rPr>
        <w:t>部门包括1个机关行政处（科、股）室及</w:t>
      </w:r>
      <w:r>
        <w:rPr>
          <w:rFonts w:hint="eastAsia" w:ascii="FangSong_GB2312" w:hAnsi="FangSong_GB2312" w:eastAsia="FangSong_GB2312" w:cs="FangSong_GB2312"/>
          <w:spacing w:val="0"/>
          <w:kern w:val="0"/>
          <w:sz w:val="32"/>
          <w:szCs w:val="32"/>
          <w:lang w:val="en-US" w:eastAsia="zh-CN"/>
        </w:rPr>
        <w:t>3</w:t>
      </w:r>
      <w:r>
        <w:rPr>
          <w:rFonts w:ascii="FangSong_GB2312" w:hAnsi="FangSong_GB2312" w:eastAsia="FangSong_GB2312" w:cs="FangSong_GB2312"/>
          <w:spacing w:val="0"/>
          <w:kern w:val="0"/>
          <w:sz w:val="32"/>
          <w:szCs w:val="32"/>
        </w:rPr>
        <w:t>个下属单位，其中：列入2024年部门决算编制范围的单位详细情况见下表: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706"/>
        <w:gridCol w:w="2397"/>
        <w:gridCol w:w="1247"/>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5923"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3017"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570"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5923"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大田县屏山乡人民政府</w:t>
            </w:r>
          </w:p>
        </w:tc>
        <w:tc>
          <w:tcPr>
            <w:tcW w:w="3017"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both"/>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行政单位</w:t>
            </w:r>
          </w:p>
        </w:tc>
        <w:tc>
          <w:tcPr>
            <w:tcW w:w="1570"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23</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5923"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大田县屏山乡乡村振兴综合服务中心</w:t>
            </w:r>
          </w:p>
        </w:tc>
        <w:tc>
          <w:tcPr>
            <w:tcW w:w="3017"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both"/>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1570"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4</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5923"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1"/>
              </w:rPr>
            </w:pPr>
            <w:r>
              <w:rPr>
                <w:rFonts w:ascii="宋体" w:hAnsi="宋体" w:eastAsia="宋体" w:cs="宋体"/>
                <w:b w:val="0"/>
                <w:bCs w:val="0"/>
                <w:i w:val="0"/>
                <w:iCs w:val="0"/>
                <w:smallCaps w:val="0"/>
                <w:color w:val="000000"/>
                <w:spacing w:val="0"/>
                <w:kern w:val="0"/>
                <w:sz w:val="21"/>
              </w:rPr>
              <w:t>大田县屏山乡社会事务综合服务中心</w:t>
            </w:r>
          </w:p>
        </w:tc>
        <w:tc>
          <w:tcPr>
            <w:tcW w:w="3017"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both"/>
              <w:rPr>
                <w:rFonts w:ascii="宋体" w:hAnsi="宋体" w:eastAsia="宋体" w:cs="宋体"/>
                <w:b w:val="0"/>
                <w:bCs w:val="0"/>
                <w:i w:val="0"/>
                <w:iCs w:val="0"/>
                <w:smallCaps w:val="0"/>
                <w:color w:val="000000"/>
                <w:spacing w:val="0"/>
                <w:kern w:val="0"/>
                <w:sz w:val="21"/>
              </w:rPr>
            </w:pPr>
            <w:r>
              <w:rPr>
                <w:rFonts w:ascii="宋体" w:hAnsi="宋体" w:eastAsia="宋体" w:cs="宋体"/>
                <w:b w:val="0"/>
                <w:bCs w:val="0"/>
                <w:i w:val="0"/>
                <w:iCs w:val="0"/>
                <w:smallCaps w:val="0"/>
                <w:color w:val="000000"/>
                <w:spacing w:val="0"/>
                <w:kern w:val="0"/>
                <w:sz w:val="21"/>
              </w:rPr>
              <w:t>公益一类事业单位</w:t>
            </w:r>
          </w:p>
        </w:tc>
        <w:tc>
          <w:tcPr>
            <w:tcW w:w="1570"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1"/>
              </w:rPr>
            </w:pPr>
            <w:r>
              <w:rPr>
                <w:rFonts w:ascii="宋体" w:hAnsi="宋体" w:eastAsia="宋体" w:cs="宋体"/>
                <w:b w:val="0"/>
                <w:bCs w:val="0"/>
                <w:i w:val="0"/>
                <w:iCs w:val="0"/>
                <w:smallCaps w:val="0"/>
                <w:color w:val="000000"/>
                <w:spacing w:val="0"/>
                <w:kern w:val="0"/>
                <w:sz w:val="21"/>
              </w:rPr>
              <w:t>3</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5923"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1"/>
              </w:rPr>
            </w:pPr>
            <w:r>
              <w:rPr>
                <w:rFonts w:ascii="宋体" w:hAnsi="宋体" w:eastAsia="宋体" w:cs="宋体"/>
                <w:b w:val="0"/>
                <w:bCs w:val="0"/>
                <w:i w:val="0"/>
                <w:iCs w:val="0"/>
                <w:smallCaps w:val="0"/>
                <w:color w:val="000000"/>
                <w:spacing w:val="0"/>
                <w:kern w:val="0"/>
                <w:sz w:val="21"/>
              </w:rPr>
              <w:t>大田县屏山乡综合执法大队</w:t>
            </w:r>
          </w:p>
        </w:tc>
        <w:tc>
          <w:tcPr>
            <w:tcW w:w="3017"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both"/>
              <w:rPr>
                <w:rFonts w:ascii="宋体" w:hAnsi="宋体" w:eastAsia="宋体" w:cs="宋体"/>
                <w:b w:val="0"/>
                <w:bCs w:val="0"/>
                <w:i w:val="0"/>
                <w:iCs w:val="0"/>
                <w:smallCaps w:val="0"/>
                <w:color w:val="000000"/>
                <w:spacing w:val="0"/>
                <w:kern w:val="0"/>
                <w:sz w:val="21"/>
              </w:rPr>
            </w:pPr>
            <w:r>
              <w:rPr>
                <w:rFonts w:ascii="宋体" w:hAnsi="宋体" w:eastAsia="宋体" w:cs="宋体"/>
                <w:b w:val="0"/>
                <w:bCs w:val="0"/>
                <w:i w:val="0"/>
                <w:iCs w:val="0"/>
                <w:smallCaps w:val="0"/>
                <w:color w:val="000000"/>
                <w:spacing w:val="0"/>
                <w:kern w:val="0"/>
                <w:sz w:val="21"/>
              </w:rPr>
              <w:t>公益一类事业单位</w:t>
            </w:r>
          </w:p>
        </w:tc>
        <w:tc>
          <w:tcPr>
            <w:tcW w:w="1570" w:type="dxa"/>
            <w:tcBorders>
              <w:top w:val="outset" w:color="808080" w:sz="6" w:space="0"/>
              <w:left w:val="outset" w:color="808080" w:sz="6" w:space="0"/>
              <w:bottom w:val="outset" w:color="808080" w:sz="6" w:space="0"/>
              <w:right w:val="outset" w:color="808080" w:sz="6" w:space="0"/>
            </w:tcBorders>
            <w:noWrap w:val="0"/>
            <w:tcMar>
              <w:top w:w="15" w:type="dxa"/>
              <w:left w:w="22" w:type="dxa"/>
              <w:bottom w:w="15"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1"/>
              </w:rPr>
            </w:pPr>
            <w:r>
              <w:rPr>
                <w:rFonts w:ascii="宋体" w:hAnsi="宋体" w:eastAsia="宋体" w:cs="宋体"/>
                <w:b w:val="0"/>
                <w:bCs w:val="0"/>
                <w:i w:val="0"/>
                <w:iCs w:val="0"/>
                <w:smallCaps w:val="0"/>
                <w:color w:val="000000"/>
                <w:spacing w:val="0"/>
                <w:kern w:val="0"/>
                <w:sz w:val="21"/>
              </w:rPr>
              <w:t>3</w:t>
            </w:r>
          </w:p>
        </w:tc>
      </w:tr>
    </w:tbl>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4" w:name="_Toc256000055"/>
      <w:r>
        <w:rPr>
          <w:rFonts w:ascii="黑体" w:hAnsi="黑体" w:eastAsia="黑体" w:cs="黑体"/>
          <w:b w:val="0"/>
          <w:bCs w:val="0"/>
          <w:spacing w:val="0"/>
        </w:rPr>
        <w:t>三、部门主要工作总结</w:t>
      </w:r>
      <w:bookmarkEnd w:id="4"/>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2024年，大田县</w:t>
      </w:r>
      <w:r>
        <w:rPr>
          <w:rFonts w:hint="eastAsia" w:ascii="FangSong_GB2312" w:hAnsi="FangSong_GB2312" w:eastAsia="FangSong_GB2312" w:cs="FangSong_GB2312"/>
          <w:spacing w:val="0"/>
          <w:kern w:val="0"/>
          <w:sz w:val="32"/>
          <w:szCs w:val="32"/>
          <w:lang w:eastAsia="zh-CN"/>
        </w:rPr>
        <w:t>屏山乡人民政府</w:t>
      </w:r>
      <w:r>
        <w:rPr>
          <w:rFonts w:ascii="FangSong_GB2312" w:hAnsi="FangSong_GB2312" w:eastAsia="FangSong_GB2312" w:cs="FangSong_GB2312"/>
          <w:spacing w:val="0"/>
          <w:kern w:val="0"/>
          <w:sz w:val="32"/>
          <w:szCs w:val="32"/>
        </w:rPr>
        <w:t>部门主要任务是：全乡各村各所站坚持以习近平新时代中国特色社会主义思想为指导，深入学习贯彻党的二十大，二十届二中、三中全会精神和习近平总书记来闽考察重要讲话重要指示精神，扎实开展党纪学习教育，全面贯彻落实党中央国务院决策部署和省委省政府、市委市政府、县委工作要求，认真实施省委深化拓展“三争”行动、市委“四领一促”工作和县委“百日攻坚”行动，系统落实稳经济一揽子增量政策，厚植产业发展新优势，全乡经济社会保持平稳健康发展，较好地完成了人大第十九届第六次会议的任务目标。围绕上述任务，重点完成了以下工作：</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kern w:val="0"/>
          <w:sz w:val="32"/>
          <w:szCs w:val="32"/>
        </w:rPr>
        <w:t>（一）我们始终把民生事业放在心上，不断完善基础设施。</w:t>
      </w:r>
      <w:r>
        <w:rPr>
          <w:rFonts w:ascii="FangSong_GB2312" w:hAnsi="FangSong_GB2312" w:eastAsia="FangSong_GB2312" w:cs="FangSong_GB2312"/>
          <w:kern w:val="0"/>
          <w:sz w:val="32"/>
          <w:szCs w:val="32"/>
        </w:rPr>
        <w:br w:type="textWrapping"/>
      </w:r>
      <w:r>
        <w:rPr>
          <w:rFonts w:ascii="FangSong_GB2312" w:hAnsi="FangSong_GB2312" w:eastAsia="FangSong_GB2312" w:cs="FangSong_GB2312"/>
          <w:kern w:val="0"/>
          <w:sz w:val="32"/>
          <w:szCs w:val="32"/>
        </w:rPr>
        <w:t>（二）我们坚持把经济建设抓在手上，不断激发内生动力。</w:t>
      </w:r>
      <w:r>
        <w:rPr>
          <w:rFonts w:ascii="FangSong_GB2312" w:hAnsi="FangSong_GB2312" w:eastAsia="FangSong_GB2312" w:cs="FangSong_GB2312"/>
          <w:kern w:val="0"/>
          <w:sz w:val="32"/>
          <w:szCs w:val="32"/>
        </w:rPr>
        <w:br w:type="textWrapping"/>
      </w:r>
      <w:r>
        <w:rPr>
          <w:rFonts w:ascii="FangSong_GB2312" w:hAnsi="FangSong_GB2312" w:eastAsia="FangSong_GB2312" w:cs="FangSong_GB2312"/>
          <w:kern w:val="0"/>
          <w:sz w:val="32"/>
          <w:szCs w:val="32"/>
        </w:rPr>
        <w:t>（三）我们致力把产业发展扛在肩上，不断提质效强带动。</w:t>
      </w:r>
      <w:r>
        <w:rPr>
          <w:rFonts w:ascii="FangSong_GB2312" w:hAnsi="FangSong_GB2312" w:eastAsia="FangSong_GB2312" w:cs="FangSong_GB2312"/>
          <w:kern w:val="0"/>
          <w:sz w:val="32"/>
          <w:szCs w:val="32"/>
        </w:rPr>
        <w:br w:type="textWrapping"/>
      </w:r>
      <w:r>
        <w:rPr>
          <w:rFonts w:ascii="FangSong_GB2312" w:hAnsi="FangSong_GB2312" w:eastAsia="FangSong_GB2312" w:cs="FangSong_GB2312"/>
          <w:kern w:val="0"/>
          <w:sz w:val="32"/>
          <w:szCs w:val="32"/>
        </w:rPr>
        <w:t>（四）我们聚力把提高效能落在行上，不断加强自身建设。</w:t>
      </w:r>
    </w:p>
    <w:p>
      <w:pPr>
        <w:sectPr>
          <w:footerReference r:id="rId6" w:type="default"/>
          <w:pgSz w:w="11906" w:h="16838"/>
          <w:pgMar w:top="1440" w:right="1800" w:bottom="1440" w:left="180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24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5" w:name="_Toc256000056"/>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2024年度部门决算表</w:t>
      </w:r>
      <w:bookmarkEnd w:id="5"/>
    </w:p>
    <w:p>
      <w:pPr>
        <w:sectPr>
          <w:footerReference r:id="rId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5"/>
        <w:keepNext w:val="0"/>
        <w:keepLines w:val="0"/>
        <w:spacing w:before="240" w:after="100" w:line="240" w:lineRule="auto"/>
        <w:ind w:left="100" w:right="100" w:firstLine="640" w:firstLineChars="0"/>
        <w:rPr>
          <w:rFonts w:ascii="Times New Roman" w:hAnsi="Times New Roman" w:eastAsia="Times New Roman" w:cs="Times New Roman"/>
          <w:b/>
          <w:bCs/>
          <w:kern w:val="0"/>
          <w:sz w:val="28"/>
          <w:szCs w:val="28"/>
        </w:rPr>
      </w:pPr>
      <w:bookmarkStart w:id="6" w:name="_Toc256000057"/>
      <w:r>
        <w:rPr>
          <w:rFonts w:ascii="黑体" w:hAnsi="黑体" w:eastAsia="黑体" w:cs="黑体"/>
          <w:b w:val="0"/>
          <w:bCs w:val="0"/>
          <w:spacing w:val="0"/>
        </w:rPr>
        <w:t>一、收入支出决算总表</w:t>
      </w:r>
      <w:bookmarkEnd w:id="6"/>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tblPrEx>
          <w:tblCellMar>
            <w:top w:w="0" w:type="dxa"/>
            <w:left w:w="108" w:type="dxa"/>
            <w:bottom w:w="0" w:type="dxa"/>
            <w:right w:w="108" w:type="dxa"/>
          </w:tblCellMar>
        </w:tblPrEx>
        <w:trPr>
          <w:cantSplit/>
          <w:tblHeader/>
        </w:trPr>
        <w:tc>
          <w:tcPr>
            <w:tcW w:w="16380" w:type="dxa"/>
            <w:gridSpan w:val="4"/>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tblPrEx>
          <w:tblCellMar>
            <w:top w:w="0" w:type="dxa"/>
            <w:left w:w="108" w:type="dxa"/>
            <w:bottom w:w="0" w:type="dxa"/>
            <w:right w:w="108" w:type="dxa"/>
          </w:tblCellMar>
        </w:tblPrEx>
        <w:trPr>
          <w:cantSplit/>
          <w:tblHeader/>
        </w:trPr>
        <w:tc>
          <w:tcPr>
            <w:tcW w:w="21600" w:type="dxa"/>
            <w:gridSpan w:val="2"/>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tblPrEx>
          <w:tblCellMar>
            <w:top w:w="0" w:type="dxa"/>
            <w:left w:w="108" w:type="dxa"/>
            <w:bottom w:w="0" w:type="dxa"/>
            <w:right w:w="108" w:type="dxa"/>
          </w:tblCellMar>
        </w:tblPrEx>
        <w:trPr>
          <w:cantSplit/>
          <w:tblHeader/>
        </w:trPr>
        <w:tc>
          <w:tcPr>
            <w:tcW w:w="21600" w:type="dxa"/>
            <w:gridSpan w:val="3"/>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383.66</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574.46</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r>
      <w:tr>
        <w:tblPrEx>
          <w:tblCellMar>
            <w:top w:w="0" w:type="dxa"/>
            <w:left w:w="108" w:type="dxa"/>
            <w:bottom w:w="0" w:type="dxa"/>
            <w:right w:w="108" w:type="dxa"/>
          </w:tblCellMar>
        </w:tblPrEx>
        <w:trPr>
          <w:cantSplit/>
        </w:trPr>
        <w:tc>
          <w:tcPr>
            <w:tcW w:w="16380" w:type="dxa"/>
            <w:gridSpan w:val="4"/>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注：1.本表反映部门本年度的总收支和年末结转结余情况。</w:t>
            </w:r>
          </w:p>
        </w:tc>
      </w:tr>
      <w:tr>
        <w:tblPrEx>
          <w:tblCellMar>
            <w:top w:w="0" w:type="dxa"/>
            <w:left w:w="108" w:type="dxa"/>
            <w:bottom w:w="0" w:type="dxa"/>
            <w:right w:w="108" w:type="dxa"/>
          </w:tblCellMar>
        </w:tblPrEx>
        <w:trPr>
          <w:cantSplit/>
        </w:trPr>
        <w:tc>
          <w:tcPr>
            <w:tcW w:w="16380" w:type="dxa"/>
            <w:gridSpan w:val="4"/>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pPr>
        <w:sectPr>
          <w:footerReference r:id="rId8"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240" w:after="240"/>
        <w:jc w:val="left"/>
        <w:rPr>
          <w:rFonts w:ascii="Times New Roman" w:hAnsi="Times New Roman" w:eastAsia="Times New Roman" w:cs="Times New Roman"/>
          <w:kern w:val="0"/>
          <w:sz w:val="24"/>
        </w:rPr>
      </w:pPr>
      <w:r>
        <w:rPr>
          <w:rFonts w:ascii="宋体" w:hAnsi="宋体" w:eastAsia="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 w:name="_Toc256000058"/>
      <w:r>
        <w:rPr>
          <w:rFonts w:ascii="黑体" w:hAnsi="黑体" w:eastAsia="黑体" w:cs="黑体"/>
          <w:b w:val="0"/>
          <w:bCs w:val="0"/>
          <w:spacing w:val="0"/>
        </w:rPr>
        <w:t>二、收入决算表</w:t>
      </w:r>
      <w:bookmarkEnd w:id="7"/>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9"/>
        <w:gridCol w:w="578"/>
        <w:gridCol w:w="578"/>
        <w:gridCol w:w="1678"/>
        <w:gridCol w:w="1678"/>
        <w:gridCol w:w="1678"/>
        <w:gridCol w:w="1678"/>
        <w:gridCol w:w="1678"/>
        <w:gridCol w:w="1678"/>
        <w:gridCol w:w="1678"/>
        <w:gridCol w:w="1678"/>
      </w:tblGrid>
      <w:tr>
        <w:tblPrEx>
          <w:tblCellMar>
            <w:top w:w="0" w:type="dxa"/>
            <w:left w:w="108" w:type="dxa"/>
            <w:bottom w:w="0" w:type="dxa"/>
            <w:right w:w="108" w:type="dxa"/>
          </w:tblCellMar>
        </w:tblPrEx>
        <w:trPr>
          <w:cantSplit/>
          <w:tblHeader/>
        </w:trPr>
        <w:tc>
          <w:tcPr>
            <w:tcW w:w="14578" w:type="dxa"/>
            <w:gridSpan w:val="11"/>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tblPrEx>
          <w:tblCellMar>
            <w:top w:w="0" w:type="dxa"/>
            <w:left w:w="108" w:type="dxa"/>
            <w:bottom w:w="0" w:type="dxa"/>
            <w:right w:w="108" w:type="dxa"/>
          </w:tblCellMar>
        </w:tblPrEx>
        <w:trPr>
          <w:cantSplit/>
          <w:tblHeader/>
        </w:trPr>
        <w:tc>
          <w:tcPr>
            <w:tcW w:w="5290" w:type="dxa"/>
            <w:gridSpan w:val="2"/>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9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tblPrEx>
          <w:tblCellMar>
            <w:top w:w="0" w:type="dxa"/>
            <w:left w:w="108" w:type="dxa"/>
            <w:bottom w:w="0" w:type="dxa"/>
            <w:right w:w="108" w:type="dxa"/>
          </w:tblCellMar>
        </w:tblPrEx>
        <w:trPr>
          <w:cantSplit/>
          <w:tblHeader/>
        </w:trPr>
        <w:tc>
          <w:tcPr>
            <w:tcW w:w="5290" w:type="dxa"/>
            <w:gridSpan w:val="7"/>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439"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439"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439"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145"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145"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734"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73"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1514" w:type="dxa"/>
            <w:gridSpan w:val="3"/>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450"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439"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439"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439"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145"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145"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734"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73"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税收事务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2010799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其他税收事务支出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2049999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污染防治</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水体</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固体废弃物与化学品</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383.66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383.66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城乡社区规划与管理</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城乡社区规划与管理</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574.46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574.46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巩固脱贫攻坚成果衔接乡村振兴</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2130504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385.74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385.74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对村级公益事业建设的补助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其他农村综合改革支出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4578" w:type="dxa"/>
            <w:gridSpan w:val="11"/>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注：本表反映部门本年度取得的各项收入情况。</w:t>
            </w:r>
          </w:p>
        </w:tc>
      </w:tr>
    </w:tbl>
    <w:p>
      <w:pPr>
        <w:sectPr>
          <w:footerReference r:id="rId9"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240" w:after="100"/>
        <w:ind w:left="100" w:right="100" w:firstLine="0"/>
        <w:jc w:val="left"/>
        <w:rPr>
          <w:rFonts w:ascii="Times New Roman" w:hAnsi="Times New Roman" w:eastAsia="Times New Roman" w:cs="Times New Roman"/>
          <w:kern w:val="0"/>
          <w:sz w:val="24"/>
        </w:rPr>
      </w:pP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8" w:name="_Toc256000059"/>
      <w:r>
        <w:rPr>
          <w:rFonts w:ascii="黑体" w:hAnsi="黑体" w:eastAsia="黑体" w:cs="黑体"/>
          <w:b w:val="0"/>
          <w:bCs w:val="0"/>
          <w:spacing w:val="0"/>
        </w:rPr>
        <w:t>三、支出决算表</w:t>
      </w:r>
      <w:bookmarkEnd w:id="8"/>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CellMar>
            <w:top w:w="0" w:type="dxa"/>
            <w:left w:w="108" w:type="dxa"/>
            <w:bottom w:w="0" w:type="dxa"/>
            <w:right w:w="108" w:type="dxa"/>
          </w:tblCellMar>
        </w:tblPrEx>
        <w:trPr>
          <w:cantSplit/>
          <w:tblHeader/>
        </w:trPr>
        <w:tc>
          <w:tcPr>
            <w:tcW w:w="14400" w:type="dxa"/>
            <w:gridSpan w:val="10"/>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tblPrEx>
          <w:tblCellMar>
            <w:top w:w="0" w:type="dxa"/>
            <w:left w:w="108" w:type="dxa"/>
            <w:bottom w:w="0" w:type="dxa"/>
            <w:right w:w="108" w:type="dxa"/>
          </w:tblCellMar>
        </w:tblPrEx>
        <w:trPr>
          <w:cantSplit/>
          <w:tblHeader/>
        </w:trPr>
        <w:tc>
          <w:tcPr>
            <w:tcW w:w="5290" w:type="dxa"/>
            <w:gridSpan w:val="4"/>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tblPrEx>
          <w:tblCellMar>
            <w:top w:w="0" w:type="dxa"/>
            <w:left w:w="108" w:type="dxa"/>
            <w:bottom w:w="0" w:type="dxa"/>
            <w:right w:w="108" w:type="dxa"/>
          </w:tblCellMar>
        </w:tblPrEx>
        <w:trPr>
          <w:cantSplit/>
          <w:tblHeader/>
        </w:trPr>
        <w:tc>
          <w:tcPr>
            <w:tcW w:w="5290" w:type="dxa"/>
            <w:gridSpan w:val="7"/>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570"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5"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5"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70"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5"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057"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1668" w:type="dxa"/>
            <w:gridSpan w:val="3"/>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800"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70"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5"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5"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70"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5"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05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844.92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604.60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税收事务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2010799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其他税收事务支出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2049999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污染防治</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水体</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固体废弃物与化学品</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383.66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城乡社区规划与管理</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城乡社区规划与管理</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574.46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360.96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巩固脱贫攻坚成果衔接乡村振兴</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2130504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385.74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对村级公益事业建设的补助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其他农村综合改革支出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4400" w:type="dxa"/>
            <w:gridSpan w:val="10"/>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注：本表反映部门本年度各项支出情况。</w:t>
            </w:r>
          </w:p>
        </w:tc>
      </w:tr>
    </w:tbl>
    <w:p>
      <w:pPr>
        <w:sectPr>
          <w:footerReference r:id="rId10"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240" w:after="100"/>
        <w:ind w:left="100" w:right="100" w:firstLine="0"/>
        <w:jc w:val="left"/>
        <w:rPr>
          <w:rFonts w:ascii="Times New Roman" w:hAnsi="Times New Roman" w:eastAsia="Times New Roman" w:cs="Times New Roman"/>
          <w:kern w:val="0"/>
          <w:sz w:val="24"/>
        </w:rPr>
      </w:pPr>
      <w:r>
        <w:rPr>
          <w:rFonts w:ascii="宋体" w:hAnsi="宋体" w:eastAsia="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 w:name="_Toc256000060"/>
      <w:r>
        <w:rPr>
          <w:rFonts w:ascii="黑体" w:hAnsi="黑体" w:eastAsia="黑体" w:cs="黑体"/>
          <w:b w:val="0"/>
          <w:bCs w:val="0"/>
          <w:spacing w:val="0"/>
        </w:rPr>
        <w:t>四、财政拨款收入支出决算总表</w:t>
      </w:r>
      <w:bookmarkEnd w:id="9"/>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tblPrEx>
          <w:tblCellMar>
            <w:top w:w="0" w:type="dxa"/>
            <w:left w:w="108" w:type="dxa"/>
            <w:bottom w:w="0" w:type="dxa"/>
            <w:right w:w="108" w:type="dxa"/>
          </w:tblCellMar>
        </w:tblPrEx>
        <w:trPr>
          <w:cantSplit/>
          <w:tblHeader/>
        </w:trPr>
        <w:tc>
          <w:tcPr>
            <w:tcW w:w="16381" w:type="dxa"/>
            <w:gridSpan w:val="7"/>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tblPrEx>
          <w:tblCellMar>
            <w:top w:w="0" w:type="dxa"/>
            <w:left w:w="108" w:type="dxa"/>
            <w:bottom w:w="0" w:type="dxa"/>
            <w:right w:w="108" w:type="dxa"/>
          </w:tblCellMar>
        </w:tblPrEx>
        <w:trPr>
          <w:cantSplit/>
          <w:tblHeader/>
        </w:trPr>
        <w:tc>
          <w:tcPr>
            <w:tcW w:w="21600" w:type="dxa"/>
            <w:gridSpan w:val="4"/>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tblPrEx>
          <w:tblCellMar>
            <w:top w:w="0" w:type="dxa"/>
            <w:left w:w="108" w:type="dxa"/>
            <w:bottom w:w="0" w:type="dxa"/>
            <w:right w:w="108" w:type="dxa"/>
          </w:tblCellMar>
        </w:tblPrEx>
        <w:trPr>
          <w:cantSplit/>
          <w:tblHeader/>
        </w:trPr>
        <w:tc>
          <w:tcPr>
            <w:tcW w:w="21600" w:type="dxa"/>
            <w:gridSpan w:val="4"/>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383.66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383.66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574.46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574.46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6381" w:type="dxa"/>
            <w:gridSpan w:val="7"/>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注：本表反映部门本年度一般公共预算财政拨款、政府性基金预算财政拨款和国有资本经营预算财政拨款的总收支和年末结转结余情况。</w:t>
            </w:r>
          </w:p>
        </w:tc>
      </w:tr>
    </w:tbl>
    <w:p>
      <w:pPr>
        <w:sectPr>
          <w:footerReference r:id="rId11"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240" w:after="100"/>
        <w:ind w:left="100" w:right="100" w:firstLine="0"/>
        <w:jc w:val="left"/>
        <w:rPr>
          <w:rFonts w:ascii="Times New Roman" w:hAnsi="Times New Roman" w:eastAsia="Times New Roman" w:cs="Times New Roman"/>
          <w:kern w:val="0"/>
          <w:sz w:val="24"/>
        </w:rPr>
      </w:pPr>
      <w:r>
        <w:rPr>
          <w:rFonts w:ascii="宋体" w:hAnsi="宋体" w:eastAsia="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10" w:name="_Toc256000061"/>
      <w:r>
        <w:rPr>
          <w:rFonts w:ascii="黑体" w:hAnsi="黑体" w:eastAsia="黑体" w:cs="黑体"/>
          <w:b w:val="0"/>
          <w:bCs w:val="0"/>
          <w:spacing w:val="0"/>
        </w:rPr>
        <w:t>五、一般公共预算财政拨款支出决算表</w:t>
      </w:r>
      <w:bookmarkEnd w:id="10"/>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tblPrEx>
          <w:tblCellMar>
            <w:top w:w="0" w:type="dxa"/>
            <w:left w:w="108" w:type="dxa"/>
            <w:bottom w:w="0" w:type="dxa"/>
            <w:right w:w="108" w:type="dxa"/>
          </w:tblCellMar>
        </w:tblPrEx>
        <w:trPr>
          <w:cantSplit/>
          <w:tblHeader/>
        </w:trPr>
        <w:tc>
          <w:tcPr>
            <w:tcW w:w="16381" w:type="dxa"/>
            <w:gridSpan w:val="5"/>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tblPrEx>
          <w:tblCellMar>
            <w:top w:w="0" w:type="dxa"/>
            <w:left w:w="108" w:type="dxa"/>
            <w:bottom w:w="0" w:type="dxa"/>
            <w:right w:w="108" w:type="dxa"/>
          </w:tblCellMar>
        </w:tblPrEx>
        <w:trPr>
          <w:cantSplit/>
          <w:tblHeader/>
        </w:trPr>
        <w:tc>
          <w:tcPr>
            <w:tcW w:w="10540" w:type="dxa"/>
            <w:gridSpan w:val="2"/>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tblPrEx>
          <w:tblCellMar>
            <w:top w:w="0" w:type="dxa"/>
            <w:left w:w="108" w:type="dxa"/>
            <w:bottom w:w="0" w:type="dxa"/>
            <w:right w:w="108" w:type="dxa"/>
          </w:tblCellMar>
        </w:tblPrEx>
        <w:trPr>
          <w:cantSplit/>
          <w:tblHeader/>
        </w:trPr>
        <w:tc>
          <w:tcPr>
            <w:tcW w:w="10540" w:type="dxa"/>
            <w:gridSpan w:val="3"/>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gridSpan w:val="2"/>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CellMar>
            <w:top w:w="0" w:type="dxa"/>
            <w:left w:w="108" w:type="dxa"/>
            <w:bottom w:w="0" w:type="dxa"/>
            <w:right w:w="108" w:type="dxa"/>
          </w:tblCellMar>
        </w:tblPrEx>
        <w:trPr>
          <w:cantSplit/>
          <w:tblHeader/>
        </w:trPr>
        <w:tc>
          <w:tcPr>
            <w:tcW w:w="3486"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5362"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511"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511"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511"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1,449.52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844.92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604.60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税收事务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2010799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其他税收事务支出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2049999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37.85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污染防治</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水体</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56.10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2110304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固体废弃物与化学品</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383.66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47.37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城乡社区规划与管理</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城乡社区规划与管理</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335.00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574.46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360.96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213.50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巩固脱贫攻坚成果衔接乡村振兴</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2130504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385.74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91.50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对村级公益事业建设的补助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41.50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其他农村综合改革支出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81" w:type="dxa"/>
            <w:gridSpan w:val="5"/>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注：本表反映部门本年度一般公共预算财政拨款支出情况。</w:t>
            </w:r>
          </w:p>
        </w:tc>
      </w:tr>
    </w:tbl>
    <w:p>
      <w:pPr>
        <w:sectPr>
          <w:footerReference r:id="rId12"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240" w:after="100"/>
        <w:ind w:left="100" w:right="100" w:firstLine="0"/>
        <w:jc w:val="left"/>
        <w:rPr>
          <w:rFonts w:ascii="Times New Roman" w:hAnsi="Times New Roman" w:eastAsia="Times New Roman" w:cs="Times New Roman"/>
          <w:kern w:val="0"/>
          <w:sz w:val="24"/>
        </w:rPr>
      </w:pPr>
      <w:r>
        <w:rPr>
          <w:rFonts w:ascii="宋体" w:hAnsi="宋体" w:eastAsia="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11" w:name="_Toc256000062"/>
      <w:r>
        <w:rPr>
          <w:rFonts w:ascii="黑体" w:hAnsi="黑体" w:eastAsia="黑体" w:cs="黑体"/>
          <w:b w:val="0"/>
          <w:bCs w:val="0"/>
          <w:spacing w:val="0"/>
        </w:rPr>
        <w:t>六、一般公共预算财政拨款基本支出决算表</w:t>
      </w:r>
      <w:bookmarkEnd w:id="11"/>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trPr>
          <w:cantSplit/>
          <w:tblHeader/>
        </w:trPr>
        <w:tc>
          <w:tcPr>
            <w:tcW w:w="16377" w:type="dxa"/>
            <w:gridSpan w:val="9"/>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tblPrEx>
          <w:tblCellMar>
            <w:top w:w="0" w:type="dxa"/>
            <w:left w:w="108" w:type="dxa"/>
            <w:bottom w:w="0" w:type="dxa"/>
            <w:right w:w="108" w:type="dxa"/>
          </w:tblCellMar>
        </w:tblPrEx>
        <w:trPr>
          <w:cantSplit/>
          <w:tblHeader/>
        </w:trPr>
        <w:tc>
          <w:tcPr>
            <w:tcW w:w="21600" w:type="dxa"/>
            <w:gridSpan w:val="4"/>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tblPrEx>
          <w:tblCellMar>
            <w:top w:w="0" w:type="dxa"/>
            <w:left w:w="108" w:type="dxa"/>
            <w:bottom w:w="0" w:type="dxa"/>
            <w:right w:w="108" w:type="dxa"/>
          </w:tblCellMar>
        </w:tblPrEx>
        <w:trPr>
          <w:cantSplit/>
          <w:tblHeader/>
        </w:trPr>
        <w:tc>
          <w:tcPr>
            <w:tcW w:w="21600" w:type="dxa"/>
            <w:gridSpan w:val="6"/>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tblPrEx>
          <w:tblCellMar>
            <w:top w:w="0" w:type="dxa"/>
            <w:left w:w="108" w:type="dxa"/>
            <w:bottom w:w="0" w:type="dxa"/>
            <w:right w:w="108" w:type="dxa"/>
          </w:tblCellMar>
        </w:tblPrEx>
        <w:trPr>
          <w:cantSplit/>
          <w:tblHeader/>
        </w:trPr>
        <w:tc>
          <w:tcPr>
            <w:tcW w:w="1798"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570"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155"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798"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2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091"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798"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84"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156"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495.44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149.68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83.38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90.47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24.55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17.81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33.40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15.25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15.20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294.24</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512.95</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331.98</w:t>
            </w:r>
          </w:p>
        </w:tc>
      </w:tr>
      <w:tr>
        <w:tblPrEx>
          <w:tblCellMar>
            <w:top w:w="0" w:type="dxa"/>
            <w:left w:w="108" w:type="dxa"/>
            <w:bottom w:w="0" w:type="dxa"/>
            <w:right w:w="108" w:type="dxa"/>
          </w:tblCellMar>
        </w:tblPrEx>
        <w:trPr>
          <w:cantSplit/>
        </w:trPr>
        <w:tc>
          <w:tcPr>
            <w:tcW w:w="16377" w:type="dxa"/>
            <w:gridSpan w:val="9"/>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注：本表反映部门本年度一般公共预算财政拨款基本支出明细情况。</w:t>
            </w:r>
          </w:p>
        </w:tc>
      </w:tr>
    </w:tbl>
    <w:p>
      <w:pPr>
        <w:sectPr>
          <w:footerReference r:id="rId13"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240" w:after="100"/>
        <w:ind w:left="100" w:right="100" w:firstLine="0"/>
        <w:jc w:val="left"/>
        <w:rPr>
          <w:rFonts w:ascii="Times New Roman" w:hAnsi="Times New Roman" w:eastAsia="Times New Roman" w:cs="Times New Roman"/>
          <w:kern w:val="0"/>
          <w:sz w:val="24"/>
        </w:rPr>
      </w:pPr>
      <w:r>
        <w:rPr>
          <w:rFonts w:ascii="宋体" w:hAnsi="宋体" w:eastAsia="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12" w:name="_Toc256000063"/>
      <w:r>
        <w:rPr>
          <w:rFonts w:ascii="黑体" w:hAnsi="黑体" w:eastAsia="黑体" w:cs="黑体"/>
          <w:b w:val="0"/>
          <w:bCs w:val="0"/>
          <w:spacing w:val="0"/>
        </w:rPr>
        <w:t>七、一般公共预算财政拨款“三公”经费支出决算表</w:t>
      </w:r>
      <w:bookmarkEnd w:id="12"/>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tblPrEx>
          <w:tblCellMar>
            <w:top w:w="0" w:type="dxa"/>
            <w:left w:w="108" w:type="dxa"/>
            <w:bottom w:w="0" w:type="dxa"/>
            <w:right w:w="108" w:type="dxa"/>
          </w:tblCellMar>
        </w:tblPrEx>
        <w:trPr>
          <w:cantSplit/>
          <w:tblHeader/>
        </w:trPr>
        <w:tc>
          <w:tcPr>
            <w:tcW w:w="16383" w:type="dxa"/>
            <w:gridSpan w:val="3"/>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tblPrEx>
          <w:tblCellMar>
            <w:top w:w="0" w:type="dxa"/>
            <w:left w:w="108" w:type="dxa"/>
            <w:bottom w:w="0" w:type="dxa"/>
            <w:right w:w="108" w:type="dxa"/>
          </w:tblCellMar>
        </w:tblPrEx>
        <w:trPr>
          <w:cantSplit/>
          <w:tblHeader/>
        </w:trPr>
        <w:tc>
          <w:tcPr>
            <w:tcW w:w="21600" w:type="dxa"/>
            <w:gridSpan w:val="2"/>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tblPrEx>
          <w:tblCellMar>
            <w:top w:w="0" w:type="dxa"/>
            <w:left w:w="108" w:type="dxa"/>
            <w:bottom w:w="0" w:type="dxa"/>
            <w:right w:w="108" w:type="dxa"/>
          </w:tblCellMar>
        </w:tblPrEx>
        <w:trPr>
          <w:cantSplit/>
          <w:tblHeader/>
        </w:trPr>
        <w:tc>
          <w:tcPr>
            <w:tcW w:w="21600" w:type="dxa"/>
            <w:gridSpan w:val="2"/>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6383" w:type="dxa"/>
            <w:gridSpan w:val="3"/>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r>
        <w:tblPrEx>
          <w:tblCellMar>
            <w:top w:w="0" w:type="dxa"/>
            <w:left w:w="108" w:type="dxa"/>
            <w:bottom w:w="0" w:type="dxa"/>
            <w:right w:w="108" w:type="dxa"/>
          </w:tblCellMar>
        </w:tblPrEx>
        <w:trPr>
          <w:cantSplit/>
        </w:trPr>
        <w:tc>
          <w:tcPr>
            <w:tcW w:w="16383" w:type="dxa"/>
            <w:gridSpan w:val="3"/>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2.没有一般公共预算财政拨款“三公”经费支出的部门请公开空表，并说明“本部门2024年度没有使用一般公共预算财政拨款安排的“三公”经费支出”。</w:t>
            </w:r>
          </w:p>
        </w:tc>
      </w:tr>
    </w:tbl>
    <w:p>
      <w:pPr>
        <w:sectPr>
          <w:footerReference r:id="rId14"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240" w:after="100"/>
        <w:ind w:left="100" w:right="100" w:firstLine="0"/>
        <w:jc w:val="left"/>
        <w:rPr>
          <w:rFonts w:ascii="Times New Roman" w:hAnsi="Times New Roman" w:eastAsia="Times New Roman" w:cs="Times New Roman"/>
          <w:kern w:val="0"/>
          <w:sz w:val="24"/>
        </w:rPr>
      </w:pPr>
      <w:r>
        <w:rPr>
          <w:rFonts w:ascii="宋体" w:hAnsi="宋体" w:eastAsia="宋体" w:cs="宋体"/>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13" w:name="_Toc256000064"/>
      <w:r>
        <w:rPr>
          <w:rFonts w:ascii="黑体" w:hAnsi="黑体" w:eastAsia="黑体" w:cs="黑体"/>
          <w:b w:val="0"/>
          <w:bCs w:val="0"/>
          <w:spacing w:val="0"/>
        </w:rPr>
        <w:t>八、政府性基金预算财政拨款收入支出决算表</w:t>
      </w:r>
      <w:bookmarkEnd w:id="13"/>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CellMar>
            <w:top w:w="0" w:type="dxa"/>
            <w:left w:w="108" w:type="dxa"/>
            <w:bottom w:w="0" w:type="dxa"/>
            <w:right w:w="108" w:type="dxa"/>
          </w:tblCellMar>
        </w:tblPrEx>
        <w:trPr>
          <w:cantSplit/>
          <w:tblHeader/>
        </w:trPr>
        <w:tc>
          <w:tcPr>
            <w:tcW w:w="14400" w:type="dxa"/>
            <w:gridSpan w:val="10"/>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tblPrEx>
          <w:tblCellMar>
            <w:top w:w="0" w:type="dxa"/>
            <w:left w:w="108" w:type="dxa"/>
            <w:bottom w:w="0" w:type="dxa"/>
            <w:right w:w="108" w:type="dxa"/>
          </w:tblCellMar>
        </w:tblPrEx>
        <w:trPr>
          <w:cantSplit/>
          <w:tblHeader/>
        </w:trPr>
        <w:tc>
          <w:tcPr>
            <w:tcW w:w="5290" w:type="dxa"/>
            <w:gridSpan w:val="2"/>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9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tblPrEx>
          <w:tblCellMar>
            <w:top w:w="0" w:type="dxa"/>
            <w:left w:w="108" w:type="dxa"/>
            <w:bottom w:w="0" w:type="dxa"/>
            <w:right w:w="108" w:type="dxa"/>
          </w:tblCellMar>
        </w:tblPrEx>
        <w:trPr>
          <w:cantSplit/>
          <w:tblHeader/>
        </w:trPr>
        <w:tc>
          <w:tcPr>
            <w:tcW w:w="5290" w:type="dxa"/>
            <w:gridSpan w:val="7"/>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734"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7"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734"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1671" w:type="dxa"/>
            <w:gridSpan w:val="3"/>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473"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734"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734"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tblPrEx>
          <w:tblCellMar>
            <w:top w:w="0" w:type="dxa"/>
            <w:left w:w="108" w:type="dxa"/>
            <w:bottom w:w="0" w:type="dxa"/>
            <w:right w:w="108" w:type="dxa"/>
          </w:tblCellMar>
        </w:tblPrEx>
        <w:trPr>
          <w:cantSplit/>
          <w:tblHeader/>
        </w:trPr>
        <w:tc>
          <w:tcPr>
            <w:tcW w:w="55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55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557"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4400" w:type="dxa"/>
            <w:gridSpan w:val="10"/>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注：1.本表反映部门本年度政府性基金预算财政拨款收入、支出及结转和结余情况。</w:t>
            </w:r>
          </w:p>
        </w:tc>
      </w:tr>
      <w:tr>
        <w:tblPrEx>
          <w:tblCellMar>
            <w:top w:w="0" w:type="dxa"/>
            <w:left w:w="108" w:type="dxa"/>
            <w:bottom w:w="0" w:type="dxa"/>
            <w:right w:w="108" w:type="dxa"/>
          </w:tblCellMar>
        </w:tblPrEx>
        <w:trPr>
          <w:cantSplit/>
        </w:trPr>
        <w:tc>
          <w:tcPr>
            <w:tcW w:w="14400" w:type="dxa"/>
            <w:gridSpan w:val="10"/>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2.没有政府性基金预算财政拨款支出的部门请公开空表，并说明“本部门2024年度没有使用政府性基金预算财政拨款安排的收支”。</w:t>
            </w:r>
          </w:p>
        </w:tc>
      </w:tr>
    </w:tbl>
    <w:p>
      <w:pPr>
        <w:sectPr>
          <w:footerReference r:id="rId15"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240" w:after="240"/>
        <w:jc w:val="left"/>
        <w:rPr>
          <w:rFonts w:ascii="Times New Roman" w:hAnsi="Times New Roman" w:eastAsia="Times New Roman" w:cs="Times New Roman"/>
          <w:kern w:val="0"/>
          <w:sz w:val="24"/>
        </w:rPr>
      </w:pPr>
      <w:r>
        <w:rPr>
          <w:rFonts w:ascii="宋体" w:hAnsi="宋体" w:eastAsia="宋体" w:cs="宋体"/>
          <w:spacing w:val="0"/>
          <w:kern w:val="0"/>
          <w:sz w:val="24"/>
        </w:rPr>
        <w:t> </w:t>
      </w:r>
      <w:r>
        <w:rPr>
          <w:rFonts w:ascii="宋体" w:hAnsi="宋体" w:eastAsia="宋体" w:cs="宋体"/>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14" w:name="_Toc256000065"/>
      <w:r>
        <w:rPr>
          <w:rFonts w:ascii="黑体" w:hAnsi="黑体" w:eastAsia="黑体" w:cs="黑体"/>
          <w:b w:val="0"/>
          <w:bCs w:val="0"/>
          <w:spacing w:val="0"/>
        </w:rPr>
        <w:t>九、国有资本经营预算财政拨款支出决算表</w:t>
      </w:r>
      <w:bookmarkEnd w:id="14"/>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tblPrEx>
          <w:tblCellMar>
            <w:top w:w="0" w:type="dxa"/>
            <w:left w:w="108" w:type="dxa"/>
            <w:bottom w:w="0" w:type="dxa"/>
            <w:right w:w="108" w:type="dxa"/>
          </w:tblCellMar>
        </w:tblPrEx>
        <w:trPr>
          <w:cantSplit/>
          <w:tblHeader/>
        </w:trPr>
        <w:tc>
          <w:tcPr>
            <w:tcW w:w="16380" w:type="dxa"/>
            <w:gridSpan w:val="5"/>
            <w:noWrap w:val="0"/>
            <w:tcMar>
              <w:top w:w="15" w:type="dxa"/>
              <w:left w:w="108" w:type="dxa"/>
              <w:bottom w:w="15"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tblPrEx>
          <w:tblCellMar>
            <w:top w:w="0" w:type="dxa"/>
            <w:left w:w="108" w:type="dxa"/>
            <w:bottom w:w="0" w:type="dxa"/>
            <w:right w:w="108" w:type="dxa"/>
          </w:tblCellMar>
        </w:tblPrEx>
        <w:trPr>
          <w:cantSplit/>
          <w:tblHeader/>
        </w:trPr>
        <w:tc>
          <w:tcPr>
            <w:tcW w:w="21600" w:type="dxa"/>
            <w:gridSpan w:val="2"/>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tblPrEx>
          <w:tblCellMar>
            <w:top w:w="0" w:type="dxa"/>
            <w:left w:w="108" w:type="dxa"/>
            <w:bottom w:w="0" w:type="dxa"/>
            <w:right w:w="108" w:type="dxa"/>
          </w:tblCellMar>
        </w:tblPrEx>
        <w:trPr>
          <w:cantSplit/>
          <w:tblHeader/>
        </w:trPr>
        <w:tc>
          <w:tcPr>
            <w:tcW w:w="21600" w:type="dxa"/>
            <w:gridSpan w:val="4"/>
            <w:noWrap w:val="0"/>
            <w:tcMar>
              <w:top w:w="15" w:type="dxa"/>
              <w:left w:w="108" w:type="dxa"/>
              <w:bottom w:w="15" w:type="dxa"/>
              <w:right w:w="108" w:type="dxa"/>
            </w:tcMar>
            <w:vAlign w:val="center"/>
          </w:tcPr>
          <w:p>
            <w:pPr>
              <w:widowControl/>
              <w:jc w:val="lef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4"/>
                <w:szCs w:val="26"/>
              </w:rPr>
              <w:t>编制单位：大田县</w:t>
            </w:r>
            <w:r>
              <w:rPr>
                <w:rFonts w:hint="eastAsia" w:ascii="宋体" w:hAnsi="宋体" w:cs="宋体"/>
                <w:b w:val="0"/>
                <w:bCs w:val="0"/>
                <w:i w:val="0"/>
                <w:iCs w:val="0"/>
                <w:smallCaps w:val="0"/>
                <w:color w:val="000000"/>
                <w:kern w:val="0"/>
                <w:sz w:val="24"/>
                <w:szCs w:val="26"/>
                <w:lang w:eastAsia="zh-CN"/>
              </w:rPr>
              <w:t>屏山乡人民政府</w:t>
            </w:r>
          </w:p>
        </w:tc>
        <w:tc>
          <w:tcPr>
            <w:tcW w:w="21600" w:type="dxa"/>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nil"/>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CellMar>
            <w:top w:w="0" w:type="dxa"/>
            <w:left w:w="108" w:type="dxa"/>
            <w:bottom w:w="0" w:type="dxa"/>
            <w:right w:w="108" w:type="dxa"/>
          </w:tblCellMar>
        </w:tblPrEx>
        <w:trPr>
          <w:cantSplit/>
          <w:tblHeader/>
        </w:trPr>
        <w:tc>
          <w:tcPr>
            <w:tcW w:w="3812"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142"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142"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142"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142" w:type="dxa"/>
            <w:vMerge w:val="continue"/>
            <w:tcBorders>
              <w:left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3812"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142"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142"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142"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142" w:type="dxa"/>
            <w:vMerge w:val="continue"/>
            <w:tcBorders>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15" w:type="dxa"/>
              <w:left w:w="108" w:type="dxa"/>
              <w:bottom w:w="15"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6380" w:type="dxa"/>
            <w:gridSpan w:val="5"/>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注：1.本表反映部门本年度国有资本经营预算财政拨款支出情况。</w:t>
            </w:r>
          </w:p>
        </w:tc>
      </w:tr>
      <w:tr>
        <w:tblPrEx>
          <w:tblCellMar>
            <w:top w:w="0" w:type="dxa"/>
            <w:left w:w="108" w:type="dxa"/>
            <w:bottom w:w="0" w:type="dxa"/>
            <w:right w:w="108" w:type="dxa"/>
          </w:tblCellMar>
        </w:tblPrEx>
        <w:trPr>
          <w:cantSplit/>
        </w:trPr>
        <w:tc>
          <w:tcPr>
            <w:tcW w:w="16380" w:type="dxa"/>
            <w:gridSpan w:val="5"/>
            <w:noWrap w:val="0"/>
            <w:tcMar>
              <w:top w:w="15" w:type="dxa"/>
              <w:left w:w="108" w:type="dxa"/>
              <w:bottom w:w="15"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2.本部门2024年度没有使用国有资本经营预算财政拨款安排的支出</w:t>
            </w:r>
          </w:p>
        </w:tc>
      </w:tr>
    </w:tbl>
    <w:p>
      <w:pPr>
        <w:sectPr>
          <w:footerReference r:id="rId16"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240" w:after="100" w:line="560" w:lineRule="atLeast"/>
        <w:ind w:left="100" w:right="100" w:firstLine="0"/>
        <w:jc w:val="center"/>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28"/>
        <w:widowControl/>
        <w:spacing w:before="100" w:after="100" w:line="560" w:lineRule="atLeast"/>
        <w:ind w:left="100" w:right="100" w:firstLine="0"/>
        <w:jc w:val="center"/>
        <w:rPr>
          <w:rFonts w:ascii="Times New Roman" w:hAnsi="Times New Roman" w:eastAsia="Times New Roman" w:cs="Times New Roman"/>
          <w:kern w:val="0"/>
          <w:sz w:val="24"/>
        </w:rPr>
      </w:pPr>
    </w:p>
    <w:p>
      <w:pPr>
        <w:pStyle w:val="28"/>
        <w:widowControl/>
        <w:spacing w:before="100" w:after="100" w:line="560" w:lineRule="atLeast"/>
        <w:ind w:left="100" w:right="100" w:firstLine="0"/>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28"/>
        <w:widowControl/>
        <w:spacing w:before="100" w:after="100"/>
        <w:ind w:left="100" w:right="10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r>
        <w:rPr>
          <w:rFonts w:ascii="宋体" w:hAnsi="宋体" w:eastAsia="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eastAsia="宋体" w:cs="宋体"/>
          <w:spacing w:val="0"/>
          <w:kern w:val="0"/>
          <w:sz w:val="36"/>
          <w:szCs w:val="36"/>
        </w:rPr>
        <w:t>  </w:t>
      </w: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5" w:name="_Toc256000066"/>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2024年度部门决算情况说明</w:t>
      </w:r>
      <w:bookmarkEnd w:id="15"/>
    </w:p>
    <w:p>
      <w:pPr>
        <w:sectPr>
          <w:footerReference r:id="rId1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5"/>
        <w:keepNext w:val="0"/>
        <w:keepLines w:val="0"/>
        <w:spacing w:before="240" w:after="100" w:line="240" w:lineRule="auto"/>
        <w:ind w:left="100" w:right="100" w:firstLine="640" w:firstLineChars="0"/>
        <w:rPr>
          <w:rFonts w:ascii="Times New Roman" w:hAnsi="Times New Roman" w:eastAsia="Times New Roman" w:cs="Times New Roman"/>
          <w:b/>
          <w:bCs/>
          <w:kern w:val="0"/>
          <w:sz w:val="28"/>
          <w:szCs w:val="28"/>
        </w:rPr>
      </w:pPr>
      <w:bookmarkStart w:id="16" w:name="_Toc256000067"/>
      <w:r>
        <w:rPr>
          <w:rFonts w:ascii="黑体" w:hAnsi="黑体" w:eastAsia="黑体" w:cs="黑体"/>
          <w:b w:val="0"/>
          <w:bCs w:val="0"/>
          <w:spacing w:val="0"/>
        </w:rPr>
        <w:t>一、收入支出决算总体情况说明</w:t>
      </w:r>
      <w:bookmarkEnd w:id="16"/>
      <w:r>
        <w:rPr>
          <w:rFonts w:ascii="黑体" w:hAnsi="黑体" w:eastAsia="黑体" w:cs="黑体"/>
          <w:b w:val="0"/>
          <w:bCs w:val="0"/>
          <w:spacing w:val="0"/>
        </w:rPr>
        <w:t>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2024年度本部门收入总计1449.52万元，支出总计1449.52万元，与上年决算数相比，各增加38.25万元，增长2.71%。主要是专项资金的增加</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2024年度收入1449.52万元，比上年决算数增加38.25万元，增长2.71%，具体情况如下：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1.一般公共预算财政拨款收入1449.52万元。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2.政府性基金预算财政拨款收入0万元。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3.国有资本经营预算财政拨款收入0万元。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4.上级补助收入0万元。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5.事业收入0万元。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6.经营收入0万元。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7.附属单位上缴收入0万元。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8.其他收入0万元。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2024年度支出1449.52万元，比上年决算数增加38.25万元，增长2.71%，具体情况如下：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1.基本支出844.92万元。其中，人员支出512.95万元，公用支出331.98万元。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2.项目支出604.60万元。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3.上缴上级支出0万元。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4.经营支出0万元。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5.对附属单位补助支出0万元。</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17" w:name="_Toc256000068"/>
      <w:r>
        <w:rPr>
          <w:rFonts w:ascii="黑体" w:hAnsi="黑体" w:eastAsia="黑体" w:cs="黑体"/>
          <w:b w:val="0"/>
          <w:bCs w:val="0"/>
          <w:spacing w:val="0"/>
        </w:rPr>
        <w:t>二、财政拨款收入支出决算总体情况说明</w:t>
      </w:r>
      <w:bookmarkEnd w:id="17"/>
      <w:r>
        <w:rPr>
          <w:rFonts w:ascii="黑体" w:hAnsi="黑体" w:eastAsia="黑体" w:cs="黑体"/>
          <w:b w:val="0"/>
          <w:bCs w:val="0"/>
          <w:spacing w:val="0"/>
        </w:rPr>
        <w:t>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2024年度财政拨款收入总计1449.52万元，支出总计 1449.52万元，与上年决算数相比，各增加529.82万元，增长57.61%，主要是：本年度专项资金收入增加。</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8" w:name="_Toc256000069"/>
      <w:r>
        <w:rPr>
          <w:rFonts w:ascii="黑体" w:hAnsi="黑体" w:eastAsia="黑体" w:cs="黑体"/>
          <w:b w:val="0"/>
          <w:bCs w:val="0"/>
          <w:spacing w:val="0"/>
        </w:rPr>
        <w:t>三、一般公共预算财政拨款支出决算情况说明</w:t>
      </w:r>
      <w:bookmarkEnd w:id="18"/>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2024年一般公共预算财政拨款支出1449.52万元，比上年决算数增加529.82万元，增长57.61%，具体情况如下(按项级科目分类统计)：</w:t>
      </w:r>
    </w:p>
    <w:p>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  （一）2010301 行政运行 376.21万元，较上年决算数减少28.08万元，下降6.95%。主要原因是一体化系统国库统发工资时未根据各单位实际应支出数列支。</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  （二）2010799 其他税收事务支出 2.30万元，较上年决算数增加2.30万元。主要原因是本年度上级下达专项资金增加。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  （三）2049999 其他公共安全支出 1.50万元，较上年决算数增加1.50万元。主要原因是本年度上级下达专项资金增加。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  （四）2080150 事业运行 37.85万元，较上年决算数减少12.08万元，下降24.19%。主要原因是一体化系统国库统发工资时未根据各单位实际应支出数列支。</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  （五）2110302 水体 56.10万元，较上年决算数增加56.10万元。主要原因是本年度上级下达专项资金增加。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  （六）2110304 固体废弃物与化学品 12.95万元，较上年决算数增加12.95万元。主要原因是本年度上级下达专项资金增加。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  （七）2120101 行政运行 47.37万元，较上年决算数减少16.97万元，下降26.37%。主要原因是一体化系统国库统发工资时未根据各单位实际应支出数列支。</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  （八）2120201 城乡社区规划与管理 335.00万元，较上年决算数增加320.00万元，增长2133.33%。主要原因是本年度上级下达专项资金增加。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  （九）2120501 城乡社区环境卫生 1.29万元，较上年决算数增加1.29万元。主要原因是本年度上级下达专项资金增加。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  （十）2130104 事业运行 66.72万元，较上年决算数增加12.19万元，增长22.35%。主要原因是一体化系统国库统发工资时未根据各单位实际应支出数列支。</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  （十一）2130199 其他农业农村支出 60.00万元，较上年决算数增加60.00万元。主要原因是本年度上级下达专项资金增加。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  （十二）2130504 农村基础设施建设 62.00万元，较上年决算数增加62.00万元。主要原因是本年度上级下达专项资金增加。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  （十三）2130701 对村级公益事业建设的补助 41.50万元，较上年决算数减少48.50万元，下降53.89%。主要原因是本年度预算科目调整。</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  （十四）2130705 对村民委员会和村党支部的补助 294.24万元，较上年决算数增加176.90万元，增长150.76%。主要原因是本年度预算科目调整。</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  （十五）2130799 其他农村综合改革支出 50.00万元，较上年决算数减少30.00万元，下降37.50%。主要原因是本年度上级下达专项资金减少。</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  （十六）2240299 其他消防救援事务支出 2.50万元，较上年决算数增加2.50万元。主要原因是本年度上级下达专项资金增加。</w:t>
      </w:r>
      <w:r>
        <w:rPr>
          <w:rFonts w:ascii="FangSong_GB2312" w:hAnsi="FangSong_GB2312" w:eastAsia="FangSong_GB2312" w:cs="FangSong_GB2312"/>
          <w:spacing w:val="0"/>
          <w:kern w:val="0"/>
          <w:sz w:val="32"/>
          <w:szCs w:val="32"/>
        </w:rPr>
        <w:br w:type="textWrapping"/>
      </w:r>
      <w:r>
        <w:rPr>
          <w:rFonts w:ascii="FangSong_GB2312" w:hAnsi="FangSong_GB2312" w:eastAsia="FangSong_GB2312" w:cs="FangSong_GB2312"/>
          <w:spacing w:val="0"/>
          <w:kern w:val="0"/>
          <w:sz w:val="32"/>
          <w:szCs w:val="32"/>
        </w:rPr>
        <w:t>  （十七）2240703 自然灾害救灾补助 2.00万元，较上年决算数增加2.00万元。主要原因是本年度上级下达专项资金增加。</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70"/>
      <w:r>
        <w:rPr>
          <w:rFonts w:ascii="黑体" w:hAnsi="黑体" w:eastAsia="黑体" w:cs="黑体"/>
          <w:b w:val="0"/>
          <w:bCs w:val="0"/>
          <w:spacing w:val="0"/>
        </w:rPr>
        <w:t>四、政府性基金预算财政拨款支出决算情况说明</w:t>
      </w:r>
      <w:bookmarkEnd w:id="19"/>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本部门2024年度没有使用政府性基金预算财政拨款安排的支出。</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20" w:name="_Toc256000071"/>
      <w:r>
        <w:rPr>
          <w:rFonts w:ascii="黑体" w:hAnsi="黑体" w:eastAsia="黑体" w:cs="黑体"/>
          <w:b w:val="0"/>
          <w:bCs w:val="0"/>
          <w:spacing w:val="0"/>
        </w:rPr>
        <w:t>五、国有资本经营预算财政拨款支出决算情况说明</w:t>
      </w:r>
      <w:bookmarkEnd w:id="20"/>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本部门2024年度没有使用国有资本经营预算财政拨款安排的支出。</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21" w:name="_Toc256000072"/>
      <w:r>
        <w:rPr>
          <w:rFonts w:ascii="黑体" w:hAnsi="黑体" w:eastAsia="黑体" w:cs="黑体"/>
          <w:b w:val="0"/>
          <w:bCs w:val="0"/>
          <w:spacing w:val="0"/>
        </w:rPr>
        <w:t>六、一般公共预算财政拨款基本支出决算情况说明</w:t>
      </w:r>
      <w:bookmarkEnd w:id="21"/>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2024年度一般公共预算财政拨款基本支出844.92万元，其中：</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一）人员经费512.95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二）公用经费331.98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22" w:name="_Toc256000073"/>
      <w:r>
        <w:rPr>
          <w:rFonts w:ascii="黑体" w:hAnsi="黑体" w:eastAsia="黑体" w:cs="黑体"/>
          <w:b w:val="0"/>
          <w:bCs w:val="0"/>
          <w:spacing w:val="0"/>
        </w:rPr>
        <w:t>七、一般公共预算财政拨款“三公”经费支出决算情况说明</w:t>
      </w:r>
      <w:bookmarkEnd w:id="22"/>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2024年度一般公共预算财政拨款“三公”经费支出0万元，与全年预算数持平，与上年决算数持平。主要原因是本年无一般公共预算财政拨款“三公”经费支出。具体情况如下：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（一）因公出国（境）费支出0万元，与全年预算数持平，</w:t>
      </w:r>
      <w:r>
        <w:rPr>
          <w:rFonts w:ascii="FangSong_GB2312" w:hAnsi="FangSong_GB2312" w:eastAsia="FangSong_GB2312" w:cs="FangSong_GB2312"/>
          <w:kern w:val="0"/>
          <w:sz w:val="32"/>
          <w:szCs w:val="32"/>
        </w:rPr>
        <w:t>与上年决算数持平。主要是本年无一般公共预算财政拨款“三公”经费支出。全年安排本部门组织的出国团组0个，参加其他部门出国团组0个；全年因公出国（境）累计0 人次。</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（二）公务用车购置及运行费支出0万元，与全年预算数持平，与上年决算数持平。</w:t>
      </w:r>
      <w:r>
        <w:rPr>
          <w:rFonts w:ascii="FangSong_GB2312" w:hAnsi="FangSong_GB2312" w:eastAsia="FangSong_GB2312" w:cs="FangSong_GB2312"/>
          <w:kern w:val="0"/>
          <w:sz w:val="32"/>
          <w:szCs w:val="32"/>
        </w:rPr>
        <w:t>其中：</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公务用车购置费支出0万元，与全年预算数持平，</w:t>
      </w:r>
      <w:r>
        <w:rPr>
          <w:rFonts w:ascii="FangSong_GB2312" w:hAnsi="FangSong_GB2312" w:eastAsia="FangSong_GB2312" w:cs="FangSong_GB2312"/>
          <w:kern w:val="0"/>
          <w:sz w:val="32"/>
          <w:szCs w:val="32"/>
        </w:rPr>
        <w:t>与上年决算数持平。主要是本年无一般公共预算财政拨款“三公”经费支出。2024年公务用车购置0辆。</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公务用车运行费支出0万元，与全年预算数持平，与上年决算数持平。主要是本年无一般公共预算财政拨款“三公”经费支出。截至2024年12月31日，本部门公务用车保有量为0辆。</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（三）公务接待费支出0万元，与全年预算数持平，与上年决算数持平。主要是本年无一般公共预算财政拨款“三公”经费支出。</w:t>
      </w:r>
      <w:r>
        <w:rPr>
          <w:rFonts w:ascii="FangSong_GB2312" w:hAnsi="FangSong_GB2312" w:eastAsia="FangSong_GB2312" w:cs="FangSong_GB2312"/>
          <w:kern w:val="0"/>
          <w:sz w:val="32"/>
          <w:szCs w:val="32"/>
        </w:rPr>
        <w:t>累计接待0批次、0人次。</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23" w:name="_Toc256000074"/>
      <w:r>
        <w:rPr>
          <w:rFonts w:ascii="黑体" w:hAnsi="黑体" w:eastAsia="黑体" w:cs="黑体"/>
          <w:b w:val="0"/>
          <w:bCs w:val="0"/>
          <w:spacing w:val="0"/>
        </w:rPr>
        <w:t>八、预算绩效情况说明</w:t>
      </w:r>
      <w:bookmarkEnd w:id="23"/>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根据全面实施预算绩效管理要求，本部门组织对2024年度0个项目实施单位自评。</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对0个项目实施部门评价，分别是0等项目，涉及财政拨款资金共计0万元，评价结果等次为“优”“良”“中”“差”的项目分别是0个、0个、0个、0个。（《项目支出绩效评价报告》详见附件0）</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24" w:name="_Toc256000075"/>
      <w:r>
        <w:rPr>
          <w:rFonts w:ascii="黑体" w:hAnsi="黑体" w:eastAsia="黑体" w:cs="黑体"/>
          <w:b w:val="0"/>
          <w:bCs w:val="0"/>
          <w:spacing w:val="0"/>
        </w:rPr>
        <w:t>九、其他重要事项说明</w:t>
      </w:r>
      <w:bookmarkEnd w:id="24"/>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（一）机关运行经费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2024年度机关运行经费支出331.98万元，比上年决算数增加305.52万元，增长1154.63%，主要原因是:本年度预算科目调整。</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（二）政府采购情况</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本部门2024年度政府采购支出总额4.96万元，其中：政府采购货物支出4.96万元、政府采购工程支出0万元、政府采购服务支出0万元。授予中小企业合同金额4.96万元，占政府采购支出总额的100.00%，其中：授予小微企业合同金额4.96万元，占授予中小企业合同金额的100.00%；货物采购授予中小企业合同金额占货物支出金额的0%，工程采购授予中小企业合同金额占工程支出金额的0%，服务采购授予中小企业合同金额占服务支出金额的0%。</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（三）国有资产占用使用情况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FangSong_GB2312" w:hAnsi="FangSong_GB2312" w:eastAsia="FangSong_GB2312" w:cs="FangSong_GB2312"/>
          <w:spacing w:val="0"/>
          <w:kern w:val="0"/>
          <w:sz w:val="32"/>
          <w:szCs w:val="32"/>
        </w:rPr>
        <w:t>截至2024年12月31日，本部门共有车辆2辆，其中：副部（省）级以上领导用车0辆、主要领导干部用车0辆、机要通信用车0辆、应急保障用车0辆、执法执勤用车0辆、特种专业技术用车0辆、离退休干部用车0辆、其他用车2辆，其他用车主要是日常公务出行用车；单位价值100万元以上设备（不含车辆）0台（套）。 </w:t>
      </w:r>
    </w:p>
    <w:p>
      <w:pPr>
        <w:sectPr>
          <w:footerReference r:id="rId18" w:type="default"/>
          <w:pgSz w:w="11906" w:h="16838"/>
          <w:pgMar w:top="1440" w:right="1800" w:bottom="1440" w:left="180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jc w:val="left"/>
        <w:rPr>
          <w:rFonts w:ascii="Times New Roman" w:hAnsi="Times New Roman" w:eastAsia="Times New Roman" w:cs="Times New Roman"/>
          <w:spacing w:val="0"/>
          <w:kern w:val="0"/>
          <w:sz w:val="56"/>
          <w:szCs w:val="56"/>
        </w:rPr>
      </w:pPr>
      <w:r>
        <w:rPr>
          <w:rFonts w:ascii="Times New Roman" w:hAnsi="Times New Roman" w:eastAsia="Times New Roman" w:cs="Times New Roman"/>
          <w:spacing w:val="0"/>
          <w:kern w:val="0"/>
          <w:sz w:val="56"/>
          <w:szCs w:val="56"/>
        </w:rPr>
        <w:t> </w:t>
      </w:r>
    </w:p>
    <w:p>
      <w:pPr>
        <w:pStyle w:val="28"/>
        <w:widowControl/>
        <w:spacing w:before="24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76"/>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25"/>
    </w:p>
    <w:p>
      <w:pPr>
        <w:sectPr>
          <w:footerReference r:id="rId19" w:type="default"/>
          <w:pgSz w:w="11906" w:h="16838"/>
          <w:pgMar w:top="1440" w:right="1800" w:bottom="1440" w:left="180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28"/>
        <w:widowControl/>
        <w:spacing w:before="24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一、财政拨款收入：</w:t>
      </w:r>
      <w:r>
        <w:rPr>
          <w:rFonts w:ascii="FangSong_GB2312" w:hAnsi="FangSong_GB2312" w:eastAsia="FangSong_GB2312" w:cs="FangSong_GB2312"/>
          <w:spacing w:val="0"/>
          <w:kern w:val="0"/>
          <w:sz w:val="32"/>
          <w:szCs w:val="32"/>
        </w:rPr>
        <w:t>指单位从本级财政部门取得的财政预算资金，包括一般公共预算财政拨款、政府性基金预算财政拨款和国有资本经营预算财政拨款。</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二、事业收入：</w:t>
      </w:r>
      <w:r>
        <w:rPr>
          <w:rFonts w:ascii="FangSong_GB2312" w:hAnsi="FangSong_GB2312" w:eastAsia="FangSong_GB2312" w:cs="FangSong_GB2312"/>
          <w:spacing w:val="0"/>
          <w:kern w:val="0"/>
          <w:sz w:val="32"/>
          <w:szCs w:val="32"/>
        </w:rPr>
        <w:t>指事业单位开展专业业务活动及辅助活动所取得的收入。</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三、经营收入：</w:t>
      </w:r>
      <w:r>
        <w:rPr>
          <w:rFonts w:ascii="FangSong_GB2312" w:hAnsi="FangSong_GB2312" w:eastAsia="FangSong_GB2312" w:cs="FangSong_GB2312"/>
          <w:spacing w:val="0"/>
          <w:kern w:val="0"/>
          <w:sz w:val="32"/>
          <w:szCs w:val="32"/>
        </w:rPr>
        <w:t>指事业单位在专业业务活动及其辅助活动之外开展非独立核算经营活动取得的收入。</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四、其他收入：</w:t>
      </w:r>
      <w:r>
        <w:rPr>
          <w:rFonts w:ascii="FangSong_GB2312" w:hAnsi="FangSong_GB2312" w:eastAsia="FangSong_GB2312" w:cs="FangSong_GB2312"/>
          <w:kern w:val="0"/>
          <w:sz w:val="32"/>
          <w:szCs w:val="32"/>
        </w:rPr>
        <w:t>指除上述“财政拨款收入”“事业收入”</w:t>
      </w:r>
      <w:r>
        <w:rPr>
          <w:rFonts w:ascii="FangSong_GB2312" w:hAnsi="FangSong_GB2312" w:eastAsia="FangSong_GB2312" w:cs="FangSong_GB2312"/>
          <w:kern w:val="0"/>
          <w:szCs w:val="21"/>
        </w:rPr>
        <w:t> </w:t>
      </w:r>
      <w:r>
        <w:rPr>
          <w:rFonts w:ascii="FangSong_GB2312" w:hAnsi="FangSong_GB2312" w:eastAsia="FangSong_GB2312" w:cs="FangSong_GB2312"/>
          <w:kern w:val="0"/>
          <w:sz w:val="32"/>
          <w:szCs w:val="32"/>
        </w:rPr>
        <w:t>“上级补助收入”“附属单位上缴收入”“经营收入”等以外取得的各项收入。主要是事业单位固定资产出租收入、存款利息收入等。</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五、使用非财政拨款结余（含专用结余）</w:t>
      </w:r>
      <w:r>
        <w:rPr>
          <w:rFonts w:ascii="楷体_GB2312" w:hAnsi="楷体_GB2312" w:eastAsia="楷体_GB2312" w:cs="楷体_GB2312"/>
          <w:b/>
          <w:bCs/>
          <w:kern w:val="0"/>
          <w:sz w:val="24"/>
        </w:rPr>
        <w:t>：</w:t>
      </w:r>
      <w:r>
        <w:rPr>
          <w:rFonts w:ascii="FangSong_GB2312" w:hAnsi="FangSong_GB2312" w:eastAsia="FangSong_GB2312" w:cs="FangSong_GB2312"/>
          <w:kern w:val="0"/>
          <w:sz w:val="32"/>
          <w:szCs w:val="32"/>
        </w:rPr>
        <w:t>指事业单位按照预算管理要求使用非财政拨款结余弥补当年收支差额的金额，以及使用专用结余安排支出的金额。</w:t>
      </w:r>
    </w:p>
    <w:p>
      <w:pPr>
        <w:pStyle w:val="28"/>
        <w:widowControl/>
        <w:spacing w:before="24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六、年初结转和结余：</w:t>
      </w:r>
      <w:r>
        <w:rPr>
          <w:rFonts w:ascii="FangSong_GB2312" w:hAnsi="FangSong_GB2312" w:eastAsia="FangSong_GB2312" w:cs="FangSong_GB2312"/>
          <w:spacing w:val="0"/>
          <w:kern w:val="0"/>
          <w:sz w:val="32"/>
          <w:szCs w:val="32"/>
        </w:rPr>
        <w:t>指单位以前年度尚未完成、结转到本年仍按原规定用途继续使用的资金，或项目已完成等产生的结余资金。</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七、结余分配：</w:t>
      </w:r>
      <w:r>
        <w:rPr>
          <w:rFonts w:ascii="FangSong_GB2312" w:hAnsi="FangSong_GB2312" w:eastAsia="FangSong_GB2312" w:cs="FangSong_GB2312"/>
          <w:spacing w:val="0"/>
          <w:kern w:val="0"/>
          <w:sz w:val="32"/>
          <w:szCs w:val="32"/>
        </w:rPr>
        <w:t>指事业单位按照会计制度规定缴纳的所得税、提取的专用结余以及转入非财政拨款结余的金额等。</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八、年末结转和结余：</w:t>
      </w:r>
      <w:r>
        <w:rPr>
          <w:rFonts w:ascii="FangSong_GB2312" w:hAnsi="FangSong_GB2312" w:eastAsia="FangSong_GB2312" w:cs="FangSong_GB2312"/>
          <w:spacing w:val="0"/>
          <w:kern w:val="0"/>
          <w:sz w:val="32"/>
          <w:szCs w:val="32"/>
        </w:rPr>
        <w:t>指单位按有关规定结转到下年或以后年度继续使用的资金，或项目已完成等产生的结余资金。</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九、基本支出：</w:t>
      </w:r>
      <w:r>
        <w:rPr>
          <w:rFonts w:ascii="FangSong_GB2312" w:hAnsi="FangSong_GB2312" w:eastAsia="FangSong_GB2312" w:cs="FangSong_GB2312"/>
          <w:spacing w:val="0"/>
          <w:kern w:val="0"/>
          <w:sz w:val="32"/>
          <w:szCs w:val="32"/>
        </w:rPr>
        <w:t>指为保障机构正常运转、完成日常工作任务而发生的人员支出和公用支出。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十、项目支出：</w:t>
      </w:r>
      <w:r>
        <w:rPr>
          <w:rFonts w:ascii="FangSong_GB2312" w:hAnsi="FangSong_GB2312" w:eastAsia="FangSong_GB2312" w:cs="FangSong_GB2312"/>
          <w:spacing w:val="0"/>
          <w:kern w:val="0"/>
          <w:sz w:val="32"/>
          <w:szCs w:val="32"/>
        </w:rPr>
        <w:t>指在基本支出之外为完成特定行政任务和事业发展目标所发生的支出。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十一、经营支出：</w:t>
      </w:r>
      <w:r>
        <w:rPr>
          <w:rFonts w:ascii="FangSong_GB2312" w:hAnsi="FangSong_GB2312" w:eastAsia="FangSong_GB2312" w:cs="FangSong_GB2312"/>
          <w:spacing w:val="0"/>
          <w:kern w:val="0"/>
          <w:sz w:val="32"/>
          <w:szCs w:val="32"/>
        </w:rPr>
        <w:t>指事业单位在专业业务活动及其辅助活动之外开展非独立核算经营活动发生的支出。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十二、“三公”经费：</w:t>
      </w:r>
      <w:r>
        <w:rPr>
          <w:rFonts w:ascii="FangSong_GB2312" w:hAnsi="FangSong_GB2312" w:eastAsia="FangSong_GB2312" w:cs="FangSong_GB2312"/>
          <w:spacing w:val="0"/>
          <w:kern w:val="0"/>
          <w:sz w:val="32"/>
          <w:szCs w:val="32"/>
        </w:rPr>
        <w:t>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十三、机关运行经费：</w:t>
      </w:r>
      <w:r>
        <w:rPr>
          <w:rFonts w:ascii="FangSong_GB2312" w:hAnsi="FangSong_GB2312" w:eastAsia="FangSong_GB2312" w:cs="FangSong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pPr>
        <w:pStyle w:val="28"/>
        <w:widowControl/>
        <w:spacing w:before="240" w:after="240"/>
        <w:ind w:firstLine="643"/>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sectPr>
          <w:footerReference r:id="rId20" w:type="default"/>
          <w:pgSz w:w="11906" w:h="16838"/>
          <w:pgMar w:top="1440" w:right="1800" w:bottom="1440" w:left="180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28"/>
        <w:widowControl/>
        <w:spacing w:before="24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r>
        <w:rPr>
          <w:rFonts w:ascii="宋体" w:hAnsi="宋体" w:eastAsia="宋体" w:cs="宋体"/>
          <w:spacing w:val="0"/>
          <w:kern w:val="0"/>
          <w:sz w:val="56"/>
          <w:szCs w:val="56"/>
        </w:rPr>
        <w:t> </w:t>
      </w: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6" w:name="_Toc256000077"/>
      <w:r>
        <w:rPr>
          <w:rFonts w:ascii="黑体" w:hAnsi="黑体" w:eastAsia="黑体" w:cs="黑体"/>
          <w:b w:val="0"/>
          <w:bCs w:val="0"/>
          <w:spacing w:val="0"/>
          <w:sz w:val="56"/>
          <w:szCs w:val="56"/>
        </w:rPr>
        <w:t>第五部分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附件</w:t>
      </w:r>
      <w:bookmarkEnd w:id="26"/>
    </w:p>
    <w:p>
      <w:pPr>
        <w:sectPr>
          <w:footerReference r:id="rId21" w:type="default"/>
          <w:pgSz w:w="11906" w:h="16838"/>
          <w:pgMar w:top="1440" w:right="1800" w:bottom="1440" w:left="180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一、《项目支出绩效自评表》</w:t>
      </w:r>
    </w:p>
    <w:p>
      <w:pPr>
        <w:pStyle w:val="28"/>
        <w:widowControl/>
        <w:spacing w:before="240" w:after="240"/>
        <w:jc w:val="center"/>
        <w:rPr>
          <w:rFonts w:ascii="Times New Roman" w:hAnsi="Times New Roman" w:eastAsia="Times New Roman" w:cs="Times New Roman"/>
          <w:kern w:val="0"/>
          <w:sz w:val="24"/>
        </w:rPr>
      </w:pPr>
      <w:r>
        <w:rPr>
          <w:rFonts w:ascii="宋体" w:hAnsi="宋体" w:eastAsia="宋体" w:cs="宋体"/>
          <w:b/>
          <w:bCs/>
          <w:kern w:val="0"/>
          <w:sz w:val="32"/>
          <w:szCs w:val="32"/>
        </w:rPr>
        <w:t>项目支出绩效自评表</w:t>
      </w:r>
    </w:p>
    <w:p>
      <w:pPr>
        <w:pStyle w:val="28"/>
        <w:widowControl/>
        <w:spacing w:before="240" w:after="240"/>
        <w:jc w:val="center"/>
        <w:rPr>
          <w:rFonts w:ascii="Times New Roman" w:hAnsi="Times New Roman" w:eastAsia="Times New Roman" w:cs="Times New Roman"/>
          <w:kern w:val="0"/>
          <w:sz w:val="24"/>
        </w:rPr>
      </w:pPr>
      <w:r>
        <w:rPr>
          <w:rFonts w:ascii="宋体" w:hAnsi="宋体" w:eastAsia="宋体" w:cs="宋体"/>
          <w:kern w:val="0"/>
          <w:sz w:val="22"/>
          <w:szCs w:val="22"/>
        </w:rPr>
        <w:t>（2024年度）</w:t>
      </w:r>
    </w:p>
    <w:p>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二、《项目支出绩效评价报告》</w:t>
      </w:r>
    </w:p>
    <w:p>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三、部门整体支出绩效自评表</w:t>
      </w:r>
    </w:p>
    <w:p>
      <w:pPr>
        <w:pStyle w:val="28"/>
        <w:widowControl/>
        <w:spacing w:before="240" w:after="240"/>
        <w:jc w:val="center"/>
        <w:rPr>
          <w:rFonts w:ascii="Times New Roman" w:hAnsi="Times New Roman" w:eastAsia="Times New Roman" w:cs="Times New Roman"/>
          <w:kern w:val="0"/>
          <w:sz w:val="24"/>
        </w:rPr>
      </w:pPr>
      <w:r>
        <w:rPr>
          <w:rFonts w:ascii="宋体" w:hAnsi="宋体" w:eastAsia="宋体" w:cs="宋体"/>
          <w:b/>
          <w:bCs/>
          <w:kern w:val="0"/>
          <w:sz w:val="32"/>
          <w:szCs w:val="32"/>
        </w:rPr>
        <w:t>部门整体绩效自评表</w:t>
      </w:r>
    </w:p>
    <w:p>
      <w:pPr>
        <w:pStyle w:val="28"/>
        <w:widowControl/>
        <w:spacing w:before="240" w:after="240"/>
        <w:jc w:val="center"/>
        <w:rPr>
          <w:rFonts w:ascii="Times New Roman" w:hAnsi="Times New Roman" w:eastAsia="Times New Roman" w:cs="Times New Roman"/>
          <w:kern w:val="0"/>
          <w:sz w:val="24"/>
        </w:rPr>
      </w:pPr>
      <w:r>
        <w:rPr>
          <w:rFonts w:ascii="宋体" w:hAnsi="宋体" w:eastAsia="宋体" w:cs="宋体"/>
          <w:kern w:val="0"/>
          <w:sz w:val="22"/>
          <w:szCs w:val="22"/>
        </w:rPr>
        <w:t>（2024年度）</w:t>
      </w:r>
    </w:p>
    <w:bookmarkEnd w:id="0"/>
    <w:p>
      <w:pPr>
        <w:keepNext w:val="0"/>
        <w:keepLines w:val="0"/>
        <w:pageBreakBefore w:val="0"/>
        <w:widowControl w:val="0"/>
        <w:tabs>
          <w:tab w:val="left" w:pos="8415"/>
        </w:tabs>
        <w:kinsoku/>
        <w:wordWrap/>
        <w:overflowPunct/>
        <w:topLinePunct w:val="0"/>
        <w:autoSpaceDE/>
        <w:autoSpaceDN/>
        <w:bidi w:val="0"/>
        <w:adjustRightInd/>
        <w:snapToGrid/>
        <w:textAlignment w:val="auto"/>
      </w:pPr>
      <w:bookmarkStart w:id="27" w:name="_GoBack"/>
      <w:bookmarkEnd w:id="27"/>
    </w:p>
    <w:sectPr>
      <w:footerReference r:id="rId22" w:type="default"/>
      <w:pgSz w:w="11906" w:h="16838"/>
      <w:pgMar w:top="1440" w:right="1800" w:bottom="1440" w:left="1800"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22</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32</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33</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35</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37</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compat>
    <w:useFELayout/>
    <w:splitPgBreakAndParaMark/>
    <w:compatSetting w:name="compatibilityMode" w:uri="http://schemas.microsoft.com/office/word" w:val="12"/>
  </w:compat>
  <w:rsids>
    <w:rsidRoot w:val="00000000"/>
    <w:rsid w:val="74701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qFormat/>
    <w:uiPriority w:val="0"/>
  </w:style>
  <w:style w:type="paragraph" w:customStyle="1" w:styleId="30">
    <w:name w:val="15"/>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Words>
  <Characters>35</Characters>
  <Lines>1</Lines>
  <Paragraphs>1</Paragraphs>
  <TotalTime>6</TotalTime>
  <ScaleCrop>false</ScaleCrop>
  <LinksUpToDate>false</LinksUpToDate>
  <CharactersWithSpaces>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屏山乡</cp:lastModifiedBy>
  <cp:lastPrinted>2021-04-16T00:45:00Z</cp:lastPrinted>
  <dcterms:modified xsi:type="dcterms:W3CDTF">2026-02-09T03:21:33Z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432A2B29825044B2829BE3A0156B93DD_13</vt:lpwstr>
  </property>
  <property fmtid="{D5CDD505-2E9C-101B-9397-08002B2CF9AE}" pid="3" name="KSOProductBuildVer">
    <vt:lpwstr>2052-11.1.0.10314</vt:lpwstr>
  </property>
  <property fmtid="{D5CDD505-2E9C-101B-9397-08002B2CF9AE}" pid="4" name="KSOTemplateDocerSaveRecord">
    <vt:lpwstr>eyJoZGlkIjoiMGU0NWVkNDhlOTkyOTEzYmI4NjBkNjJlZWJjYTAyZDQiLCJ1c2VySWQiOiI0MjEyNzUxNjYifQ==</vt:lpwstr>
  </property>
</Properties>
</file>