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CA">
      <w:pPr>
        <w:rPr>
          <w:rFonts w:ascii="黑体" w:hAnsi="黑体" w:eastAsia="黑体" w:cs="仿宋_GB2312"/>
          <w:szCs w:val="32"/>
        </w:rPr>
      </w:pPr>
      <w:r>
        <w:rPr>
          <w:rFonts w:hint="eastAsia" w:ascii="黑体" w:hAnsi="黑体" w:eastAsia="黑体" w:cs="仿宋_GB2312"/>
          <w:szCs w:val="32"/>
        </w:rPr>
        <w:t>附件</w:t>
      </w:r>
    </w:p>
    <w:p w14:paraId="721C6AA9">
      <w:pPr>
        <w:jc w:val="center"/>
        <w:rPr>
          <w:rFonts w:ascii="方正小标宋简体" w:hAnsi="黑体" w:eastAsia="方正小标宋简体" w:cs="仿宋_GB2312"/>
          <w:sz w:val="36"/>
          <w:szCs w:val="36"/>
        </w:rPr>
      </w:pPr>
      <w:bookmarkStart w:id="0" w:name="_GoBack"/>
      <w:r>
        <w:rPr>
          <w:rFonts w:hint="eastAsia" w:ascii="方正小标宋简体" w:hAnsi="黑体" w:eastAsia="方正小标宋简体" w:cs="仿宋_GB2312"/>
          <w:sz w:val="36"/>
          <w:szCs w:val="36"/>
        </w:rPr>
        <w:t>乡村振兴示范创建对象补助资金分配方案</w:t>
      </w:r>
      <w:bookmarkEnd w:id="0"/>
    </w:p>
    <w:p w14:paraId="3FDA2236">
      <w:pPr>
        <w:ind w:right="560"/>
        <w:jc w:val="right"/>
        <w:rPr>
          <w:rFonts w:ascii="仿宋_GB2312" w:hAnsi="黑体" w:cs="仿宋_GB2312"/>
          <w:sz w:val="28"/>
          <w:szCs w:val="28"/>
        </w:rPr>
      </w:pPr>
      <w:r>
        <w:rPr>
          <w:rFonts w:hint="eastAsia" w:ascii="仿宋_GB2312" w:hAnsi="黑体" w:cs="仿宋_GB2312"/>
          <w:sz w:val="28"/>
          <w:szCs w:val="28"/>
        </w:rPr>
        <w:t>单位：万元</w:t>
      </w:r>
    </w:p>
    <w:tbl>
      <w:tblPr>
        <w:tblStyle w:val="2"/>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2062"/>
        <w:gridCol w:w="1458"/>
        <w:gridCol w:w="2627"/>
      </w:tblGrid>
      <w:tr w14:paraId="5C8E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365" w:type="dxa"/>
            <w:shd w:val="clear" w:color="auto" w:fill="auto"/>
            <w:noWrap/>
            <w:vAlign w:val="center"/>
          </w:tcPr>
          <w:p w14:paraId="4B3331DD">
            <w:pPr>
              <w:widowControl/>
              <w:spacing w:line="500" w:lineRule="exact"/>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乡（镇）/单位</w:t>
            </w:r>
          </w:p>
        </w:tc>
        <w:tc>
          <w:tcPr>
            <w:tcW w:w="2062" w:type="dxa"/>
            <w:shd w:val="clear" w:color="auto" w:fill="auto"/>
            <w:noWrap/>
            <w:vAlign w:val="center"/>
          </w:tcPr>
          <w:p w14:paraId="60C82831">
            <w:pPr>
              <w:widowControl/>
              <w:spacing w:line="500" w:lineRule="exact"/>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示范创建对象</w:t>
            </w:r>
          </w:p>
        </w:tc>
        <w:tc>
          <w:tcPr>
            <w:tcW w:w="1458" w:type="dxa"/>
            <w:shd w:val="clear" w:color="auto" w:fill="auto"/>
            <w:vAlign w:val="center"/>
          </w:tcPr>
          <w:p w14:paraId="6B8AE6A7">
            <w:pPr>
              <w:widowControl/>
              <w:spacing w:line="500" w:lineRule="exact"/>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分配金额</w:t>
            </w:r>
          </w:p>
        </w:tc>
        <w:tc>
          <w:tcPr>
            <w:tcW w:w="2627" w:type="dxa"/>
            <w:shd w:val="clear" w:color="auto" w:fill="auto"/>
            <w:vAlign w:val="center"/>
          </w:tcPr>
          <w:p w14:paraId="2E919FFD">
            <w:pPr>
              <w:widowControl/>
              <w:spacing w:line="500" w:lineRule="exact"/>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其中：项目管理费</w:t>
            </w:r>
          </w:p>
        </w:tc>
      </w:tr>
      <w:tr w14:paraId="2D8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36E5CB4C">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均溪镇</w:t>
            </w:r>
          </w:p>
        </w:tc>
        <w:tc>
          <w:tcPr>
            <w:tcW w:w="2062" w:type="dxa"/>
            <w:shd w:val="clear" w:color="auto" w:fill="auto"/>
            <w:noWrap/>
            <w:vAlign w:val="center"/>
          </w:tcPr>
          <w:p w14:paraId="5D56A662">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周田村</w:t>
            </w:r>
          </w:p>
        </w:tc>
        <w:tc>
          <w:tcPr>
            <w:tcW w:w="1458" w:type="dxa"/>
            <w:shd w:val="clear" w:color="auto" w:fill="auto"/>
            <w:noWrap/>
            <w:vAlign w:val="center"/>
          </w:tcPr>
          <w:p w14:paraId="17D18C39">
            <w:pPr>
              <w:widowControl/>
              <w:jc w:val="center"/>
              <w:textAlignment w:val="center"/>
              <w:rPr>
                <w:rFonts w:ascii="仿宋_GB2312"/>
                <w:sz w:val="28"/>
                <w:szCs w:val="28"/>
              </w:rPr>
            </w:pPr>
            <w:r>
              <w:rPr>
                <w:rFonts w:hint="eastAsia" w:ascii="仿宋_GB2312" w:hAnsi="宋体" w:cs="仿宋_GB2312"/>
                <w:color w:val="000000"/>
                <w:kern w:val="0"/>
                <w:sz w:val="28"/>
                <w:szCs w:val="28"/>
              </w:rPr>
              <w:t>760</w:t>
            </w:r>
          </w:p>
        </w:tc>
        <w:tc>
          <w:tcPr>
            <w:tcW w:w="2627" w:type="dxa"/>
            <w:shd w:val="clear" w:color="auto" w:fill="auto"/>
            <w:noWrap/>
            <w:vAlign w:val="center"/>
          </w:tcPr>
          <w:p w14:paraId="1956292F">
            <w:pPr>
              <w:widowControl/>
              <w:jc w:val="center"/>
              <w:textAlignment w:val="center"/>
              <w:rPr>
                <w:rFonts w:ascii="仿宋_GB2312"/>
                <w:sz w:val="28"/>
                <w:szCs w:val="28"/>
              </w:rPr>
            </w:pPr>
            <w:r>
              <w:rPr>
                <w:rFonts w:hint="eastAsia" w:ascii="仿宋_GB2312" w:hAnsi="宋体" w:cs="仿宋_GB2312"/>
                <w:color w:val="000000"/>
                <w:kern w:val="0"/>
                <w:sz w:val="28"/>
                <w:szCs w:val="28"/>
              </w:rPr>
              <w:t>54.9</w:t>
            </w:r>
          </w:p>
        </w:tc>
      </w:tr>
      <w:tr w14:paraId="3DD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56960477">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华兴镇</w:t>
            </w:r>
          </w:p>
        </w:tc>
        <w:tc>
          <w:tcPr>
            <w:tcW w:w="2062" w:type="dxa"/>
            <w:shd w:val="clear" w:color="auto" w:fill="auto"/>
            <w:noWrap/>
            <w:vAlign w:val="center"/>
          </w:tcPr>
          <w:p w14:paraId="192A1D67">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仙峰村</w:t>
            </w:r>
          </w:p>
        </w:tc>
        <w:tc>
          <w:tcPr>
            <w:tcW w:w="1458" w:type="dxa"/>
            <w:shd w:val="clear" w:color="auto" w:fill="auto"/>
            <w:noWrap/>
            <w:vAlign w:val="center"/>
          </w:tcPr>
          <w:p w14:paraId="3B8FD1CA">
            <w:pPr>
              <w:widowControl/>
              <w:jc w:val="center"/>
              <w:textAlignment w:val="center"/>
              <w:rPr>
                <w:rFonts w:ascii="仿宋_GB2312"/>
                <w:sz w:val="28"/>
                <w:szCs w:val="28"/>
              </w:rPr>
            </w:pPr>
            <w:r>
              <w:rPr>
                <w:rFonts w:hint="eastAsia" w:ascii="仿宋_GB2312" w:hAnsi="宋体" w:cs="仿宋_GB2312"/>
                <w:color w:val="000000"/>
                <w:kern w:val="0"/>
                <w:sz w:val="28"/>
                <w:szCs w:val="28"/>
              </w:rPr>
              <w:t>295</w:t>
            </w:r>
          </w:p>
        </w:tc>
        <w:tc>
          <w:tcPr>
            <w:tcW w:w="2627" w:type="dxa"/>
            <w:shd w:val="clear" w:color="auto" w:fill="auto"/>
            <w:noWrap/>
            <w:vAlign w:val="center"/>
          </w:tcPr>
          <w:p w14:paraId="63DD9277">
            <w:pPr>
              <w:widowControl/>
              <w:jc w:val="center"/>
              <w:textAlignment w:val="center"/>
              <w:rPr>
                <w:rFonts w:ascii="仿宋_GB2312"/>
                <w:sz w:val="28"/>
                <w:szCs w:val="28"/>
              </w:rPr>
            </w:pPr>
            <w:r>
              <w:rPr>
                <w:rFonts w:hint="eastAsia" w:ascii="仿宋_GB2312" w:hAnsi="宋体" w:cs="仿宋_GB2312"/>
                <w:color w:val="000000"/>
                <w:kern w:val="0"/>
                <w:sz w:val="28"/>
                <w:szCs w:val="28"/>
              </w:rPr>
              <w:t>21.3</w:t>
            </w:r>
          </w:p>
        </w:tc>
      </w:tr>
      <w:tr w14:paraId="1F49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58E19D82">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石牌镇</w:t>
            </w:r>
          </w:p>
        </w:tc>
        <w:tc>
          <w:tcPr>
            <w:tcW w:w="2062" w:type="dxa"/>
            <w:shd w:val="clear" w:color="auto" w:fill="auto"/>
            <w:noWrap/>
            <w:vAlign w:val="center"/>
          </w:tcPr>
          <w:p w14:paraId="118CC279">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长溪村</w:t>
            </w:r>
          </w:p>
        </w:tc>
        <w:tc>
          <w:tcPr>
            <w:tcW w:w="1458" w:type="dxa"/>
            <w:shd w:val="clear" w:color="auto" w:fill="auto"/>
            <w:noWrap/>
            <w:vAlign w:val="center"/>
          </w:tcPr>
          <w:p w14:paraId="103C1DCE">
            <w:pPr>
              <w:widowControl/>
              <w:jc w:val="center"/>
              <w:textAlignment w:val="center"/>
              <w:rPr>
                <w:rFonts w:ascii="仿宋_GB2312"/>
                <w:sz w:val="28"/>
                <w:szCs w:val="28"/>
              </w:rPr>
            </w:pPr>
            <w:r>
              <w:rPr>
                <w:rFonts w:hint="eastAsia" w:ascii="仿宋_GB2312" w:hAnsi="宋体" w:cs="仿宋_GB2312"/>
                <w:color w:val="000000"/>
                <w:kern w:val="0"/>
                <w:sz w:val="28"/>
                <w:szCs w:val="28"/>
              </w:rPr>
              <w:t>710</w:t>
            </w:r>
          </w:p>
        </w:tc>
        <w:tc>
          <w:tcPr>
            <w:tcW w:w="2627" w:type="dxa"/>
            <w:shd w:val="clear" w:color="auto" w:fill="auto"/>
            <w:noWrap/>
            <w:vAlign w:val="center"/>
          </w:tcPr>
          <w:p w14:paraId="04E20E01">
            <w:pPr>
              <w:widowControl/>
              <w:jc w:val="center"/>
              <w:textAlignment w:val="center"/>
              <w:rPr>
                <w:rFonts w:ascii="仿宋_GB2312"/>
                <w:sz w:val="28"/>
                <w:szCs w:val="28"/>
              </w:rPr>
            </w:pPr>
            <w:r>
              <w:rPr>
                <w:rFonts w:hint="eastAsia" w:ascii="仿宋_GB2312" w:hAnsi="宋体" w:cs="仿宋_GB2312"/>
                <w:color w:val="000000"/>
                <w:kern w:val="0"/>
                <w:sz w:val="28"/>
                <w:szCs w:val="28"/>
              </w:rPr>
              <w:t>51.3</w:t>
            </w:r>
          </w:p>
        </w:tc>
      </w:tr>
      <w:tr w14:paraId="5E76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290427AE">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济阳乡</w:t>
            </w:r>
          </w:p>
        </w:tc>
        <w:tc>
          <w:tcPr>
            <w:tcW w:w="2062" w:type="dxa"/>
            <w:shd w:val="clear" w:color="auto" w:fill="auto"/>
            <w:noWrap/>
            <w:vAlign w:val="center"/>
          </w:tcPr>
          <w:p w14:paraId="7C6C6160">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济中村</w:t>
            </w:r>
          </w:p>
        </w:tc>
        <w:tc>
          <w:tcPr>
            <w:tcW w:w="1458" w:type="dxa"/>
            <w:shd w:val="clear" w:color="auto" w:fill="auto"/>
            <w:noWrap/>
            <w:vAlign w:val="center"/>
          </w:tcPr>
          <w:p w14:paraId="62F79314">
            <w:pPr>
              <w:widowControl/>
              <w:jc w:val="center"/>
              <w:textAlignment w:val="center"/>
              <w:rPr>
                <w:rFonts w:ascii="仿宋_GB2312"/>
                <w:sz w:val="28"/>
                <w:szCs w:val="28"/>
              </w:rPr>
            </w:pPr>
            <w:r>
              <w:rPr>
                <w:rFonts w:hint="eastAsia" w:ascii="仿宋_GB2312" w:hAnsi="宋体" w:cs="仿宋_GB2312"/>
                <w:color w:val="000000"/>
                <w:kern w:val="0"/>
                <w:sz w:val="28"/>
                <w:szCs w:val="28"/>
              </w:rPr>
              <w:t>315</w:t>
            </w:r>
          </w:p>
        </w:tc>
        <w:tc>
          <w:tcPr>
            <w:tcW w:w="2627" w:type="dxa"/>
            <w:shd w:val="clear" w:color="auto" w:fill="auto"/>
            <w:noWrap/>
            <w:vAlign w:val="center"/>
          </w:tcPr>
          <w:p w14:paraId="5EE93567">
            <w:pPr>
              <w:widowControl/>
              <w:jc w:val="center"/>
              <w:textAlignment w:val="center"/>
              <w:rPr>
                <w:rFonts w:ascii="仿宋_GB2312"/>
                <w:sz w:val="28"/>
                <w:szCs w:val="28"/>
              </w:rPr>
            </w:pPr>
            <w:r>
              <w:rPr>
                <w:rFonts w:hint="eastAsia" w:ascii="仿宋_GB2312" w:hAnsi="宋体" w:cs="仿宋_GB2312"/>
                <w:color w:val="000000"/>
                <w:kern w:val="0"/>
                <w:sz w:val="28"/>
                <w:szCs w:val="28"/>
              </w:rPr>
              <w:t>22.7</w:t>
            </w:r>
          </w:p>
        </w:tc>
      </w:tr>
      <w:tr w14:paraId="4EB4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26B431F8">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桃源镇</w:t>
            </w:r>
          </w:p>
        </w:tc>
        <w:tc>
          <w:tcPr>
            <w:tcW w:w="2062" w:type="dxa"/>
            <w:shd w:val="clear" w:color="auto" w:fill="auto"/>
            <w:noWrap/>
            <w:vAlign w:val="center"/>
          </w:tcPr>
          <w:p w14:paraId="2205C048">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东坂村</w:t>
            </w:r>
          </w:p>
        </w:tc>
        <w:tc>
          <w:tcPr>
            <w:tcW w:w="1458" w:type="dxa"/>
            <w:shd w:val="clear" w:color="auto" w:fill="auto"/>
            <w:noWrap/>
            <w:vAlign w:val="center"/>
          </w:tcPr>
          <w:p w14:paraId="172BB86C">
            <w:pPr>
              <w:widowControl/>
              <w:jc w:val="center"/>
              <w:textAlignment w:val="center"/>
              <w:rPr>
                <w:rFonts w:ascii="仿宋_GB2312"/>
                <w:sz w:val="28"/>
                <w:szCs w:val="28"/>
              </w:rPr>
            </w:pPr>
            <w:r>
              <w:rPr>
                <w:rFonts w:hint="eastAsia" w:ascii="仿宋_GB2312" w:hAnsi="宋体" w:cs="仿宋_GB2312"/>
                <w:color w:val="000000"/>
                <w:kern w:val="0"/>
                <w:sz w:val="28"/>
                <w:szCs w:val="28"/>
              </w:rPr>
              <w:t>540</w:t>
            </w:r>
          </w:p>
        </w:tc>
        <w:tc>
          <w:tcPr>
            <w:tcW w:w="2627" w:type="dxa"/>
            <w:shd w:val="clear" w:color="auto" w:fill="auto"/>
            <w:noWrap/>
            <w:vAlign w:val="center"/>
          </w:tcPr>
          <w:p w14:paraId="637A837B">
            <w:pPr>
              <w:widowControl/>
              <w:jc w:val="center"/>
              <w:textAlignment w:val="center"/>
              <w:rPr>
                <w:rFonts w:ascii="仿宋_GB2312"/>
                <w:sz w:val="28"/>
                <w:szCs w:val="28"/>
              </w:rPr>
            </w:pPr>
            <w:r>
              <w:rPr>
                <w:rFonts w:hint="eastAsia" w:ascii="仿宋_GB2312" w:hAnsi="宋体" w:cs="仿宋_GB2312"/>
                <w:color w:val="000000"/>
                <w:kern w:val="0"/>
                <w:sz w:val="28"/>
                <w:szCs w:val="28"/>
              </w:rPr>
              <w:t>39</w:t>
            </w:r>
          </w:p>
        </w:tc>
      </w:tr>
      <w:tr w14:paraId="071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44BDF003">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太华镇</w:t>
            </w:r>
          </w:p>
        </w:tc>
        <w:tc>
          <w:tcPr>
            <w:tcW w:w="2062" w:type="dxa"/>
            <w:shd w:val="clear" w:color="auto" w:fill="auto"/>
            <w:noWrap/>
            <w:vAlign w:val="center"/>
          </w:tcPr>
          <w:p w14:paraId="595D97CA">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万湖村</w:t>
            </w:r>
          </w:p>
        </w:tc>
        <w:tc>
          <w:tcPr>
            <w:tcW w:w="1458" w:type="dxa"/>
            <w:shd w:val="clear" w:color="auto" w:fill="auto"/>
            <w:noWrap/>
            <w:vAlign w:val="center"/>
          </w:tcPr>
          <w:p w14:paraId="7A5EB218">
            <w:pPr>
              <w:widowControl/>
              <w:jc w:val="center"/>
              <w:textAlignment w:val="center"/>
              <w:rPr>
                <w:rFonts w:ascii="仿宋_GB2312"/>
                <w:sz w:val="28"/>
                <w:szCs w:val="28"/>
              </w:rPr>
            </w:pPr>
            <w:r>
              <w:rPr>
                <w:rFonts w:hint="eastAsia" w:ascii="仿宋_GB2312" w:hAnsi="宋体" w:cs="仿宋_GB2312"/>
                <w:color w:val="000000"/>
                <w:kern w:val="0"/>
                <w:sz w:val="28"/>
                <w:szCs w:val="28"/>
              </w:rPr>
              <w:t>540</w:t>
            </w:r>
          </w:p>
        </w:tc>
        <w:tc>
          <w:tcPr>
            <w:tcW w:w="2627" w:type="dxa"/>
            <w:shd w:val="clear" w:color="auto" w:fill="auto"/>
            <w:noWrap/>
            <w:vAlign w:val="center"/>
          </w:tcPr>
          <w:p w14:paraId="03702FCB">
            <w:pPr>
              <w:widowControl/>
              <w:jc w:val="center"/>
              <w:textAlignment w:val="center"/>
              <w:rPr>
                <w:rFonts w:ascii="仿宋_GB2312"/>
                <w:sz w:val="28"/>
                <w:szCs w:val="28"/>
              </w:rPr>
            </w:pPr>
            <w:r>
              <w:rPr>
                <w:rFonts w:hint="eastAsia" w:ascii="仿宋_GB2312" w:hAnsi="宋体" w:cs="仿宋_GB2312"/>
                <w:color w:val="000000"/>
                <w:kern w:val="0"/>
                <w:sz w:val="28"/>
                <w:szCs w:val="28"/>
              </w:rPr>
              <w:t>39</w:t>
            </w:r>
          </w:p>
        </w:tc>
      </w:tr>
      <w:tr w14:paraId="4238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7EC5AF7F">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广平镇</w:t>
            </w:r>
          </w:p>
        </w:tc>
        <w:tc>
          <w:tcPr>
            <w:tcW w:w="2062" w:type="dxa"/>
            <w:shd w:val="clear" w:color="auto" w:fill="auto"/>
            <w:noWrap/>
            <w:vAlign w:val="center"/>
          </w:tcPr>
          <w:p w14:paraId="51DA016F">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元沙村</w:t>
            </w:r>
          </w:p>
        </w:tc>
        <w:tc>
          <w:tcPr>
            <w:tcW w:w="1458" w:type="dxa"/>
            <w:shd w:val="clear" w:color="auto" w:fill="auto"/>
            <w:noWrap/>
            <w:vAlign w:val="center"/>
          </w:tcPr>
          <w:p w14:paraId="3C7E1CB9">
            <w:pPr>
              <w:widowControl/>
              <w:jc w:val="center"/>
              <w:textAlignment w:val="center"/>
              <w:rPr>
                <w:rFonts w:ascii="仿宋_GB2312"/>
                <w:sz w:val="28"/>
                <w:szCs w:val="28"/>
              </w:rPr>
            </w:pPr>
            <w:r>
              <w:rPr>
                <w:rFonts w:hint="eastAsia" w:ascii="仿宋_GB2312" w:hAnsi="宋体" w:cs="仿宋_GB2312"/>
                <w:color w:val="000000"/>
                <w:kern w:val="0"/>
                <w:sz w:val="28"/>
                <w:szCs w:val="28"/>
              </w:rPr>
              <w:t>200</w:t>
            </w:r>
          </w:p>
        </w:tc>
        <w:tc>
          <w:tcPr>
            <w:tcW w:w="2627" w:type="dxa"/>
            <w:shd w:val="clear" w:color="auto" w:fill="auto"/>
            <w:noWrap/>
            <w:vAlign w:val="center"/>
          </w:tcPr>
          <w:p w14:paraId="02568D4B">
            <w:pPr>
              <w:widowControl/>
              <w:jc w:val="center"/>
              <w:textAlignment w:val="center"/>
              <w:rPr>
                <w:rFonts w:ascii="仿宋_GB2312"/>
                <w:sz w:val="28"/>
                <w:szCs w:val="28"/>
              </w:rPr>
            </w:pPr>
            <w:r>
              <w:rPr>
                <w:rFonts w:hint="eastAsia" w:ascii="仿宋_GB2312" w:hAnsi="宋体" w:cs="仿宋_GB2312"/>
                <w:color w:val="000000"/>
                <w:kern w:val="0"/>
                <w:sz w:val="28"/>
                <w:szCs w:val="28"/>
              </w:rPr>
              <w:t>14.4</w:t>
            </w:r>
          </w:p>
        </w:tc>
      </w:tr>
      <w:tr w14:paraId="4DFF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76B0FBE3">
            <w:pPr>
              <w:widowControl/>
              <w:spacing w:line="32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湖美乡</w:t>
            </w:r>
          </w:p>
        </w:tc>
        <w:tc>
          <w:tcPr>
            <w:tcW w:w="2062" w:type="dxa"/>
            <w:shd w:val="clear" w:color="auto" w:fill="auto"/>
            <w:noWrap/>
            <w:vAlign w:val="center"/>
          </w:tcPr>
          <w:p w14:paraId="0520EEC0">
            <w:pPr>
              <w:widowControl/>
              <w:spacing w:line="32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高才村</w:t>
            </w:r>
          </w:p>
        </w:tc>
        <w:tc>
          <w:tcPr>
            <w:tcW w:w="1458" w:type="dxa"/>
            <w:shd w:val="clear" w:color="auto" w:fill="auto"/>
            <w:noWrap/>
            <w:vAlign w:val="center"/>
          </w:tcPr>
          <w:p w14:paraId="3FB87105">
            <w:pPr>
              <w:widowControl/>
              <w:jc w:val="center"/>
              <w:textAlignment w:val="center"/>
              <w:rPr>
                <w:rFonts w:ascii="仿宋_GB2312"/>
                <w:sz w:val="28"/>
                <w:szCs w:val="28"/>
              </w:rPr>
            </w:pPr>
            <w:r>
              <w:rPr>
                <w:rFonts w:hint="eastAsia" w:ascii="仿宋_GB2312" w:hAnsi="宋体" w:cs="仿宋_GB2312"/>
                <w:color w:val="000000"/>
                <w:kern w:val="0"/>
                <w:sz w:val="28"/>
                <w:szCs w:val="28"/>
              </w:rPr>
              <w:t>400</w:t>
            </w:r>
          </w:p>
        </w:tc>
        <w:tc>
          <w:tcPr>
            <w:tcW w:w="2627" w:type="dxa"/>
            <w:shd w:val="clear" w:color="auto" w:fill="auto"/>
            <w:noWrap/>
            <w:vAlign w:val="center"/>
          </w:tcPr>
          <w:p w14:paraId="4A2577CF">
            <w:pPr>
              <w:widowControl/>
              <w:jc w:val="center"/>
              <w:textAlignment w:val="center"/>
              <w:rPr>
                <w:rFonts w:ascii="仿宋_GB2312"/>
                <w:sz w:val="28"/>
                <w:szCs w:val="28"/>
              </w:rPr>
            </w:pPr>
            <w:r>
              <w:rPr>
                <w:rFonts w:hint="eastAsia" w:ascii="仿宋_GB2312" w:hAnsi="宋体" w:cs="仿宋_GB2312"/>
                <w:color w:val="000000"/>
                <w:kern w:val="0"/>
                <w:sz w:val="28"/>
                <w:szCs w:val="28"/>
              </w:rPr>
              <w:t>28.8</w:t>
            </w:r>
          </w:p>
        </w:tc>
      </w:tr>
      <w:tr w14:paraId="2D9C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2556FB25">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前坪乡</w:t>
            </w:r>
          </w:p>
        </w:tc>
        <w:tc>
          <w:tcPr>
            <w:tcW w:w="2062" w:type="dxa"/>
            <w:shd w:val="clear" w:color="auto" w:fill="auto"/>
            <w:noWrap/>
            <w:vAlign w:val="center"/>
          </w:tcPr>
          <w:p w14:paraId="3C4BB799">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上地村</w:t>
            </w:r>
          </w:p>
        </w:tc>
        <w:tc>
          <w:tcPr>
            <w:tcW w:w="1458" w:type="dxa"/>
            <w:shd w:val="clear" w:color="auto" w:fill="auto"/>
            <w:noWrap/>
            <w:vAlign w:val="center"/>
          </w:tcPr>
          <w:p w14:paraId="22A37252">
            <w:pPr>
              <w:widowControl/>
              <w:jc w:val="center"/>
              <w:textAlignment w:val="center"/>
              <w:rPr>
                <w:rFonts w:ascii="仿宋_GB2312"/>
                <w:sz w:val="28"/>
                <w:szCs w:val="28"/>
              </w:rPr>
            </w:pPr>
            <w:r>
              <w:rPr>
                <w:rFonts w:hint="eastAsia" w:ascii="仿宋_GB2312" w:hAnsi="宋体" w:cs="仿宋_GB2312"/>
                <w:color w:val="000000"/>
                <w:kern w:val="0"/>
                <w:sz w:val="28"/>
                <w:szCs w:val="28"/>
              </w:rPr>
              <w:t>312</w:t>
            </w:r>
          </w:p>
        </w:tc>
        <w:tc>
          <w:tcPr>
            <w:tcW w:w="2627" w:type="dxa"/>
            <w:shd w:val="clear" w:color="auto" w:fill="auto"/>
            <w:noWrap/>
            <w:vAlign w:val="center"/>
          </w:tcPr>
          <w:p w14:paraId="7E61B2E5">
            <w:pPr>
              <w:widowControl/>
              <w:jc w:val="center"/>
              <w:textAlignment w:val="center"/>
              <w:rPr>
                <w:rFonts w:ascii="仿宋_GB2312"/>
                <w:sz w:val="28"/>
                <w:szCs w:val="28"/>
              </w:rPr>
            </w:pPr>
            <w:r>
              <w:rPr>
                <w:rFonts w:hint="eastAsia" w:ascii="仿宋_GB2312" w:hAnsi="宋体" w:cs="仿宋_GB2312"/>
                <w:color w:val="000000"/>
                <w:kern w:val="0"/>
                <w:sz w:val="28"/>
                <w:szCs w:val="28"/>
              </w:rPr>
              <w:t>22.5</w:t>
            </w:r>
          </w:p>
        </w:tc>
      </w:tr>
      <w:tr w14:paraId="5BD4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70D81634">
            <w:pPr>
              <w:widowControl/>
              <w:spacing w:line="500" w:lineRule="exact"/>
              <w:jc w:val="center"/>
              <w:rPr>
                <w:rFonts w:ascii="仿宋_GB2312" w:hAnsi="黑体" w:cs="宋体"/>
                <w:b/>
                <w:color w:val="000000"/>
                <w:kern w:val="0"/>
                <w:sz w:val="28"/>
                <w:szCs w:val="28"/>
              </w:rPr>
            </w:pPr>
            <w:r>
              <w:rPr>
                <w:rFonts w:hint="eastAsia" w:ascii="仿宋_GB2312" w:hAnsi="黑体" w:cs="宋体"/>
                <w:b/>
                <w:color w:val="000000"/>
                <w:kern w:val="0"/>
                <w:sz w:val="28"/>
                <w:szCs w:val="28"/>
              </w:rPr>
              <w:t>小计</w:t>
            </w:r>
          </w:p>
        </w:tc>
        <w:tc>
          <w:tcPr>
            <w:tcW w:w="2062" w:type="dxa"/>
            <w:shd w:val="clear" w:color="auto" w:fill="auto"/>
            <w:noWrap/>
            <w:vAlign w:val="center"/>
          </w:tcPr>
          <w:p w14:paraId="0D301BDC">
            <w:pPr>
              <w:widowControl/>
              <w:spacing w:line="500" w:lineRule="exact"/>
              <w:jc w:val="center"/>
              <w:rPr>
                <w:rFonts w:ascii="仿宋_GB2312" w:hAnsi="黑体" w:cs="宋体"/>
                <w:color w:val="000000"/>
                <w:kern w:val="0"/>
                <w:sz w:val="28"/>
                <w:szCs w:val="28"/>
              </w:rPr>
            </w:pPr>
          </w:p>
        </w:tc>
        <w:tc>
          <w:tcPr>
            <w:tcW w:w="1458" w:type="dxa"/>
            <w:shd w:val="clear" w:color="auto" w:fill="auto"/>
            <w:noWrap/>
            <w:vAlign w:val="center"/>
          </w:tcPr>
          <w:p w14:paraId="71D7469A">
            <w:pPr>
              <w:spacing w:line="500" w:lineRule="exact"/>
              <w:jc w:val="center"/>
              <w:rPr>
                <w:rFonts w:ascii="仿宋_GB2312"/>
                <w:b/>
                <w:sz w:val="28"/>
                <w:szCs w:val="28"/>
              </w:rPr>
            </w:pPr>
            <w:r>
              <w:rPr>
                <w:rFonts w:hint="eastAsia" w:ascii="仿宋_GB2312"/>
                <w:b/>
                <w:sz w:val="28"/>
                <w:szCs w:val="28"/>
              </w:rPr>
              <w:t>4072</w:t>
            </w:r>
          </w:p>
        </w:tc>
        <w:tc>
          <w:tcPr>
            <w:tcW w:w="2627" w:type="dxa"/>
            <w:shd w:val="clear" w:color="auto" w:fill="auto"/>
            <w:noWrap/>
            <w:vAlign w:val="center"/>
          </w:tcPr>
          <w:p w14:paraId="51E647AF">
            <w:pPr>
              <w:spacing w:line="500" w:lineRule="exact"/>
              <w:jc w:val="center"/>
              <w:rPr>
                <w:rFonts w:ascii="仿宋_GB2312"/>
                <w:b/>
                <w:sz w:val="28"/>
                <w:szCs w:val="28"/>
              </w:rPr>
            </w:pPr>
            <w:r>
              <w:rPr>
                <w:rFonts w:hint="eastAsia" w:ascii="仿宋_GB2312"/>
                <w:b/>
                <w:sz w:val="28"/>
                <w:szCs w:val="28"/>
              </w:rPr>
              <w:t>293.9</w:t>
            </w:r>
          </w:p>
        </w:tc>
      </w:tr>
      <w:tr w14:paraId="28C7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3BD97806">
            <w:pPr>
              <w:widowControl/>
              <w:spacing w:line="500" w:lineRule="exact"/>
              <w:jc w:val="center"/>
              <w:rPr>
                <w:rFonts w:ascii="仿宋_GB2312" w:hAnsi="宋体" w:cs="宋体"/>
                <w:color w:val="000000"/>
                <w:kern w:val="0"/>
                <w:sz w:val="28"/>
                <w:szCs w:val="28"/>
              </w:rPr>
            </w:pPr>
            <w:r>
              <w:rPr>
                <w:rFonts w:hint="eastAsia" w:ascii="仿宋_GB2312" w:hAnsi="宋体" w:cs="宋体"/>
                <w:color w:val="000000"/>
                <w:kern w:val="0"/>
                <w:sz w:val="28"/>
                <w:szCs w:val="28"/>
              </w:rPr>
              <w:t>县委乡村振兴办</w:t>
            </w:r>
          </w:p>
        </w:tc>
        <w:tc>
          <w:tcPr>
            <w:tcW w:w="2062" w:type="dxa"/>
            <w:shd w:val="clear" w:color="auto" w:fill="auto"/>
            <w:noWrap/>
            <w:vAlign w:val="center"/>
          </w:tcPr>
          <w:p w14:paraId="59A540A9">
            <w:pPr>
              <w:widowControl/>
              <w:spacing w:line="500" w:lineRule="exact"/>
              <w:jc w:val="center"/>
              <w:rPr>
                <w:rFonts w:ascii="仿宋_GB2312" w:hAnsi="宋体" w:cs="宋体"/>
                <w:color w:val="000000"/>
                <w:kern w:val="0"/>
                <w:sz w:val="28"/>
                <w:szCs w:val="28"/>
              </w:rPr>
            </w:pPr>
          </w:p>
        </w:tc>
        <w:tc>
          <w:tcPr>
            <w:tcW w:w="1458" w:type="dxa"/>
            <w:shd w:val="clear" w:color="auto" w:fill="auto"/>
            <w:noWrap/>
            <w:vAlign w:val="center"/>
          </w:tcPr>
          <w:p w14:paraId="3EF331BE">
            <w:pPr>
              <w:spacing w:line="500" w:lineRule="exact"/>
              <w:jc w:val="center"/>
              <w:rPr>
                <w:rFonts w:ascii="仿宋_GB2312"/>
                <w:sz w:val="28"/>
                <w:szCs w:val="28"/>
              </w:rPr>
            </w:pPr>
            <w:r>
              <w:rPr>
                <w:rFonts w:hint="eastAsia" w:ascii="仿宋_GB2312"/>
                <w:sz w:val="28"/>
                <w:szCs w:val="28"/>
              </w:rPr>
              <w:t>125.88</w:t>
            </w:r>
          </w:p>
        </w:tc>
        <w:tc>
          <w:tcPr>
            <w:tcW w:w="2627" w:type="dxa"/>
            <w:shd w:val="clear" w:color="auto" w:fill="auto"/>
            <w:noWrap/>
            <w:vAlign w:val="center"/>
          </w:tcPr>
          <w:p w14:paraId="3728763B">
            <w:pPr>
              <w:spacing w:line="500" w:lineRule="exact"/>
              <w:jc w:val="center"/>
              <w:rPr>
                <w:rFonts w:ascii="仿宋_GB2312"/>
                <w:sz w:val="28"/>
                <w:szCs w:val="28"/>
              </w:rPr>
            </w:pPr>
            <w:r>
              <w:rPr>
                <w:rFonts w:hint="eastAsia" w:ascii="仿宋_GB2312"/>
                <w:sz w:val="28"/>
                <w:szCs w:val="28"/>
              </w:rPr>
              <w:t>125.88</w:t>
            </w:r>
          </w:p>
        </w:tc>
      </w:tr>
      <w:tr w14:paraId="3015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5" w:type="dxa"/>
            <w:shd w:val="clear" w:color="auto" w:fill="auto"/>
            <w:noWrap/>
            <w:vAlign w:val="center"/>
          </w:tcPr>
          <w:p w14:paraId="7BD7C2F1">
            <w:pPr>
              <w:widowControl/>
              <w:spacing w:line="500" w:lineRule="exact"/>
              <w:jc w:val="center"/>
              <w:rPr>
                <w:rFonts w:ascii="仿宋_GB2312" w:hAnsi="黑体" w:cs="宋体"/>
                <w:b/>
                <w:color w:val="000000"/>
                <w:kern w:val="0"/>
                <w:sz w:val="28"/>
                <w:szCs w:val="28"/>
              </w:rPr>
            </w:pPr>
            <w:r>
              <w:rPr>
                <w:rFonts w:hint="eastAsia" w:ascii="仿宋_GB2312" w:hAnsi="黑体" w:cs="宋体"/>
                <w:b/>
                <w:color w:val="000000"/>
                <w:kern w:val="0"/>
                <w:sz w:val="28"/>
                <w:szCs w:val="28"/>
              </w:rPr>
              <w:t>总计</w:t>
            </w:r>
          </w:p>
        </w:tc>
        <w:tc>
          <w:tcPr>
            <w:tcW w:w="2062" w:type="dxa"/>
            <w:shd w:val="clear" w:color="auto" w:fill="auto"/>
            <w:noWrap/>
            <w:vAlign w:val="center"/>
          </w:tcPr>
          <w:p w14:paraId="27058E79">
            <w:pPr>
              <w:widowControl/>
              <w:spacing w:line="500" w:lineRule="exact"/>
              <w:jc w:val="center"/>
              <w:rPr>
                <w:rFonts w:ascii="仿宋_GB2312" w:hAnsi="黑体" w:cs="宋体"/>
                <w:color w:val="000000"/>
                <w:kern w:val="0"/>
                <w:sz w:val="28"/>
                <w:szCs w:val="28"/>
              </w:rPr>
            </w:pPr>
          </w:p>
        </w:tc>
        <w:tc>
          <w:tcPr>
            <w:tcW w:w="1458" w:type="dxa"/>
            <w:shd w:val="clear" w:color="auto" w:fill="auto"/>
            <w:noWrap/>
            <w:vAlign w:val="center"/>
          </w:tcPr>
          <w:p w14:paraId="666A964D">
            <w:pPr>
              <w:spacing w:line="500" w:lineRule="exact"/>
              <w:jc w:val="center"/>
              <w:rPr>
                <w:rFonts w:ascii="仿宋_GB2312"/>
                <w:b/>
                <w:sz w:val="28"/>
                <w:szCs w:val="28"/>
              </w:rPr>
            </w:pPr>
            <w:r>
              <w:rPr>
                <w:rFonts w:hint="eastAsia" w:ascii="仿宋_GB2312"/>
                <w:b/>
                <w:sz w:val="28"/>
                <w:szCs w:val="28"/>
              </w:rPr>
              <w:t>4197.88</w:t>
            </w:r>
          </w:p>
        </w:tc>
        <w:tc>
          <w:tcPr>
            <w:tcW w:w="2627" w:type="dxa"/>
            <w:shd w:val="clear" w:color="auto" w:fill="auto"/>
            <w:noWrap/>
            <w:vAlign w:val="center"/>
          </w:tcPr>
          <w:p w14:paraId="43028854">
            <w:pPr>
              <w:spacing w:line="500" w:lineRule="exact"/>
              <w:jc w:val="center"/>
              <w:rPr>
                <w:rFonts w:ascii="仿宋_GB2312"/>
                <w:b/>
                <w:sz w:val="28"/>
                <w:szCs w:val="28"/>
              </w:rPr>
            </w:pPr>
            <w:r>
              <w:rPr>
                <w:rFonts w:hint="eastAsia" w:ascii="仿宋_GB2312"/>
                <w:b/>
                <w:sz w:val="28"/>
                <w:szCs w:val="28"/>
              </w:rPr>
              <w:t>419.78</w:t>
            </w:r>
          </w:p>
        </w:tc>
      </w:tr>
    </w:tbl>
    <w:p w14:paraId="620D2FEE">
      <w:pPr>
        <w:spacing w:line="400" w:lineRule="exact"/>
        <w:rPr>
          <w:rFonts w:ascii="仿宋_GB2312"/>
          <w:sz w:val="28"/>
          <w:szCs w:val="28"/>
        </w:rPr>
      </w:pPr>
      <w:r>
        <w:rPr>
          <w:rFonts w:hint="eastAsia" w:ascii="仿宋_GB2312"/>
          <w:sz w:val="28"/>
          <w:szCs w:val="28"/>
        </w:rPr>
        <w:t>备注：</w:t>
      </w:r>
      <w:r>
        <w:rPr>
          <w:rFonts w:ascii="仿宋_GB2312"/>
          <w:sz w:val="28"/>
          <w:szCs w:val="28"/>
        </w:rPr>
        <w:t>项目管理费按当年度省、市、县三级统筹的示范村创建补助资金总额的10%，从县本级配套安排的乡村振兴示范村创建对象补助资金计提。其中7%按示范创建补助资金分配比例安排给项目实施单位用于项目前期设计、预算、评审、招标、监理、审计（含预算审计和结算审计）等与项目管理相关的支出；3%由县委乡村振兴办统筹用于委托第三方机构开展项目验收等与项目管理相关的支出。</w:t>
      </w:r>
    </w:p>
    <w:p w14:paraId="7A678B38"/>
    <w:p w14:paraId="67877E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ODU4MzJlY2QzYzgyZmFjYzBiNzQ2N2E5NTQ0M2MifQ=="/>
  </w:docVars>
  <w:rsids>
    <w:rsidRoot w:val="5D8822DD"/>
    <w:rsid w:val="5D88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2024-08-08T02:17:00Z</dcterms:created>
  <dc:creator>lfk</dc:creator>
  <cp:lastModifiedBy>lfk</cp:lastModifiedBy>
  <dcterms:modified xsi:type="dcterms:W3CDTF">2024-08-08T02:17:38Z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81948EC219124DC49DE3F023B054811C_11</vt:lpwstr>
  </property>
</Properties>
</file>