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5" w:line="222" w:lineRule="auto"/>
        <w:ind w:left="80"/>
        <w:rPr>
          <w:spacing w:val="-7"/>
          <w:sz w:val="21"/>
          <w:szCs w:val="21"/>
        </w:rPr>
      </w:pPr>
    </w:p>
    <w:p>
      <w:pPr>
        <w:pStyle w:val="2"/>
        <w:spacing w:before="215" w:line="222" w:lineRule="auto"/>
        <w:ind w:left="80"/>
        <w:rPr>
          <w:sz w:val="21"/>
          <w:szCs w:val="21"/>
        </w:rPr>
      </w:pPr>
      <w:r>
        <w:rPr>
          <w:spacing w:val="-7"/>
          <w:sz w:val="21"/>
          <w:szCs w:val="21"/>
        </w:rPr>
        <w:t>附件2</w:t>
      </w:r>
    </w:p>
    <w:p>
      <w:pPr>
        <w:spacing w:before="137" w:line="220" w:lineRule="auto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4"/>
          <w:sz w:val="32"/>
          <w:szCs w:val="32"/>
        </w:rPr>
        <w:t>县域商业建设项目清单</w:t>
      </w:r>
    </w:p>
    <w:p>
      <w:pPr>
        <w:spacing w:line="91" w:lineRule="exact"/>
      </w:pPr>
    </w:p>
    <w:tbl>
      <w:tblPr>
        <w:tblStyle w:val="5"/>
        <w:tblW w:w="15231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570"/>
        <w:gridCol w:w="570"/>
        <w:gridCol w:w="1039"/>
        <w:gridCol w:w="420"/>
        <w:gridCol w:w="859"/>
        <w:gridCol w:w="1019"/>
        <w:gridCol w:w="2682"/>
        <w:gridCol w:w="1285"/>
        <w:gridCol w:w="2665"/>
        <w:gridCol w:w="1462"/>
        <w:gridCol w:w="1409"/>
        <w:gridCol w:w="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05" w:type="dxa"/>
            <w:vAlign w:val="center"/>
          </w:tcPr>
          <w:p>
            <w:pPr>
              <w:spacing w:line="27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49" w:line="219" w:lineRule="auto"/>
              <w:ind w:left="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年度*</w:t>
            </w:r>
          </w:p>
        </w:tc>
        <w:tc>
          <w:tcPr>
            <w:tcW w:w="570" w:type="dxa"/>
            <w:vAlign w:val="center"/>
          </w:tcPr>
          <w:p>
            <w:pPr>
              <w:spacing w:line="27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49" w:line="219" w:lineRule="auto"/>
              <w:ind w:left="5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设区市</w:t>
            </w:r>
          </w:p>
        </w:tc>
        <w:tc>
          <w:tcPr>
            <w:tcW w:w="570" w:type="dxa"/>
            <w:vAlign w:val="center"/>
          </w:tcPr>
          <w:p>
            <w:pPr>
              <w:pStyle w:val="6"/>
              <w:spacing w:before="224" w:line="237" w:lineRule="auto"/>
              <w:ind w:left="80" w:right="87" w:firstLine="8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县/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市/区</w:t>
            </w:r>
          </w:p>
        </w:tc>
        <w:tc>
          <w:tcPr>
            <w:tcW w:w="1039" w:type="dxa"/>
            <w:vAlign w:val="center"/>
          </w:tcPr>
          <w:p>
            <w:pPr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49" w:line="220" w:lineRule="auto"/>
              <w:ind w:left="209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420" w:type="dxa"/>
            <w:vAlign w:val="center"/>
          </w:tcPr>
          <w:p>
            <w:pPr>
              <w:pStyle w:val="6"/>
              <w:spacing w:before="221" w:line="220" w:lineRule="auto"/>
              <w:ind w:left="50" w:right="6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建设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类型</w:t>
            </w:r>
          </w:p>
        </w:tc>
        <w:tc>
          <w:tcPr>
            <w:tcW w:w="859" w:type="dxa"/>
            <w:vAlign w:val="center"/>
          </w:tcPr>
          <w:p>
            <w:pPr>
              <w:spacing w:line="27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49" w:line="219" w:lineRule="auto"/>
              <w:ind w:left="14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责任主体*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  <w:spacing w:before="152" w:line="195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计划投资额***</w:t>
            </w:r>
          </w:p>
          <w:p>
            <w:pPr>
              <w:pStyle w:val="6"/>
              <w:spacing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>(万元)</w:t>
            </w:r>
          </w:p>
        </w:tc>
        <w:tc>
          <w:tcPr>
            <w:tcW w:w="2682" w:type="dxa"/>
            <w:vAlign w:val="center"/>
          </w:tcPr>
          <w:p>
            <w:pPr>
              <w:spacing w:line="27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49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建设内容</w:t>
            </w:r>
          </w:p>
        </w:tc>
        <w:tc>
          <w:tcPr>
            <w:tcW w:w="1285" w:type="dxa"/>
            <w:vAlign w:val="center"/>
          </w:tcPr>
          <w:p>
            <w:pPr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49" w:line="220" w:lineRule="auto"/>
              <w:ind w:left="6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建设周期</w:t>
            </w:r>
          </w:p>
        </w:tc>
        <w:tc>
          <w:tcPr>
            <w:tcW w:w="2665" w:type="dxa"/>
            <w:vAlign w:val="center"/>
          </w:tcPr>
          <w:p>
            <w:pPr>
              <w:spacing w:line="27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49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实现功能</w:t>
            </w:r>
          </w:p>
        </w:tc>
        <w:tc>
          <w:tcPr>
            <w:tcW w:w="1462" w:type="dxa"/>
            <w:vAlign w:val="center"/>
          </w:tcPr>
          <w:p>
            <w:pPr>
              <w:pStyle w:val="6"/>
              <w:spacing w:before="251" w:line="19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责任单位**</w:t>
            </w:r>
          </w:p>
          <w:p>
            <w:pPr>
              <w:pStyle w:val="6"/>
              <w:spacing w:line="21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(政府部门)</w:t>
            </w:r>
          </w:p>
        </w:tc>
        <w:tc>
          <w:tcPr>
            <w:tcW w:w="1409" w:type="dxa"/>
            <w:vAlign w:val="center"/>
          </w:tcPr>
          <w:p>
            <w:pPr>
              <w:spacing w:line="27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49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项目类型</w:t>
            </w:r>
          </w:p>
        </w:tc>
        <w:tc>
          <w:tcPr>
            <w:tcW w:w="746" w:type="dxa"/>
            <w:vAlign w:val="center"/>
          </w:tcPr>
          <w:p>
            <w:pPr>
              <w:spacing w:line="26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48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6"/>
                <w:sz w:val="24"/>
                <w:szCs w:val="24"/>
              </w:rPr>
              <w:t>项目进度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9" w:hRule="atLeast"/>
        </w:trPr>
        <w:tc>
          <w:tcPr>
            <w:tcW w:w="505" w:type="dxa"/>
            <w:vAlign w:val="center"/>
          </w:tcPr>
          <w:p>
            <w:pPr>
              <w:pStyle w:val="6"/>
              <w:spacing w:before="49" w:line="219" w:lineRule="auto"/>
              <w:ind w:left="104"/>
              <w:jc w:val="center"/>
              <w:rPr>
                <w:rFonts w:hint="default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570" w:type="dxa"/>
            <w:vAlign w:val="center"/>
          </w:tcPr>
          <w:p>
            <w:pPr>
              <w:pStyle w:val="6"/>
              <w:spacing w:before="49" w:line="219" w:lineRule="auto"/>
              <w:ind w:left="59"/>
              <w:jc w:val="center"/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三明市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大田县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大田县农翠轩贸易有限公司农产品展销展示中心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改建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大田县农翠轩贸易有限公司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425 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1、1800平方展馆的空间布局与展示提升改造，计划投入资金300万元。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2、60平方直播间改造提升、设施购置等，计划投入资金20万元，达到线上线下互动。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3、200平方大田名特优农产品文化展厅建设，计划投入45万元。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4、水、电及消防设施等改造，计划投入资金60万元。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2024.2—2024.12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1、集中展示大田县18个乡镇名特优农产品；2、进一步拓宽农产品销售渠道，力争年销售额增加500万元；3、具备大田农产品的展览、示范、交流、交易等功能，提高知名度，打造成为大田农产品对外的一张名片。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大田县商务局</w:t>
            </w:r>
          </w:p>
        </w:tc>
        <w:tc>
          <w:tcPr>
            <w:tcW w:w="1409" w:type="dxa"/>
            <w:vAlign w:val="center"/>
          </w:tcPr>
          <w:p>
            <w:pPr>
              <w:pStyle w:val="6"/>
              <w:spacing w:before="49" w:line="219" w:lineRule="auto"/>
              <w:jc w:val="center"/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县域产业发展</w:t>
            </w:r>
          </w:p>
        </w:tc>
        <w:tc>
          <w:tcPr>
            <w:tcW w:w="746" w:type="dxa"/>
            <w:vAlign w:val="center"/>
          </w:tcPr>
          <w:p>
            <w:pPr>
              <w:pStyle w:val="6"/>
              <w:spacing w:before="48" w:line="22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pacing w:val="2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26"/>
                <w:sz w:val="24"/>
                <w:szCs w:val="24"/>
                <w:lang w:eastAsia="zh-CN"/>
              </w:rPr>
              <w:t>前期准备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三明市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大田县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大田县太华镇高星村冻库建设项目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新建 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大田县康益农业环保科技有限公司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174.4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冻库1300立方，钢屋架3300平方米，场地硬化3000平方米。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2024.1-2024.5 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农产品储存转运分拣、加工、分拣、预冷、配送。（玉米420吨、蔬菜157吨、毛豆140吨，食用菌210吨），增加劳动用工60人，提高农产品价值，减少损失，增加农产品收入。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大田商务局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县域产业发展 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三明市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大田县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科航农业仓储贸易中心建设项目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福建省大田县科航农业开发有限公司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建设一个面积大约为270平方仓储贸易中心，拥有便捷交通和完善的配套服务。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2024.1-2024.4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以吴山镇为中心，扩展周边乡镇生姜种植产业，方便姜农储存及销售服务，提高我县生姜品牌效益，增加农民收益。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大田县商务局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县域产业发展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5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三明市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大田县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大田上臻农产品生产加工冷链一体化建设项目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新建 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上臻(福建)农业科技有限公司 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90 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钢架结构1800平方米，土地平整、场地硬化2100平方米、冷链库建设，相应的水电、消防、环保、监控等配套设施。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2024.3-2024.9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冻库保鲜库一批次可储存食用菌240吨，预计年产值600万元，解决周边村民就业150个人。</w:t>
            </w:r>
          </w:p>
        </w:tc>
        <w:tc>
          <w:tcPr>
            <w:tcW w:w="1462" w:type="dxa"/>
            <w:vAlign w:val="center"/>
          </w:tcPr>
          <w:p>
            <w:pPr>
              <w:tabs>
                <w:tab w:val="left" w:pos="430"/>
                <w:tab w:val="center" w:pos="846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大田县商务局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县域产业发展 </w:t>
            </w: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在建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963" w:type="dxa"/>
            <w:gridSpan w:val="6"/>
            <w:vAlign w:val="center"/>
          </w:tcPr>
          <w:p>
            <w:pPr>
              <w:pStyle w:val="6"/>
              <w:spacing w:before="198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  <w:lang w:val="en-US" w:eastAsia="zh-CN"/>
              </w:rPr>
              <w:t>大田</w:t>
            </w:r>
            <w:r>
              <w:rPr>
                <w:rFonts w:hint="eastAsia" w:ascii="仿宋" w:hAnsi="仿宋" w:eastAsia="仿宋" w:cs="仿宋"/>
                <w:b/>
                <w:bCs/>
                <w:spacing w:val="-3"/>
                <w:sz w:val="24"/>
                <w:szCs w:val="24"/>
              </w:rPr>
              <w:t>县项目合计</w:t>
            </w:r>
          </w:p>
        </w:tc>
        <w:tc>
          <w:tcPr>
            <w:tcW w:w="1019" w:type="dxa"/>
            <w:vAlign w:val="center"/>
          </w:tcPr>
          <w:p>
            <w:pPr>
              <w:pStyle w:val="6"/>
              <w:spacing w:before="238" w:line="183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749.4 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36" w:lineRule="auto"/>
        <w:rPr>
          <w:rFonts w:ascii="Arial"/>
          <w:sz w:val="21"/>
        </w:rPr>
      </w:pPr>
    </w:p>
    <w:p>
      <w:pPr>
        <w:spacing w:before="52" w:line="207" w:lineRule="auto"/>
        <w:ind w:left="8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5"/>
          <w:sz w:val="16"/>
          <w:szCs w:val="16"/>
        </w:rPr>
        <w:t>*</w:t>
      </w:r>
      <w:r>
        <w:rPr>
          <w:rFonts w:ascii="宋体" w:hAnsi="宋体" w:eastAsia="宋体" w:cs="宋体"/>
          <w:color w:val="194A6B"/>
          <w:spacing w:val="-5"/>
          <w:sz w:val="16"/>
          <w:szCs w:val="16"/>
        </w:rPr>
        <w:t>年度</w:t>
      </w:r>
      <w:r>
        <w:rPr>
          <w:rFonts w:ascii="宋体" w:hAnsi="宋体" w:eastAsia="宋体" w:cs="宋体"/>
          <w:spacing w:val="-5"/>
          <w:sz w:val="16"/>
          <w:szCs w:val="16"/>
        </w:rPr>
        <w:t>指</w:t>
      </w:r>
      <w:r>
        <w:rPr>
          <w:rFonts w:ascii="宋体" w:hAnsi="宋体" w:eastAsia="宋体" w:cs="宋体"/>
          <w:color w:val="194A6B"/>
          <w:spacing w:val="-5"/>
          <w:sz w:val="16"/>
          <w:szCs w:val="16"/>
        </w:rPr>
        <w:t>项目申报年</w:t>
      </w:r>
      <w:r>
        <w:rPr>
          <w:rFonts w:ascii="宋体" w:hAnsi="宋体" w:eastAsia="宋体" w:cs="宋体"/>
          <w:spacing w:val="-5"/>
          <w:sz w:val="16"/>
          <w:szCs w:val="16"/>
        </w:rPr>
        <w:t>度</w:t>
      </w:r>
      <w:r>
        <w:rPr>
          <w:rFonts w:ascii="宋体" w:hAnsi="宋体" w:eastAsia="宋体" w:cs="宋体"/>
          <w:color w:val="194A6B"/>
          <w:spacing w:val="-5"/>
          <w:sz w:val="16"/>
          <w:szCs w:val="16"/>
        </w:rPr>
        <w:t>。</w:t>
      </w:r>
    </w:p>
    <w:p>
      <w:pPr>
        <w:spacing w:before="1" w:line="207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"/>
          <w:sz w:val="16"/>
          <w:szCs w:val="16"/>
        </w:rPr>
        <w:t>“除多镇商贸中心等民生项目可由乡镇政府作为责任主体外，其他项且责任主体须为企业；责任单位</w:t>
      </w:r>
      <w:r>
        <w:rPr>
          <w:rFonts w:ascii="宋体" w:hAnsi="宋体" w:eastAsia="宋体" w:cs="宋体"/>
          <w:spacing w:val="1"/>
          <w:sz w:val="16"/>
          <w:szCs w:val="16"/>
        </w:rPr>
        <w:t>为政府监督管理部门，2023年起，县级商务部门须列为第一责任单位。</w:t>
      </w:r>
    </w:p>
    <w:p>
      <w:pPr>
        <w:spacing w:line="185" w:lineRule="auto"/>
        <w:ind w:left="80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…投资额不含不动产购置、租赁费用，以及人员经费、水电费等经常性开支，实际投资金额由第三方专业机构审</w:t>
      </w:r>
      <w:r>
        <w:rPr>
          <w:rFonts w:ascii="宋体" w:hAnsi="宋体" w:eastAsia="宋体" w:cs="宋体"/>
          <w:spacing w:val="-1"/>
          <w:sz w:val="16"/>
          <w:szCs w:val="16"/>
        </w:rPr>
        <w:t>核认定。”</w:t>
      </w:r>
    </w:p>
    <w:p>
      <w:pPr>
        <w:spacing w:line="207" w:lineRule="auto"/>
        <w:ind w:left="7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"/>
          <w:sz w:val="16"/>
          <w:szCs w:val="16"/>
        </w:rPr>
        <w:t>注1:建立分年度储备项目库。2022年度利后续年度项目己明确的应在项目清单中列出，并在商务部信息系统中录入，后续年度项目未明确的</w:t>
      </w:r>
      <w:r>
        <w:rPr>
          <w:rFonts w:ascii="宋体" w:hAnsi="宋体" w:eastAsia="宋体" w:cs="宋体"/>
          <w:spacing w:val="1"/>
          <w:sz w:val="16"/>
          <w:szCs w:val="16"/>
        </w:rPr>
        <w:t>可后续进行调整、完善。</w:t>
      </w:r>
    </w:p>
    <w:p>
      <w:pPr>
        <w:spacing w:before="1" w:line="218" w:lineRule="auto"/>
        <w:ind w:left="79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2"/>
          <w:sz w:val="16"/>
          <w:szCs w:val="16"/>
        </w:rPr>
        <w:t>注2:县城综合商贸服务中心、村级便民商店不列入中央财政支持方向，通过市场化手段推进建设</w:t>
      </w:r>
      <w:r>
        <w:rPr>
          <w:rFonts w:ascii="宋体" w:hAnsi="宋体" w:eastAsia="宋体" w:cs="宋体"/>
          <w:spacing w:val="1"/>
          <w:sz w:val="16"/>
          <w:szCs w:val="16"/>
        </w:rPr>
        <w:t>改造。</w:t>
      </w:r>
    </w:p>
    <w:sectPr>
      <w:headerReference r:id="rId5" w:type="default"/>
      <w:footerReference r:id="rId6" w:type="default"/>
      <w:pgSz w:w="16360" w:h="11560"/>
      <w:pgMar w:top="1" w:right="473" w:bottom="400" w:left="5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GRhZjUxMDkwZjM4ZmY1YTM1NzkzODEwYTc4ZDlmY2YifQ=="/>
  </w:docVars>
  <w:rsids>
    <w:rsidRoot w:val="00000000"/>
    <w:rsid w:val="073065CD"/>
    <w:rsid w:val="10AF236F"/>
    <w:rsid w:val="1178129C"/>
    <w:rsid w:val="1AB8095B"/>
    <w:rsid w:val="25F777A1"/>
    <w:rsid w:val="2E9D0AB9"/>
    <w:rsid w:val="3CAC7699"/>
    <w:rsid w:val="41432DC5"/>
    <w:rsid w:val="4BBD3740"/>
    <w:rsid w:val="4DEF13D2"/>
    <w:rsid w:val="51905BB3"/>
    <w:rsid w:val="53933738"/>
    <w:rsid w:val="55F8327A"/>
    <w:rsid w:val="5C806824"/>
    <w:rsid w:val="638C7D15"/>
    <w:rsid w:val="76F679B7"/>
    <w:rsid w:val="79FFA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Office_11.8.2.12185_F1E327BC-269C-435d-A152-05C5408002CA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2024-03-22T18:34:00Z</dcterms:created>
  <dc:creator>Administrator</dc:creator>
  <cp:lastModifiedBy>swj29</cp:lastModifiedBy>
  <cp:lastPrinted>2024-03-26T15:53:00Z</cp:lastPrinted>
  <dcterms:modified xsi:type="dcterms:W3CDTF">2024-03-27T17:07:20Z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2024-03-22T10:34:15Z</vt:filetime>
  </property>
  <property fmtid="{D5CDD505-2E9C-101B-9397-08002B2CF9AE}" pid="4" name="UsrData">
    <vt:lpwstr>65fcee208a3849001f8db0aawl</vt:lpwstr>
  </property>
  <property fmtid="{D5CDD505-2E9C-101B-9397-08002B2CF9AE}" pid="5" name="KSOProductBuildVer">
    <vt:lpwstr>2052-11.8.2.12185</vt:lpwstr>
  </property>
  <property fmtid="{D5CDD505-2E9C-101B-9397-08002B2CF9AE}" pid="6" name="ICV">
    <vt:lpwstr>A886141999274AF3B8FCA7F784216A8D_13</vt:lpwstr>
  </property>
</Properties>
</file>