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大田县2024年度农村道路客运 城市交通发展奖励涨价补贴资金分配方案</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Times New Roman" w:eastAsia="仿宋_GB2312" w:cs="Times New Roman"/>
          <w:sz w:val="32"/>
          <w:szCs w:val="32"/>
          <w:lang w:val="en-US" w:eastAsia="zh-CN"/>
        </w:rPr>
        <w:t>《三明市财政局 三明市交通运输局关于下达2024年度农村客运补贴和城市交通发展奖励补贴资金的通知》（明财（建）指〔2025〕17号）等</w:t>
      </w:r>
      <w:r>
        <w:rPr>
          <w:rFonts w:hint="eastAsia" w:ascii="仿宋_GB2312" w:hAnsi="仿宋_GB2312" w:eastAsia="仿宋_GB2312" w:cs="仿宋_GB2312"/>
          <w:sz w:val="32"/>
          <w:szCs w:val="32"/>
          <w:lang w:val="en-US" w:eastAsia="zh-CN"/>
        </w:rPr>
        <w:t>文件要求，</w:t>
      </w:r>
      <w:r>
        <w:rPr>
          <w:rFonts w:hint="eastAsia" w:ascii="仿宋_GB2312" w:hAnsi="Times New Roman" w:eastAsia="仿宋_GB2312" w:cs="Times New Roman"/>
          <w:sz w:val="32"/>
          <w:szCs w:val="32"/>
          <w:lang w:val="en-US" w:eastAsia="zh-CN"/>
        </w:rPr>
        <w:t>市级将相关资金下达我县，农村道路客运 城市交通发展奖励涨价补贴资金共计2</w:t>
      </w:r>
      <w:r>
        <w:rPr>
          <w:rFonts w:hint="eastAsia" w:ascii="仿宋_GB2312" w:hAnsi="Times New Roman" w:cs="Times New Roman"/>
          <w:sz w:val="32"/>
          <w:szCs w:val="32"/>
          <w:lang w:val="en-US" w:eastAsia="zh-CN"/>
        </w:rPr>
        <w:t>80.12</w:t>
      </w:r>
      <w:r>
        <w:rPr>
          <w:rFonts w:hint="eastAsia" w:ascii="仿宋_GB2312" w:hAnsi="Times New Roman" w:eastAsia="仿宋_GB2312" w:cs="Times New Roman"/>
          <w:sz w:val="32"/>
          <w:szCs w:val="32"/>
          <w:lang w:val="en-US" w:eastAsia="zh-CN"/>
        </w:rPr>
        <w:t>万元。</w:t>
      </w:r>
      <w:r>
        <w:rPr>
          <w:rFonts w:hint="eastAsia" w:ascii="仿宋_GB2312" w:hAnsi="仿宋_GB2312" w:eastAsia="仿宋_GB2312" w:cs="仿宋_GB2312"/>
          <w:sz w:val="32"/>
          <w:szCs w:val="32"/>
          <w:lang w:val="en-US" w:eastAsia="zh-CN"/>
        </w:rPr>
        <w:t>具体如下：</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一、资金总额</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2024年度农村道路客运 城市交通发展奖励涨价补贴资金280.12万元，具体如下：</w:t>
      </w:r>
    </w:p>
    <w:tbl>
      <w:tblPr>
        <w:tblStyle w:val="9"/>
        <w:tblW w:w="6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57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357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资金名称</w:t>
            </w:r>
          </w:p>
        </w:tc>
        <w:tc>
          <w:tcPr>
            <w:tcW w:w="1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1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57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农村道路客运</w:t>
            </w:r>
          </w:p>
        </w:tc>
        <w:tc>
          <w:tcPr>
            <w:tcW w:w="1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57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农村客运站点</w:t>
            </w:r>
          </w:p>
        </w:tc>
        <w:tc>
          <w:tcPr>
            <w:tcW w:w="1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highlight w:val="none"/>
                <w:vertAlign w:val="baseline"/>
                <w:lang w:val="en-US" w:eastAsia="zh-CN"/>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5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等级客运站</w:t>
            </w:r>
          </w:p>
        </w:tc>
        <w:tc>
          <w:tcPr>
            <w:tcW w:w="1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11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57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城市新能源公交车运营</w:t>
            </w:r>
          </w:p>
        </w:tc>
        <w:tc>
          <w:tcPr>
            <w:tcW w:w="16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57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ascii="仿宋_GB2312" w:hAnsi="宋体" w:eastAsia="仿宋_GB2312" w:cs="仿宋_GB2312"/>
                <w:color w:val="000000"/>
                <w:kern w:val="0"/>
                <w:sz w:val="31"/>
                <w:szCs w:val="31"/>
                <w:lang w:val="en-US" w:eastAsia="zh-CN" w:bidi="ar"/>
              </w:rPr>
              <w:t>出租车电动化</w:t>
            </w:r>
          </w:p>
        </w:tc>
        <w:tc>
          <w:tcPr>
            <w:tcW w:w="1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6</w:t>
            </w:r>
          </w:p>
        </w:tc>
        <w:tc>
          <w:tcPr>
            <w:tcW w:w="3570"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合计</w:t>
            </w:r>
          </w:p>
        </w:tc>
        <w:tc>
          <w:tcPr>
            <w:tcW w:w="1625"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280.12</w:t>
            </w:r>
          </w:p>
        </w:tc>
      </w:tr>
    </w:tbl>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二、分配依据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依据《福建省财政厅 福建省交通运输厅关于下达2024年度农村客运和城市交通发展奖励补贴资金的通知》（闽财建指〔2024〕128号）、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福建省财政厅 福建省交通运输厅关于印发〈福建省农村道路客运和城市交通发展奖励涨价补贴资金管理办法〉的通知》（闽财规〔2023〕</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号）、《三明市交通运输局 三明市财政局关于印发&lt;三明市农村道路客运和城市交通发展奖励涨价补贴资金使用管理实施细则&gt;等的通知》（明交规〔</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4〕2</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号）、《三明市交通运输局 三明市财政局关于进一步明确农村道路客运发展补贴资金和新能源巡游出租汽车电动化补贴资金考核得分事项的通知》（明交运〔</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CN"/>
        </w:rPr>
        <w:t>号）等文件要求。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三、分配对象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农村道路客运发展、</w:t>
      </w:r>
      <w:r>
        <w:rPr>
          <w:rFonts w:hint="eastAsia" w:ascii="仿宋_GB2312" w:hAnsi="仿宋_GB2312" w:eastAsia="仿宋_GB2312" w:cs="仿宋_GB2312"/>
          <w:sz w:val="32"/>
          <w:szCs w:val="32"/>
          <w:highlight w:val="none"/>
          <w:lang w:val="en-US" w:eastAsia="zh-CN"/>
        </w:rPr>
        <w:t>农村客运站点、</w:t>
      </w:r>
      <w:r>
        <w:rPr>
          <w:rFonts w:hint="eastAsia" w:ascii="仿宋_GB2312" w:hAnsi="仿宋_GB2312" w:eastAsia="仿宋_GB2312" w:cs="仿宋_GB2312"/>
          <w:sz w:val="32"/>
          <w:szCs w:val="32"/>
          <w:lang w:val="en-US" w:eastAsia="zh-CN"/>
        </w:rPr>
        <w:t>等级客运站、城市新能源公交车运营、新能源巡游出租车电动化。</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四、分配公式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（一）农村道路客运发展</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2023年，闽通公司新增3 辆农客车辆，车牌号闽G00369D，购置价格50.60万元，闽G07877D，购置价格58.23万元，闽G07887D，购置价格58.23万元。2024年度未有购置新车补贴政策，但在2023年度农村道路客运发展考评中由于闽通公司新购置3辆农客车辆提高了全县考评分数45分，所以2023年度农村道路客运发展补贴的资金分配公式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2023年度，农客考评分数为430.2分，补贴总金额为141.97万元，由此每分相对应的补贴金额为：141.97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430.2=0.3300万元。由此闽通公司新购置车辆提升的60分相对应的补贴金额为：0.3300×45=14.85万元。将总补贴资金141.97万元扣除14.85万元后剩下的补贴资金127.12万元，按照某企业补贴资金=上级下达补贴资金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〔某企业月座位数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全县总月座位数〕的方式分配资金。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（二）新能源巡游出租车电动化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某企业补贴资金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〔某企业新能源出租车在营月数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全县新能源出租车在营月数〕。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（三）农村客运站点及等级客运站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按农村客运站点、等级客运站等项目的省上考评得分获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得上级下达补助资金。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（四）城市新能源公交车运营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某企业补贴资金=上级下达补贴资金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〔某企业考核得分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全县考核总得分〕。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五、具体分配情况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（一）农村客运站点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b w:val="0"/>
          <w:bCs w:val="0"/>
          <w:sz w:val="32"/>
          <w:szCs w:val="32"/>
          <w:highlight w:val="none"/>
          <w:lang w:val="en-US" w:eastAsia="zh-CN"/>
        </w:rPr>
        <w:t>按照农村客运站点运营得分，省上下达补助金13.75万元。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b w:val="0"/>
          <w:bCs w:val="0"/>
          <w:sz w:val="32"/>
          <w:szCs w:val="32"/>
          <w:highlight w:val="none"/>
          <w:lang w:val="en-US" w:eastAsia="zh-CN"/>
        </w:rPr>
        <w:t>给予建设镇乡镇综合运输服务站运营补助6.875万元。给予广平镇乡镇综合运输服务站运营补助6.875万元。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2"/>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（二）等级客运站运营情况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省上下达补助资金33.3万元。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按省上资金管理办法要求，按分值均等分配，给予大田汽车站33.3万元/站资金补助。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60" w:leftChars="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（三）市级统筹资金情况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60" w:leftChars="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省上下达补助资金9.7万元。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60"/>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b w:val="0"/>
          <w:bCs w:val="0"/>
          <w:spacing w:val="0"/>
          <w:sz w:val="32"/>
          <w:szCs w:val="32"/>
          <w:highlight w:val="none"/>
          <w:lang w:val="en-US" w:eastAsia="zh-CN"/>
        </w:rPr>
        <w:t>目前我市农村客货邮融合发展方面村级服务点视频监控等信息化设备不符合《安全防范视频监控联网系统信息传输、交换、控制技术要求》（GB/T</w:t>
      </w:r>
      <w:r>
        <w:rPr>
          <w:rFonts w:hint="default" w:ascii="仿宋_GB2312" w:hAnsi="仿宋_GB2312" w:eastAsia="仿宋_GB2312" w:cs="仿宋_GB2312"/>
          <w:b w:val="0"/>
          <w:bCs w:val="0"/>
          <w:spacing w:val="0"/>
          <w:sz w:val="32"/>
          <w:szCs w:val="32"/>
          <w:highlight w:val="none"/>
          <w:lang w:val="en-US" w:eastAsia="zh-CN"/>
        </w:rPr>
        <w:t>28181</w:t>
      </w:r>
      <w:r>
        <w:rPr>
          <w:rFonts w:hint="eastAsia" w:ascii="仿宋_GB2312" w:hAnsi="仿宋_GB2312" w:eastAsia="仿宋_GB2312" w:cs="仿宋_GB2312"/>
          <w:b w:val="0"/>
          <w:bCs w:val="0"/>
          <w:spacing w:val="0"/>
          <w:sz w:val="32"/>
          <w:szCs w:val="32"/>
          <w:highlight w:val="none"/>
          <w:lang w:val="en-US" w:eastAsia="zh-CN"/>
        </w:rPr>
        <w:t>）的情况较为普遍，该统筹资金用于支持我县农村客货邮服务点信息化设备更新完善，按视频监控探头418元/个标准，以村级物流服务点个数进行切块分配。</w:t>
      </w:r>
    </w:p>
    <w:tbl>
      <w:tblPr>
        <w:tblStyle w:val="9"/>
        <w:tblW w:w="7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897"/>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ighlight w:val="none"/>
                <w:vertAlign w:val="baseline"/>
                <w:lang w:val="en-US" w:eastAsia="zh-CN"/>
              </w:rPr>
            </w:pPr>
            <w:r>
              <w:rPr>
                <w:rFonts w:hint="eastAsia" w:ascii="仿宋_GB2312" w:hAnsi="仿宋_GB2312" w:eastAsia="仿宋_GB2312" w:cs="仿宋_GB2312"/>
                <w:spacing w:val="0"/>
                <w:sz w:val="32"/>
                <w:szCs w:val="32"/>
                <w:highlight w:val="none"/>
                <w:vertAlign w:val="baseline"/>
                <w:lang w:val="en-US" w:eastAsia="zh-CN"/>
              </w:rPr>
              <w:t>县别</w:t>
            </w:r>
          </w:p>
        </w:tc>
        <w:tc>
          <w:tcPr>
            <w:tcW w:w="2897"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highlight w:val="none"/>
                <w:vertAlign w:val="baseline"/>
                <w:lang w:val="en-US" w:eastAsia="zh-CN"/>
              </w:rPr>
            </w:pPr>
            <w:r>
              <w:rPr>
                <w:rFonts w:hint="eastAsia" w:ascii="仿宋_GB2312" w:hAnsi="仿宋_GB2312" w:eastAsia="仿宋_GB2312" w:cs="仿宋_GB2312"/>
                <w:spacing w:val="0"/>
                <w:kern w:val="2"/>
                <w:sz w:val="32"/>
                <w:szCs w:val="32"/>
                <w:highlight w:val="none"/>
                <w:vertAlign w:val="baseline"/>
                <w:lang w:val="en-US" w:eastAsia="zh-CN" w:bidi="ar-SA"/>
              </w:rPr>
              <w:t>村级服务网点个数</w:t>
            </w:r>
          </w:p>
        </w:tc>
        <w:tc>
          <w:tcPr>
            <w:tcW w:w="235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spacing w:val="0"/>
                <w:sz w:val="32"/>
                <w:szCs w:val="32"/>
                <w:highlight w:val="none"/>
                <w:vertAlign w:val="baseline"/>
                <w:lang w:val="en-US" w:eastAsia="zh-CN"/>
              </w:rPr>
              <w:t>获得资金</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highlight w:val="none"/>
                <w:vertAlign w:val="baseline"/>
                <w:lang w:val="en-US" w:eastAsia="zh-CN"/>
              </w:rPr>
            </w:pPr>
            <w:r>
              <w:rPr>
                <w:rFonts w:hint="eastAsia" w:ascii="仿宋_GB2312" w:hAnsi="仿宋_GB2312" w:eastAsia="仿宋_GB2312" w:cs="仿宋_GB2312"/>
                <w:spacing w:val="0"/>
                <w:sz w:val="28"/>
                <w:szCs w:val="28"/>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pacing w:val="0"/>
                <w:kern w:val="2"/>
                <w:sz w:val="32"/>
                <w:szCs w:val="32"/>
                <w:highlight w:val="none"/>
                <w:vertAlign w:val="baseline"/>
                <w:lang w:val="en-US" w:eastAsia="zh-CN" w:bidi="ar-SA"/>
              </w:rPr>
            </w:pPr>
            <w:r>
              <w:rPr>
                <w:rFonts w:hint="eastAsia" w:ascii="仿宋_GB2312" w:hAnsi="仿宋_GB2312" w:eastAsia="仿宋_GB2312" w:cs="仿宋_GB2312"/>
                <w:color w:val="auto"/>
                <w:spacing w:val="0"/>
                <w:sz w:val="32"/>
                <w:szCs w:val="32"/>
                <w:highlight w:val="none"/>
                <w:vertAlign w:val="baseline"/>
                <w:lang w:val="en-US" w:eastAsia="zh-CN"/>
              </w:rPr>
              <w:t>大田</w:t>
            </w:r>
          </w:p>
        </w:tc>
        <w:tc>
          <w:tcPr>
            <w:tcW w:w="2897"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pacing w:val="0"/>
                <w:sz w:val="32"/>
                <w:szCs w:val="32"/>
                <w:highlight w:val="none"/>
                <w:vertAlign w:val="baseline"/>
                <w:lang w:val="en-US" w:eastAsia="zh-CN"/>
              </w:rPr>
            </w:pPr>
            <w:r>
              <w:rPr>
                <w:rFonts w:hint="eastAsia" w:ascii="仿宋_GB2312" w:hAnsi="仿宋_GB2312" w:eastAsia="仿宋_GB2312" w:cs="仿宋_GB2312"/>
                <w:color w:val="auto"/>
                <w:spacing w:val="0"/>
                <w:sz w:val="32"/>
                <w:szCs w:val="32"/>
                <w:highlight w:val="none"/>
                <w:vertAlign w:val="baseline"/>
                <w:lang w:val="en-US" w:eastAsia="zh-CN"/>
              </w:rPr>
              <w:t>232</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pacing w:val="0"/>
                <w:sz w:val="32"/>
                <w:szCs w:val="32"/>
                <w:highlight w:val="none"/>
                <w:vertAlign w:val="baseline"/>
                <w:lang w:val="en-US" w:eastAsia="zh-CN"/>
              </w:rPr>
            </w:pPr>
            <w:r>
              <w:rPr>
                <w:rFonts w:hint="eastAsia" w:ascii="仿宋_GB2312" w:hAnsi="仿宋_GB2312" w:eastAsia="仿宋_GB2312" w:cs="仿宋_GB2312"/>
                <w:color w:val="auto"/>
                <w:spacing w:val="0"/>
                <w:sz w:val="32"/>
                <w:szCs w:val="32"/>
                <w:highlight w:val="none"/>
                <w:vertAlign w:val="baseline"/>
                <w:lang w:val="en-US" w:eastAsia="zh-CN"/>
              </w:rPr>
              <w:t>9.70</w:t>
            </w:r>
          </w:p>
        </w:tc>
      </w:tr>
    </w:tbl>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给予中国邮政集团有限公司福建省大田县分公司9.7万元资金补助。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（四）城市新能源公交车运营</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省上下达补助资金33.82万元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我县辖区内只有闽通公共交通有限公司有公交车，所以该部分补贴资金给予闽通公共交通有限公司。</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（五）农村道路客运发展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省上下达补助资金141.97万元。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sz w:val="32"/>
          <w:szCs w:val="32"/>
          <w:highlight w:val="none"/>
          <w:lang w:val="en-US" w:eastAsia="zh-CN"/>
        </w:rPr>
        <w:t>按“2023年度，农客考评分数为430.2分，补贴总金额为141.97万元，由此每分相对应的补贴金额为：141.97</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430.2=0.33万元。由闽通公司新购置车辆提升的45分相对应的补贴金额为：0.33×45=14.85万元。将总补贴资金141.97万元扣除14.85万元后剩下的补贴资金127.12万元按照，某企业补贴资金=上级下达补贴资金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〔某企业核定座位数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全县核定总座位数〕的方式分配资金</w:t>
      </w:r>
      <w:r>
        <w:rPr>
          <w:rFonts w:hint="default" w:ascii="仿宋_GB2312" w:hAnsi="仿宋_GB2312" w:eastAsia="仿宋_GB2312" w:cs="仿宋_GB2312"/>
          <w:sz w:val="32"/>
          <w:szCs w:val="32"/>
          <w:highlight w:val="none"/>
          <w:lang w:val="en-US" w:eastAsia="zh-CN"/>
        </w:rPr>
        <w:t>”进行分配，具体如下：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45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序号</w:t>
            </w:r>
          </w:p>
        </w:tc>
        <w:tc>
          <w:tcPr>
            <w:tcW w:w="24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企业</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核定车辆数（辆）</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核定月座位数（座）</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分配资金（万元）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bookmarkStart w:id="0" w:name="_GoBack" w:colFirst="1" w:colLast="1"/>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4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32"/>
                <w:szCs w:val="32"/>
                <w:highlight w:val="none"/>
                <w:vertAlign w:val="baseline"/>
                <w:lang w:val="en-US" w:eastAsia="zh-CN"/>
              </w:rPr>
              <w:t>福建闽通长运股份有限公司</w:t>
            </w:r>
            <w:r>
              <w:rPr>
                <w:rFonts w:hint="eastAsia" w:ascii="仿宋_GB2312" w:hAnsi="仿宋_GB2312" w:eastAsia="仿宋_GB2312" w:cs="仿宋_GB2312"/>
                <w:sz w:val="32"/>
                <w:szCs w:val="32"/>
                <w:highlight w:val="none"/>
                <w:vertAlign w:val="baseline"/>
                <w:lang w:val="en-US" w:eastAsia="zh-CN"/>
              </w:rPr>
              <w:t>大田</w:t>
            </w:r>
            <w:r>
              <w:rPr>
                <w:rFonts w:hint="default" w:ascii="仿宋_GB2312" w:hAnsi="仿宋_GB2312" w:eastAsia="仿宋_GB2312" w:cs="仿宋_GB2312"/>
                <w:sz w:val="32"/>
                <w:szCs w:val="32"/>
                <w:highlight w:val="none"/>
                <w:vertAlign w:val="baseline"/>
                <w:lang w:val="en-US" w:eastAsia="zh-CN"/>
              </w:rPr>
              <w:t>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42</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9658</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99.8311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4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三明市环宇运输有限公司大田分公司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11</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2640</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27.2889</w:t>
            </w:r>
          </w:p>
        </w:tc>
      </w:tr>
      <w:bookmarkEnd w:id="0"/>
    </w:tbl>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（六）出租车电动化运营</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补助资金情况。</w:t>
      </w:r>
      <w:r>
        <w:rPr>
          <w:rFonts w:hint="eastAsia" w:ascii="仿宋_GB2312" w:hAnsi="仿宋_GB2312" w:eastAsia="仿宋_GB2312" w:cs="仿宋_GB2312"/>
          <w:sz w:val="32"/>
          <w:szCs w:val="32"/>
          <w:highlight w:val="none"/>
          <w:lang w:val="en-US" w:eastAsia="zh-CN"/>
        </w:rPr>
        <w:t xml:space="preserve">省上下达补助资金2023年度47.58万元。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分配情况。</w:t>
      </w:r>
      <w:r>
        <w:rPr>
          <w:rFonts w:hint="eastAsia" w:ascii="仿宋_GB2312" w:hAnsi="仿宋_GB2312" w:eastAsia="仿宋_GB2312" w:cs="仿宋_GB2312"/>
          <w:b w:val="0"/>
          <w:bCs w:val="0"/>
          <w:sz w:val="32"/>
          <w:szCs w:val="32"/>
          <w:highlight w:val="none"/>
          <w:lang w:val="en-US" w:eastAsia="zh-CN"/>
        </w:rPr>
        <w:t>全县2023年度符合要求的新能源出租车134辆，其中闽通119辆，环宇15辆。根据“</w:t>
      </w:r>
      <w:r>
        <w:rPr>
          <w:rFonts w:hint="eastAsia" w:ascii="仿宋_GB2312" w:hAnsi="仿宋_GB2312" w:eastAsia="仿宋_GB2312" w:cs="仿宋_GB2312"/>
          <w:sz w:val="32"/>
          <w:szCs w:val="32"/>
          <w:highlight w:val="none"/>
          <w:lang w:val="en-US" w:eastAsia="zh-CN"/>
        </w:rPr>
        <w:t>某企业补贴资金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上级下达补贴资金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〔某企业新能源出租车在营月数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全县新能源出租车在营月数〕</w:t>
      </w:r>
      <w:r>
        <w:rPr>
          <w:rFonts w:hint="eastAsia" w:ascii="仿宋_GB2312" w:hAnsi="仿宋_GB2312" w:eastAsia="仿宋_GB2312" w:cs="仿宋_GB2312"/>
          <w:b w:val="0"/>
          <w:bCs w:val="0"/>
          <w:sz w:val="32"/>
          <w:szCs w:val="32"/>
          <w:highlight w:val="none"/>
          <w:lang w:val="en-US" w:eastAsia="zh-CN"/>
        </w:rPr>
        <w:t>”进行分配，具体如下</w:t>
      </w:r>
      <w:r>
        <w:rPr>
          <w:rFonts w:hint="eastAsia" w:ascii="仿宋_GB2312" w:hAnsi="仿宋_GB2312" w:eastAsia="仿宋_GB2312" w:cs="仿宋_GB2312"/>
          <w:sz w:val="32"/>
          <w:szCs w:val="32"/>
          <w:highlight w:val="none"/>
          <w:lang w:val="en-US" w:eastAsia="zh-CN"/>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45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序号</w:t>
            </w:r>
          </w:p>
        </w:tc>
        <w:tc>
          <w:tcPr>
            <w:tcW w:w="24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企业</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新能源车辆在营月数（月）</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全县新能源车辆在营月数（月）</w:t>
            </w: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分配资金（万元）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4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32"/>
                <w:szCs w:val="32"/>
                <w:highlight w:val="none"/>
                <w:vertAlign w:val="baseline"/>
                <w:lang w:val="en-US" w:eastAsia="zh-CN"/>
              </w:rPr>
              <w:t>福建闽通长运股份有限公司</w:t>
            </w:r>
            <w:r>
              <w:rPr>
                <w:rFonts w:hint="eastAsia" w:ascii="仿宋_GB2312" w:hAnsi="仿宋_GB2312" w:eastAsia="仿宋_GB2312" w:cs="仿宋_GB2312"/>
                <w:sz w:val="32"/>
                <w:szCs w:val="32"/>
                <w:highlight w:val="none"/>
                <w:vertAlign w:val="baseline"/>
                <w:lang w:val="en-US" w:eastAsia="zh-CN"/>
              </w:rPr>
              <w:t>大田</w:t>
            </w:r>
            <w:r>
              <w:rPr>
                <w:rFonts w:hint="default" w:ascii="仿宋_GB2312" w:hAnsi="仿宋_GB2312" w:eastAsia="仿宋_GB2312" w:cs="仿宋_GB2312"/>
                <w:sz w:val="32"/>
                <w:szCs w:val="32"/>
                <w:highlight w:val="none"/>
                <w:vertAlign w:val="baseline"/>
                <w:lang w:val="en-US" w:eastAsia="zh-CN"/>
              </w:rPr>
              <w:t>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1123</w:t>
            </w:r>
          </w:p>
        </w:tc>
        <w:tc>
          <w:tcPr>
            <w:tcW w:w="1705" w:type="dxa"/>
            <w:vMerge w:val="restart"/>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1296</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41.2287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三明市环宇运输有限公司大田分公司</w:t>
            </w:r>
          </w:p>
        </w:tc>
        <w:tc>
          <w:tcPr>
            <w:tcW w:w="170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173</w:t>
            </w:r>
          </w:p>
        </w:tc>
        <w:tc>
          <w:tcPr>
            <w:tcW w:w="170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p>
        </w:tc>
        <w:tc>
          <w:tcPr>
            <w:tcW w:w="170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6.3513</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jZhZDYxOGU2OWU3ZWQwOGJjYTQxZmEzZDIxYjgifQ=="/>
  </w:docVars>
  <w:rsids>
    <w:rsidRoot w:val="617E37C2"/>
    <w:rsid w:val="00D23242"/>
    <w:rsid w:val="013F696E"/>
    <w:rsid w:val="0167256A"/>
    <w:rsid w:val="03343D40"/>
    <w:rsid w:val="047A3100"/>
    <w:rsid w:val="067032E2"/>
    <w:rsid w:val="079070CC"/>
    <w:rsid w:val="07DE24CD"/>
    <w:rsid w:val="0812755F"/>
    <w:rsid w:val="09727371"/>
    <w:rsid w:val="09BB1120"/>
    <w:rsid w:val="0A5C2888"/>
    <w:rsid w:val="0AB62CC3"/>
    <w:rsid w:val="0AF54EDF"/>
    <w:rsid w:val="0BB93257"/>
    <w:rsid w:val="0C245418"/>
    <w:rsid w:val="0CB657C6"/>
    <w:rsid w:val="0CBD0903"/>
    <w:rsid w:val="0E215D9F"/>
    <w:rsid w:val="0EB12FDC"/>
    <w:rsid w:val="10A83678"/>
    <w:rsid w:val="10D17073"/>
    <w:rsid w:val="1123675C"/>
    <w:rsid w:val="12687563"/>
    <w:rsid w:val="12BB3B36"/>
    <w:rsid w:val="13824654"/>
    <w:rsid w:val="13D84018"/>
    <w:rsid w:val="148A34BB"/>
    <w:rsid w:val="16FA0BBE"/>
    <w:rsid w:val="173C0FBE"/>
    <w:rsid w:val="17966920"/>
    <w:rsid w:val="196D1114"/>
    <w:rsid w:val="1A7D7FE4"/>
    <w:rsid w:val="1AAB26E2"/>
    <w:rsid w:val="1AC217DA"/>
    <w:rsid w:val="1B8D7CA1"/>
    <w:rsid w:val="1C4526C3"/>
    <w:rsid w:val="1C8054FE"/>
    <w:rsid w:val="1CF163A7"/>
    <w:rsid w:val="1E334EC9"/>
    <w:rsid w:val="1E4A5D6E"/>
    <w:rsid w:val="1FEF3071"/>
    <w:rsid w:val="20C0056A"/>
    <w:rsid w:val="23447DCA"/>
    <w:rsid w:val="240B41F2"/>
    <w:rsid w:val="247973AD"/>
    <w:rsid w:val="2480698E"/>
    <w:rsid w:val="25007ACF"/>
    <w:rsid w:val="251E08FE"/>
    <w:rsid w:val="255120D8"/>
    <w:rsid w:val="256B26E4"/>
    <w:rsid w:val="25C7239A"/>
    <w:rsid w:val="25C924DA"/>
    <w:rsid w:val="25F55591"/>
    <w:rsid w:val="276E6F72"/>
    <w:rsid w:val="27731E23"/>
    <w:rsid w:val="281A0EA7"/>
    <w:rsid w:val="28705B51"/>
    <w:rsid w:val="28CC03F4"/>
    <w:rsid w:val="2969239F"/>
    <w:rsid w:val="29F55728"/>
    <w:rsid w:val="2B5841C1"/>
    <w:rsid w:val="2CF77A09"/>
    <w:rsid w:val="2E075A2A"/>
    <w:rsid w:val="2E440A2C"/>
    <w:rsid w:val="2FAD1DFD"/>
    <w:rsid w:val="30B71989"/>
    <w:rsid w:val="31FD0717"/>
    <w:rsid w:val="32DD4FAB"/>
    <w:rsid w:val="33DE547F"/>
    <w:rsid w:val="344A2B14"/>
    <w:rsid w:val="34A27401"/>
    <w:rsid w:val="34CE1050"/>
    <w:rsid w:val="350D6AE6"/>
    <w:rsid w:val="36826596"/>
    <w:rsid w:val="37465815"/>
    <w:rsid w:val="384F06F9"/>
    <w:rsid w:val="39C52500"/>
    <w:rsid w:val="3A8E7489"/>
    <w:rsid w:val="3B9F3746"/>
    <w:rsid w:val="3BB931BB"/>
    <w:rsid w:val="3C060031"/>
    <w:rsid w:val="3C722C08"/>
    <w:rsid w:val="3DA52B6A"/>
    <w:rsid w:val="3E611D98"/>
    <w:rsid w:val="3EC05EAD"/>
    <w:rsid w:val="3F216F60"/>
    <w:rsid w:val="3FDF05B5"/>
    <w:rsid w:val="41EE31F7"/>
    <w:rsid w:val="424247FA"/>
    <w:rsid w:val="424C5CAA"/>
    <w:rsid w:val="42B21FB1"/>
    <w:rsid w:val="460D73F5"/>
    <w:rsid w:val="466730B2"/>
    <w:rsid w:val="46737CA9"/>
    <w:rsid w:val="46761547"/>
    <w:rsid w:val="47332F94"/>
    <w:rsid w:val="478665E8"/>
    <w:rsid w:val="479D7D45"/>
    <w:rsid w:val="47AC1943"/>
    <w:rsid w:val="489B5295"/>
    <w:rsid w:val="48E8538D"/>
    <w:rsid w:val="48FC21D7"/>
    <w:rsid w:val="493706B2"/>
    <w:rsid w:val="4A176B9D"/>
    <w:rsid w:val="4A7B537E"/>
    <w:rsid w:val="4AF15640"/>
    <w:rsid w:val="4B306168"/>
    <w:rsid w:val="4DB210B7"/>
    <w:rsid w:val="4E4168DE"/>
    <w:rsid w:val="503C735D"/>
    <w:rsid w:val="519972A0"/>
    <w:rsid w:val="53130127"/>
    <w:rsid w:val="53FF0DCE"/>
    <w:rsid w:val="541C372E"/>
    <w:rsid w:val="549A28A4"/>
    <w:rsid w:val="54B41BB8"/>
    <w:rsid w:val="54DE6C35"/>
    <w:rsid w:val="54E029AD"/>
    <w:rsid w:val="550541C2"/>
    <w:rsid w:val="55BA31FE"/>
    <w:rsid w:val="55FE4CAD"/>
    <w:rsid w:val="560721BC"/>
    <w:rsid w:val="5636628C"/>
    <w:rsid w:val="564550A4"/>
    <w:rsid w:val="56ED13B1"/>
    <w:rsid w:val="574F3E1A"/>
    <w:rsid w:val="57AD38D0"/>
    <w:rsid w:val="57B87E0D"/>
    <w:rsid w:val="58D97E3F"/>
    <w:rsid w:val="594A6E64"/>
    <w:rsid w:val="5A7B6CD4"/>
    <w:rsid w:val="5B230259"/>
    <w:rsid w:val="5B9E0ECC"/>
    <w:rsid w:val="5CE440B3"/>
    <w:rsid w:val="5E035ED5"/>
    <w:rsid w:val="5E211941"/>
    <w:rsid w:val="5F381638"/>
    <w:rsid w:val="5FBE414C"/>
    <w:rsid w:val="603E2C7E"/>
    <w:rsid w:val="608D1ECF"/>
    <w:rsid w:val="60A87B85"/>
    <w:rsid w:val="60BB7E2A"/>
    <w:rsid w:val="612E684E"/>
    <w:rsid w:val="617E37C2"/>
    <w:rsid w:val="625A1729"/>
    <w:rsid w:val="625E7607"/>
    <w:rsid w:val="636A4BD7"/>
    <w:rsid w:val="63C33BC6"/>
    <w:rsid w:val="64D11B94"/>
    <w:rsid w:val="67006EDF"/>
    <w:rsid w:val="67445876"/>
    <w:rsid w:val="67AB6E4B"/>
    <w:rsid w:val="682B7F8C"/>
    <w:rsid w:val="69D16911"/>
    <w:rsid w:val="69FD14B4"/>
    <w:rsid w:val="6B3C600C"/>
    <w:rsid w:val="6BE0108D"/>
    <w:rsid w:val="6D7158E3"/>
    <w:rsid w:val="6E1C4B9F"/>
    <w:rsid w:val="6EDE7B06"/>
    <w:rsid w:val="702011DF"/>
    <w:rsid w:val="70C60851"/>
    <w:rsid w:val="72FD0776"/>
    <w:rsid w:val="73C2101D"/>
    <w:rsid w:val="73E21E46"/>
    <w:rsid w:val="74E120FE"/>
    <w:rsid w:val="76982C90"/>
    <w:rsid w:val="76D67314"/>
    <w:rsid w:val="77A2369A"/>
    <w:rsid w:val="77B51620"/>
    <w:rsid w:val="77E12415"/>
    <w:rsid w:val="7A2860D9"/>
    <w:rsid w:val="7A2B3E1B"/>
    <w:rsid w:val="7AB20098"/>
    <w:rsid w:val="7C6278E2"/>
    <w:rsid w:val="7DF764EE"/>
    <w:rsid w:val="7E3239CA"/>
    <w:rsid w:val="7E7A0ECD"/>
    <w:rsid w:val="7FB56661"/>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 w:val="21"/>
      <w:szCs w:val="24"/>
    </w:rPr>
  </w:style>
  <w:style w:type="paragraph" w:customStyle="1" w:styleId="3">
    <w:name w:val="Body Text First Indent1"/>
    <w:basedOn w:val="4"/>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w:basedOn w:val="1"/>
    <w:next w:val="1"/>
    <w:qFormat/>
    <w:uiPriority w:val="0"/>
    <w:pPr>
      <w:spacing w:after="120"/>
      <w:ind w:left="420"/>
      <w:jc w:val="left"/>
    </w:pPr>
    <w:rPr>
      <w:rFonts w:eastAsia="仿宋_GB2312"/>
      <w:sz w:val="32"/>
    </w:rPr>
  </w:style>
  <w:style w:type="paragraph" w:styleId="6">
    <w:name w:val="Body Text First Indent 2"/>
    <w:basedOn w:val="5"/>
    <w:next w:val="2"/>
    <w:qFormat/>
    <w:uiPriority w:val="0"/>
    <w:pPr>
      <w:ind w:leftChars="0" w:firstLine="420" w:firstLineChars="200"/>
      <w:jc w:val="left"/>
    </w:pPr>
    <w:rPr>
      <w:rFonts w:ascii="Times New Roman" w:hAnsi="Times New Roman" w:eastAsia="宋体" w:cs="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1976</Words>
  <Characters>2293</Characters>
  <Lines>0</Lines>
  <Paragraphs>0</Paragraphs>
  <TotalTime>9</TotalTime>
  <ScaleCrop>false</ScaleCrop>
  <LinksUpToDate>false</LinksUpToDate>
  <CharactersWithSpaces>2372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2023-10-16T06:50:00Z</dcterms:created>
  <dc:creator>Qihom</dc:creator>
  <cp:lastModifiedBy>林少萍</cp:lastModifiedBy>
  <dcterms:modified xsi:type="dcterms:W3CDTF">2025-04-07T07:56:43Z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1C26EB7CE2E24ACEA0AA1F657E034304_13</vt:lpwstr>
  </property>
  <property fmtid="{D5CDD505-2E9C-101B-9397-08002B2CF9AE}" pid="4" name="KSOTemplateDocerSaveRecord">
    <vt:lpwstr>eyJoZGlkIjoiMjE5ZDlmODU3MGExMjg4NGFkMTc1ZDEzMmY4Yjk0ZjUifQ==</vt:lpwstr>
  </property>
</Properties>
</file>