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820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1D51E8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pacing w:val="-6"/>
          <w:sz w:val="32"/>
          <w:szCs w:val="32"/>
          <w:lang w:eastAsia="zh-CN"/>
        </w:rPr>
        <w:t>2026年大田县红火蚁防控和水稻等农作物重大病虫监测与防控项目资金分配表</w:t>
      </w:r>
    </w:p>
    <w:p w14:paraId="2A975D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p>
    <w:tbl>
      <w:tblPr>
        <w:tblStyle w:val="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06"/>
        <w:gridCol w:w="2265"/>
        <w:gridCol w:w="1020"/>
        <w:gridCol w:w="960"/>
        <w:gridCol w:w="3139"/>
      </w:tblGrid>
      <w:tr w14:paraId="6CBD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29" w:type="dxa"/>
            <w:noWrap w:val="0"/>
            <w:vAlign w:val="center"/>
          </w:tcPr>
          <w:p w14:paraId="2F42843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序号</w:t>
            </w:r>
          </w:p>
        </w:tc>
        <w:tc>
          <w:tcPr>
            <w:tcW w:w="3371" w:type="dxa"/>
            <w:gridSpan w:val="2"/>
            <w:noWrap w:val="0"/>
            <w:vAlign w:val="center"/>
          </w:tcPr>
          <w:p w14:paraId="53F02500">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项目</w:t>
            </w:r>
          </w:p>
        </w:tc>
        <w:tc>
          <w:tcPr>
            <w:tcW w:w="1020" w:type="dxa"/>
            <w:noWrap w:val="0"/>
            <w:vAlign w:val="center"/>
          </w:tcPr>
          <w:p w14:paraId="662237D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规模</w:t>
            </w:r>
          </w:p>
        </w:tc>
        <w:tc>
          <w:tcPr>
            <w:tcW w:w="960" w:type="dxa"/>
            <w:noWrap w:val="0"/>
            <w:vAlign w:val="center"/>
          </w:tcPr>
          <w:p w14:paraId="5AE4462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资金</w:t>
            </w:r>
          </w:p>
          <w:p w14:paraId="4F133E8E">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(万元)</w:t>
            </w:r>
          </w:p>
        </w:tc>
        <w:tc>
          <w:tcPr>
            <w:tcW w:w="3139" w:type="dxa"/>
            <w:noWrap w:val="0"/>
            <w:vAlign w:val="center"/>
          </w:tcPr>
          <w:p w14:paraId="5C4119F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备注</w:t>
            </w:r>
          </w:p>
        </w:tc>
      </w:tr>
      <w:tr w14:paraId="2835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29" w:type="dxa"/>
            <w:vMerge w:val="restart"/>
            <w:noWrap w:val="0"/>
            <w:vAlign w:val="center"/>
          </w:tcPr>
          <w:p w14:paraId="138B0E2F">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default"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1</w:t>
            </w:r>
          </w:p>
        </w:tc>
        <w:tc>
          <w:tcPr>
            <w:tcW w:w="1106" w:type="dxa"/>
            <w:vMerge w:val="restart"/>
            <w:noWrap w:val="0"/>
            <w:vAlign w:val="center"/>
          </w:tcPr>
          <w:p w14:paraId="6E63BB5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红火蚁防控</w:t>
            </w:r>
          </w:p>
        </w:tc>
        <w:tc>
          <w:tcPr>
            <w:tcW w:w="2265" w:type="dxa"/>
            <w:noWrap w:val="0"/>
            <w:vAlign w:val="center"/>
          </w:tcPr>
          <w:p w14:paraId="4C3FBEE0">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项目监理</w:t>
            </w:r>
          </w:p>
        </w:tc>
        <w:tc>
          <w:tcPr>
            <w:tcW w:w="1020" w:type="dxa"/>
            <w:noWrap w:val="0"/>
            <w:vAlign w:val="center"/>
          </w:tcPr>
          <w:p w14:paraId="15C9091F">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1家</w:t>
            </w:r>
          </w:p>
        </w:tc>
        <w:tc>
          <w:tcPr>
            <w:tcW w:w="960" w:type="dxa"/>
            <w:noWrap w:val="0"/>
            <w:vAlign w:val="center"/>
          </w:tcPr>
          <w:p w14:paraId="103B34AB">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1.5</w:t>
            </w:r>
          </w:p>
        </w:tc>
        <w:tc>
          <w:tcPr>
            <w:tcW w:w="3139" w:type="dxa"/>
            <w:noWrap w:val="0"/>
            <w:vAlign w:val="center"/>
          </w:tcPr>
          <w:p w14:paraId="014E519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通过政府网公开邀请招标询价方式开展红火蚁防控技术监理服务采购工作</w:t>
            </w:r>
          </w:p>
        </w:tc>
      </w:tr>
      <w:tr w14:paraId="349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29" w:type="dxa"/>
            <w:vMerge w:val="continue"/>
            <w:noWrap w:val="0"/>
            <w:vAlign w:val="center"/>
          </w:tcPr>
          <w:p w14:paraId="0992C94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p>
        </w:tc>
        <w:tc>
          <w:tcPr>
            <w:tcW w:w="1106" w:type="dxa"/>
            <w:vMerge w:val="continue"/>
            <w:noWrap w:val="0"/>
            <w:vAlign w:val="center"/>
          </w:tcPr>
          <w:p w14:paraId="098441B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黑体" w:hAnsi="黑体" w:eastAsia="黑体" w:cs="黑体"/>
                <w:b w:val="0"/>
                <w:bCs w:val="0"/>
                <w:color w:val="000000"/>
                <w:sz w:val="24"/>
                <w:szCs w:val="24"/>
                <w:vertAlign w:val="baseline"/>
                <w:lang w:val="en-US" w:eastAsia="zh-CN"/>
              </w:rPr>
            </w:pPr>
          </w:p>
        </w:tc>
        <w:tc>
          <w:tcPr>
            <w:tcW w:w="2265" w:type="dxa"/>
            <w:noWrap w:val="0"/>
            <w:vAlign w:val="center"/>
          </w:tcPr>
          <w:p w14:paraId="1D52B14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购买第三方服务防治</w:t>
            </w:r>
          </w:p>
        </w:tc>
        <w:tc>
          <w:tcPr>
            <w:tcW w:w="1020" w:type="dxa"/>
            <w:noWrap w:val="0"/>
            <w:vAlign w:val="center"/>
          </w:tcPr>
          <w:p w14:paraId="4CAEDF4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2500亩以上</w:t>
            </w:r>
          </w:p>
        </w:tc>
        <w:tc>
          <w:tcPr>
            <w:tcW w:w="960" w:type="dxa"/>
            <w:noWrap w:val="0"/>
            <w:vAlign w:val="center"/>
          </w:tcPr>
          <w:p w14:paraId="110E329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18.5</w:t>
            </w:r>
          </w:p>
        </w:tc>
        <w:tc>
          <w:tcPr>
            <w:tcW w:w="3139" w:type="dxa"/>
            <w:noWrap w:val="0"/>
            <w:vAlign w:val="center"/>
          </w:tcPr>
          <w:p w14:paraId="502FDCE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由县农业农村局组织实施招标，拟采用竞争性磋商购买第三方服务。中标企业按湖美乡仁美、湖上、大尤、前进、旺建、西燕、元安、仁东、岬才、宏才、后坑、高才、后平、长坂、汉口、林兜等村排列顺序逐村整村开展调查，累计达到中标防治面积为止。</w:t>
            </w:r>
          </w:p>
        </w:tc>
      </w:tr>
      <w:tr w14:paraId="735F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9" w:type="dxa"/>
            <w:vMerge w:val="continue"/>
            <w:noWrap w:val="0"/>
            <w:vAlign w:val="center"/>
          </w:tcPr>
          <w:p w14:paraId="23633FB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20B1C81E">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方正小标宋简体" w:hAnsi="方正小标宋简体" w:eastAsia="方正小标宋简体" w:cs="方正小标宋简体"/>
                <w:b w:val="0"/>
                <w:bCs w:val="0"/>
                <w:spacing w:val="-6"/>
                <w:sz w:val="32"/>
                <w:szCs w:val="32"/>
                <w:lang w:eastAsia="zh-CN"/>
              </w:rPr>
            </w:pPr>
          </w:p>
        </w:tc>
        <w:tc>
          <w:tcPr>
            <w:tcW w:w="3285" w:type="dxa"/>
            <w:gridSpan w:val="2"/>
            <w:noWrap w:val="0"/>
            <w:vAlign w:val="center"/>
          </w:tcPr>
          <w:p w14:paraId="0DB6083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小计</w:t>
            </w:r>
          </w:p>
        </w:tc>
        <w:tc>
          <w:tcPr>
            <w:tcW w:w="960" w:type="dxa"/>
            <w:noWrap w:val="0"/>
            <w:vAlign w:val="center"/>
          </w:tcPr>
          <w:p w14:paraId="0D65C66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20</w:t>
            </w:r>
          </w:p>
        </w:tc>
        <w:tc>
          <w:tcPr>
            <w:tcW w:w="3139" w:type="dxa"/>
            <w:noWrap w:val="0"/>
            <w:vAlign w:val="center"/>
          </w:tcPr>
          <w:p w14:paraId="7D3874CF">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p>
        </w:tc>
      </w:tr>
      <w:tr w14:paraId="6789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 w:type="dxa"/>
            <w:vMerge w:val="restart"/>
            <w:noWrap w:val="0"/>
            <w:vAlign w:val="center"/>
          </w:tcPr>
          <w:p w14:paraId="311450E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r>
              <w:rPr>
                <w:rFonts w:hint="eastAsia" w:ascii="仿宋_GB2312" w:hAnsi="仿宋_GB2312" w:eastAsia="仿宋_GB2312" w:cs="仿宋_GB2312"/>
                <w:b w:val="0"/>
                <w:bCs w:val="0"/>
                <w:color w:val="000000"/>
                <w:sz w:val="24"/>
                <w:szCs w:val="24"/>
                <w:vertAlign w:val="baseline"/>
                <w:lang w:val="en-US" w:eastAsia="zh-CN"/>
              </w:rPr>
              <w:t>2</w:t>
            </w:r>
          </w:p>
        </w:tc>
        <w:tc>
          <w:tcPr>
            <w:tcW w:w="1106" w:type="dxa"/>
            <w:vMerge w:val="restart"/>
            <w:noWrap w:val="0"/>
            <w:vAlign w:val="center"/>
          </w:tcPr>
          <w:p w14:paraId="157C346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spacing w:val="-6"/>
                <w:sz w:val="24"/>
                <w:szCs w:val="24"/>
                <w:lang w:eastAsia="zh-CN"/>
              </w:rPr>
              <w:t>水稻等农作物重大病虫监测与防控</w:t>
            </w:r>
          </w:p>
        </w:tc>
        <w:tc>
          <w:tcPr>
            <w:tcW w:w="2265" w:type="dxa"/>
            <w:noWrap w:val="0"/>
            <w:vAlign w:val="center"/>
          </w:tcPr>
          <w:p w14:paraId="6C82DBA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草地贪夜蛾监测点</w:t>
            </w:r>
          </w:p>
        </w:tc>
        <w:tc>
          <w:tcPr>
            <w:tcW w:w="1020" w:type="dxa"/>
            <w:noWrap w:val="0"/>
            <w:vAlign w:val="center"/>
          </w:tcPr>
          <w:p w14:paraId="429A96AF">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5个</w:t>
            </w:r>
          </w:p>
        </w:tc>
        <w:tc>
          <w:tcPr>
            <w:tcW w:w="960" w:type="dxa"/>
            <w:noWrap w:val="0"/>
            <w:vAlign w:val="center"/>
          </w:tcPr>
          <w:p w14:paraId="1BABA43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0.6</w:t>
            </w:r>
          </w:p>
        </w:tc>
        <w:tc>
          <w:tcPr>
            <w:tcW w:w="3139" w:type="dxa"/>
            <w:noWrap w:val="0"/>
            <w:vAlign w:val="center"/>
          </w:tcPr>
          <w:p w14:paraId="37D1B69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名单详见表1</w:t>
            </w:r>
          </w:p>
        </w:tc>
      </w:tr>
      <w:tr w14:paraId="22B9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9" w:type="dxa"/>
            <w:vMerge w:val="continue"/>
            <w:noWrap w:val="0"/>
            <w:vAlign w:val="center"/>
          </w:tcPr>
          <w:p w14:paraId="1C4FBA7F">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p>
        </w:tc>
        <w:tc>
          <w:tcPr>
            <w:tcW w:w="1106" w:type="dxa"/>
            <w:vMerge w:val="continue"/>
            <w:noWrap w:val="0"/>
            <w:vAlign w:val="center"/>
          </w:tcPr>
          <w:p w14:paraId="04E2B6F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2265" w:type="dxa"/>
            <w:noWrap w:val="0"/>
            <w:vAlign w:val="center"/>
          </w:tcPr>
          <w:p w14:paraId="7F63AAE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20%三氟苯嘧啶水分散粒剂</w:t>
            </w:r>
          </w:p>
        </w:tc>
        <w:tc>
          <w:tcPr>
            <w:tcW w:w="1020" w:type="dxa"/>
            <w:noWrap w:val="0"/>
            <w:vAlign w:val="center"/>
          </w:tcPr>
          <w:p w14:paraId="1969308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1000包</w:t>
            </w:r>
          </w:p>
        </w:tc>
        <w:tc>
          <w:tcPr>
            <w:tcW w:w="960" w:type="dxa"/>
            <w:noWrap w:val="0"/>
            <w:vAlign w:val="center"/>
          </w:tcPr>
          <w:p w14:paraId="0A448DA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p>
        </w:tc>
        <w:tc>
          <w:tcPr>
            <w:tcW w:w="3139" w:type="dxa"/>
            <w:vMerge w:val="restart"/>
            <w:noWrap w:val="0"/>
            <w:vAlign w:val="center"/>
          </w:tcPr>
          <w:p w14:paraId="7776865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建立水稻等农作物重大病虫绿色防控与统防统治融合核心示范片2037亩，示范地点在桃源镇广汤村、桃源村，太华镇西埔、甲魁、锦溪、黄沙、汤泉、池源、大合、万湖、玉井、温坑等10个村，广平镇广平村、元沙村、万筹村。拟采取询价采购绿色防控措施投入品，招标由县农业农村局组织实施。</w:t>
            </w:r>
          </w:p>
        </w:tc>
      </w:tr>
      <w:tr w14:paraId="693F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9" w:type="dxa"/>
            <w:vMerge w:val="continue"/>
            <w:noWrap w:val="0"/>
            <w:vAlign w:val="center"/>
          </w:tcPr>
          <w:p w14:paraId="23765A60">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68458CF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2265" w:type="dxa"/>
            <w:noWrap w:val="0"/>
            <w:vAlign w:val="center"/>
          </w:tcPr>
          <w:p w14:paraId="2275097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32.5%苯甲·嘧菌酯悬浮剂</w:t>
            </w:r>
          </w:p>
        </w:tc>
        <w:tc>
          <w:tcPr>
            <w:tcW w:w="1020" w:type="dxa"/>
            <w:noWrap w:val="0"/>
            <w:vAlign w:val="center"/>
          </w:tcPr>
          <w:p w14:paraId="66BD35B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2000瓶</w:t>
            </w:r>
          </w:p>
        </w:tc>
        <w:tc>
          <w:tcPr>
            <w:tcW w:w="960" w:type="dxa"/>
            <w:noWrap w:val="0"/>
            <w:vAlign w:val="center"/>
          </w:tcPr>
          <w:p w14:paraId="05B1A7F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6</w:t>
            </w:r>
          </w:p>
        </w:tc>
        <w:tc>
          <w:tcPr>
            <w:tcW w:w="3139" w:type="dxa"/>
            <w:vMerge w:val="continue"/>
            <w:noWrap w:val="0"/>
            <w:vAlign w:val="center"/>
          </w:tcPr>
          <w:p w14:paraId="5B97314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r>
      <w:tr w14:paraId="4248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9" w:type="dxa"/>
            <w:vMerge w:val="continue"/>
            <w:noWrap w:val="0"/>
            <w:vAlign w:val="center"/>
          </w:tcPr>
          <w:p w14:paraId="2668C2E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default"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210F06C4">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2265" w:type="dxa"/>
            <w:noWrap w:val="0"/>
            <w:vAlign w:val="center"/>
          </w:tcPr>
          <w:p w14:paraId="4781492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24%井冈霉素</w:t>
            </w:r>
          </w:p>
        </w:tc>
        <w:tc>
          <w:tcPr>
            <w:tcW w:w="1020" w:type="dxa"/>
            <w:noWrap w:val="0"/>
            <w:vAlign w:val="center"/>
          </w:tcPr>
          <w:p w14:paraId="0BEE6C0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400瓶</w:t>
            </w:r>
          </w:p>
        </w:tc>
        <w:tc>
          <w:tcPr>
            <w:tcW w:w="960" w:type="dxa"/>
            <w:noWrap w:val="0"/>
            <w:vAlign w:val="center"/>
          </w:tcPr>
          <w:p w14:paraId="27AAFCE4">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0.6</w:t>
            </w:r>
          </w:p>
        </w:tc>
        <w:tc>
          <w:tcPr>
            <w:tcW w:w="3139" w:type="dxa"/>
            <w:vMerge w:val="continue"/>
            <w:noWrap w:val="0"/>
            <w:vAlign w:val="center"/>
          </w:tcPr>
          <w:p w14:paraId="3B16827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r>
      <w:tr w14:paraId="2300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9" w:type="dxa"/>
            <w:vMerge w:val="continue"/>
            <w:noWrap w:val="0"/>
            <w:vAlign w:val="center"/>
          </w:tcPr>
          <w:p w14:paraId="7CFDBD4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default"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2033F8AF">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2265" w:type="dxa"/>
            <w:noWrap w:val="0"/>
            <w:vAlign w:val="center"/>
          </w:tcPr>
          <w:p w14:paraId="36785F8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6%春雷霉素</w:t>
            </w:r>
          </w:p>
        </w:tc>
        <w:tc>
          <w:tcPr>
            <w:tcW w:w="1020" w:type="dxa"/>
            <w:noWrap w:val="0"/>
            <w:vAlign w:val="center"/>
          </w:tcPr>
          <w:p w14:paraId="29E671E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264瓶</w:t>
            </w:r>
          </w:p>
        </w:tc>
        <w:tc>
          <w:tcPr>
            <w:tcW w:w="960" w:type="dxa"/>
            <w:noWrap w:val="0"/>
            <w:vAlign w:val="center"/>
          </w:tcPr>
          <w:p w14:paraId="2D2CA68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0.792</w:t>
            </w:r>
          </w:p>
        </w:tc>
        <w:tc>
          <w:tcPr>
            <w:tcW w:w="3139" w:type="dxa"/>
            <w:vMerge w:val="continue"/>
            <w:noWrap w:val="0"/>
            <w:vAlign w:val="center"/>
          </w:tcPr>
          <w:p w14:paraId="0FDD905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r>
      <w:tr w14:paraId="07BF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Merge w:val="continue"/>
            <w:noWrap w:val="0"/>
            <w:vAlign w:val="center"/>
          </w:tcPr>
          <w:p w14:paraId="21B0E84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7A652B7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2265" w:type="dxa"/>
            <w:noWrap w:val="0"/>
            <w:vAlign w:val="center"/>
          </w:tcPr>
          <w:p w14:paraId="795C8B3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新型多功能智捕器</w:t>
            </w:r>
          </w:p>
        </w:tc>
        <w:tc>
          <w:tcPr>
            <w:tcW w:w="1020" w:type="dxa"/>
            <w:noWrap w:val="0"/>
            <w:vAlign w:val="center"/>
          </w:tcPr>
          <w:p w14:paraId="317D1689">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30套</w:t>
            </w:r>
          </w:p>
        </w:tc>
        <w:tc>
          <w:tcPr>
            <w:tcW w:w="960" w:type="dxa"/>
            <w:noWrap w:val="0"/>
            <w:vAlign w:val="center"/>
          </w:tcPr>
          <w:p w14:paraId="06A9F18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1.5</w:t>
            </w:r>
          </w:p>
        </w:tc>
        <w:tc>
          <w:tcPr>
            <w:tcW w:w="3139" w:type="dxa"/>
            <w:vMerge w:val="continue"/>
            <w:noWrap w:val="0"/>
            <w:vAlign w:val="center"/>
          </w:tcPr>
          <w:p w14:paraId="5C58DF3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r>
      <w:tr w14:paraId="7316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9" w:type="dxa"/>
            <w:vMerge w:val="continue"/>
            <w:noWrap w:val="0"/>
            <w:vAlign w:val="center"/>
          </w:tcPr>
          <w:p w14:paraId="0081836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115C79BB">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2265" w:type="dxa"/>
            <w:noWrap w:val="0"/>
            <w:vAlign w:val="center"/>
          </w:tcPr>
          <w:p w14:paraId="5694AC5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水稻诱芯诱捕器</w:t>
            </w:r>
          </w:p>
        </w:tc>
        <w:tc>
          <w:tcPr>
            <w:tcW w:w="1020" w:type="dxa"/>
            <w:noWrap w:val="0"/>
            <w:vAlign w:val="center"/>
          </w:tcPr>
          <w:p w14:paraId="7FD7275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900套</w:t>
            </w:r>
          </w:p>
        </w:tc>
        <w:tc>
          <w:tcPr>
            <w:tcW w:w="960" w:type="dxa"/>
            <w:noWrap w:val="0"/>
            <w:vAlign w:val="center"/>
          </w:tcPr>
          <w:p w14:paraId="6B64137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3.15</w:t>
            </w:r>
          </w:p>
        </w:tc>
        <w:tc>
          <w:tcPr>
            <w:tcW w:w="3139" w:type="dxa"/>
            <w:vMerge w:val="continue"/>
            <w:noWrap w:val="0"/>
            <w:vAlign w:val="center"/>
          </w:tcPr>
          <w:p w14:paraId="1178616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r>
      <w:tr w14:paraId="2741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9" w:type="dxa"/>
            <w:vMerge w:val="continue"/>
            <w:noWrap w:val="0"/>
            <w:vAlign w:val="center"/>
          </w:tcPr>
          <w:p w14:paraId="46CF1D2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476FB2E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2265" w:type="dxa"/>
            <w:noWrap w:val="0"/>
            <w:vAlign w:val="center"/>
          </w:tcPr>
          <w:p w14:paraId="5107C24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多源害虫干扰设备</w:t>
            </w:r>
          </w:p>
        </w:tc>
        <w:tc>
          <w:tcPr>
            <w:tcW w:w="1020" w:type="dxa"/>
            <w:noWrap w:val="0"/>
            <w:vAlign w:val="center"/>
          </w:tcPr>
          <w:p w14:paraId="6FAB91C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left"/>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10套</w:t>
            </w:r>
          </w:p>
        </w:tc>
        <w:tc>
          <w:tcPr>
            <w:tcW w:w="960" w:type="dxa"/>
            <w:noWrap w:val="0"/>
            <w:vAlign w:val="center"/>
          </w:tcPr>
          <w:p w14:paraId="1B78D51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0.35</w:t>
            </w:r>
          </w:p>
        </w:tc>
        <w:tc>
          <w:tcPr>
            <w:tcW w:w="3139" w:type="dxa"/>
            <w:vMerge w:val="continue"/>
            <w:noWrap w:val="0"/>
            <w:vAlign w:val="center"/>
          </w:tcPr>
          <w:p w14:paraId="487AC67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r>
      <w:tr w14:paraId="0B01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9" w:type="dxa"/>
            <w:vMerge w:val="continue"/>
            <w:noWrap w:val="0"/>
            <w:vAlign w:val="center"/>
          </w:tcPr>
          <w:p w14:paraId="156D7A2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p>
        </w:tc>
        <w:tc>
          <w:tcPr>
            <w:tcW w:w="1106" w:type="dxa"/>
            <w:vMerge w:val="continue"/>
            <w:noWrap w:val="0"/>
            <w:vAlign w:val="center"/>
          </w:tcPr>
          <w:p w14:paraId="227D3C1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p>
        </w:tc>
        <w:tc>
          <w:tcPr>
            <w:tcW w:w="2265" w:type="dxa"/>
            <w:noWrap w:val="0"/>
            <w:vAlign w:val="center"/>
          </w:tcPr>
          <w:p w14:paraId="5F4B22FB">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firstLine="0" w:firstLineChars="0"/>
              <w:jc w:val="left"/>
              <w:textAlignment w:val="baseline"/>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项目示范片牌</w:t>
            </w:r>
          </w:p>
        </w:tc>
        <w:tc>
          <w:tcPr>
            <w:tcW w:w="1020" w:type="dxa"/>
            <w:noWrap w:val="0"/>
            <w:vAlign w:val="center"/>
          </w:tcPr>
          <w:p w14:paraId="6D49BDB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r>
              <w:rPr>
                <w:rFonts w:hint="eastAsia" w:ascii="仿宋_GB2312" w:hAnsi="仿宋_GB2312" w:eastAsia="仿宋_GB2312" w:cs="仿宋_GB2312"/>
                <w:b w:val="0"/>
                <w:bCs w:val="0"/>
                <w:color w:val="000000"/>
                <w:sz w:val="24"/>
                <w:szCs w:val="24"/>
                <w:vertAlign w:val="baseline"/>
                <w:lang w:val="en-US" w:eastAsia="zh-CN"/>
              </w:rPr>
              <w:t>1块</w:t>
            </w:r>
          </w:p>
        </w:tc>
        <w:tc>
          <w:tcPr>
            <w:tcW w:w="960" w:type="dxa"/>
            <w:noWrap w:val="0"/>
            <w:vAlign w:val="center"/>
          </w:tcPr>
          <w:p w14:paraId="0CB2E68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r>
              <w:rPr>
                <w:rFonts w:hint="eastAsia" w:ascii="仿宋_GB2312" w:hAnsi="仿宋_GB2312" w:eastAsia="仿宋_GB2312" w:cs="仿宋_GB2312"/>
                <w:b w:val="0"/>
                <w:bCs w:val="0"/>
                <w:color w:val="000000"/>
                <w:sz w:val="24"/>
                <w:szCs w:val="24"/>
                <w:vertAlign w:val="baseline"/>
                <w:lang w:val="en-US" w:eastAsia="zh-CN"/>
              </w:rPr>
              <w:t>0.008</w:t>
            </w:r>
          </w:p>
        </w:tc>
        <w:tc>
          <w:tcPr>
            <w:tcW w:w="3139" w:type="dxa"/>
            <w:vMerge w:val="continue"/>
            <w:noWrap w:val="0"/>
            <w:vAlign w:val="center"/>
          </w:tcPr>
          <w:p w14:paraId="092F496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p>
        </w:tc>
      </w:tr>
      <w:tr w14:paraId="63C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9" w:type="dxa"/>
            <w:vMerge w:val="continue"/>
            <w:noWrap w:val="0"/>
            <w:vAlign w:val="center"/>
          </w:tcPr>
          <w:p w14:paraId="2E7869A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sz w:val="24"/>
                <w:szCs w:val="24"/>
                <w:vertAlign w:val="baseline"/>
                <w:lang w:val="en-US" w:eastAsia="zh-CN"/>
              </w:rPr>
            </w:pPr>
          </w:p>
        </w:tc>
        <w:tc>
          <w:tcPr>
            <w:tcW w:w="1106" w:type="dxa"/>
            <w:vMerge w:val="continue"/>
            <w:noWrap w:val="0"/>
            <w:vAlign w:val="center"/>
          </w:tcPr>
          <w:p w14:paraId="3604BBD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p>
        </w:tc>
        <w:tc>
          <w:tcPr>
            <w:tcW w:w="3285" w:type="dxa"/>
            <w:gridSpan w:val="2"/>
            <w:noWrap w:val="0"/>
            <w:vAlign w:val="center"/>
          </w:tcPr>
          <w:p w14:paraId="23BB781B">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r>
              <w:rPr>
                <w:rFonts w:hint="eastAsia" w:ascii="仿宋_GB2312" w:hAnsi="仿宋_GB2312" w:eastAsia="仿宋_GB2312" w:cs="仿宋_GB2312"/>
                <w:b w:val="0"/>
                <w:bCs w:val="0"/>
                <w:color w:val="000000"/>
                <w:kern w:val="2"/>
                <w:sz w:val="24"/>
                <w:szCs w:val="24"/>
                <w:vertAlign w:val="baseline"/>
                <w:lang w:val="en-US" w:eastAsia="zh-CN" w:bidi="ar-SA"/>
              </w:rPr>
              <w:t>小计</w:t>
            </w:r>
          </w:p>
        </w:tc>
        <w:tc>
          <w:tcPr>
            <w:tcW w:w="960" w:type="dxa"/>
            <w:noWrap w:val="0"/>
            <w:vAlign w:val="center"/>
          </w:tcPr>
          <w:p w14:paraId="1269D65F">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15</w:t>
            </w:r>
          </w:p>
        </w:tc>
        <w:tc>
          <w:tcPr>
            <w:tcW w:w="3139" w:type="dxa"/>
            <w:noWrap w:val="0"/>
            <w:vAlign w:val="center"/>
          </w:tcPr>
          <w:p w14:paraId="56A5578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p>
        </w:tc>
      </w:tr>
      <w:tr w14:paraId="636F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120" w:type="dxa"/>
            <w:gridSpan w:val="4"/>
            <w:noWrap w:val="0"/>
            <w:vAlign w:val="center"/>
          </w:tcPr>
          <w:p w14:paraId="311712E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r>
              <w:rPr>
                <w:rFonts w:hint="eastAsia" w:ascii="仿宋_GB2312" w:hAnsi="仿宋_GB2312" w:eastAsia="仿宋_GB2312" w:cs="仿宋_GB2312"/>
                <w:b w:val="0"/>
                <w:bCs w:val="0"/>
                <w:color w:val="000000"/>
                <w:sz w:val="24"/>
                <w:szCs w:val="24"/>
                <w:vertAlign w:val="baseline"/>
                <w:lang w:val="en-US" w:eastAsia="zh-CN"/>
              </w:rPr>
              <w:t>合       计</w:t>
            </w:r>
          </w:p>
        </w:tc>
        <w:tc>
          <w:tcPr>
            <w:tcW w:w="960" w:type="dxa"/>
            <w:noWrap w:val="0"/>
            <w:vAlign w:val="center"/>
          </w:tcPr>
          <w:p w14:paraId="6C5383A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default" w:ascii="仿宋_GB2312" w:hAnsi="仿宋_GB2312" w:eastAsia="仿宋_GB2312" w:cs="仿宋_GB2312"/>
                <w:b w:val="0"/>
                <w:bCs w:val="0"/>
                <w:color w:val="000000"/>
                <w:kern w:val="2"/>
                <w:sz w:val="24"/>
                <w:szCs w:val="24"/>
                <w:vertAlign w:val="baseline"/>
                <w:lang w:val="en-US" w:eastAsia="zh-CN" w:bidi="ar-SA"/>
              </w:rPr>
            </w:pPr>
            <w:r>
              <w:rPr>
                <w:rFonts w:hint="eastAsia" w:ascii="仿宋_GB2312" w:hAnsi="仿宋_GB2312" w:eastAsia="仿宋_GB2312" w:cs="仿宋_GB2312"/>
                <w:b w:val="0"/>
                <w:bCs w:val="0"/>
                <w:color w:val="000000"/>
                <w:sz w:val="24"/>
                <w:szCs w:val="24"/>
                <w:vertAlign w:val="baseline"/>
                <w:lang w:val="en-US" w:eastAsia="zh-CN"/>
              </w:rPr>
              <w:t>35</w:t>
            </w:r>
          </w:p>
        </w:tc>
        <w:tc>
          <w:tcPr>
            <w:tcW w:w="3139" w:type="dxa"/>
            <w:noWrap w:val="0"/>
            <w:vAlign w:val="center"/>
          </w:tcPr>
          <w:p w14:paraId="19B4606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baseline"/>
              <w:rPr>
                <w:rFonts w:hint="eastAsia" w:ascii="仿宋_GB2312" w:hAnsi="仿宋_GB2312" w:eastAsia="仿宋_GB2312" w:cs="仿宋_GB2312"/>
                <w:b w:val="0"/>
                <w:bCs w:val="0"/>
                <w:color w:val="000000"/>
                <w:kern w:val="2"/>
                <w:sz w:val="24"/>
                <w:szCs w:val="24"/>
                <w:vertAlign w:val="baseline"/>
                <w:lang w:val="en-US" w:eastAsia="zh-CN" w:bidi="ar-SA"/>
              </w:rPr>
            </w:pPr>
          </w:p>
        </w:tc>
      </w:tr>
    </w:tbl>
    <w:p w14:paraId="5A65E26B">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80" w:lineRule="exact"/>
        <w:jc w:val="both"/>
        <w:textAlignment w:val="baseline"/>
        <w:rPr>
          <w:rFonts w:hint="eastAsia" w:ascii="方正小标宋简体" w:hAnsi="方正小标宋简体" w:eastAsia="方正小标宋简体" w:cs="方正小标宋简体"/>
          <w:b w:val="0"/>
          <w:bCs w:val="0"/>
          <w:color w:val="000000"/>
          <w:sz w:val="32"/>
          <w:szCs w:val="32"/>
          <w:lang w:val="en-US" w:eastAsia="zh-CN"/>
        </w:rPr>
      </w:pPr>
      <w:r>
        <w:rPr>
          <w:rFonts w:hint="eastAsia" w:ascii="黑体" w:hAnsi="黑体" w:eastAsia="黑体" w:cs="黑体"/>
          <w:i w:val="0"/>
          <w:iCs w:val="0"/>
          <w:color w:val="000000"/>
          <w:kern w:val="0"/>
          <w:sz w:val="32"/>
          <w:szCs w:val="32"/>
          <w:u w:val="none"/>
          <w:lang w:val="en-US" w:eastAsia="zh-CN" w:bidi="ar"/>
        </w:rPr>
        <w:t>表1</w:t>
      </w:r>
      <w:bookmarkStart w:id="0" w:name="_GoBack"/>
      <w:bookmarkEnd w:id="0"/>
      <w:r>
        <w:rPr>
          <w:rFonts w:hint="eastAsia" w:ascii="方正小标宋简体" w:hAnsi="方正小标宋简体" w:eastAsia="方正小标宋简体" w:cs="方正小标宋简体"/>
          <w:i w:val="0"/>
          <w:iCs w:val="0"/>
          <w:color w:val="000000"/>
          <w:kern w:val="0"/>
          <w:sz w:val="32"/>
          <w:szCs w:val="32"/>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2"/>
          <w:szCs w:val="32"/>
          <w:u w:val="none"/>
          <w:lang w:val="en-US" w:eastAsia="zh-CN" w:bidi="ar"/>
        </w:rPr>
        <w:t xml:space="preserve">            2026年大田县草地贪夜蛾监测点安排表</w:t>
      </w:r>
    </w:p>
    <w:tbl>
      <w:tblPr>
        <w:tblStyle w:val="2"/>
        <w:tblW w:w="8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1542"/>
        <w:gridCol w:w="1784"/>
        <w:gridCol w:w="1260"/>
        <w:gridCol w:w="1380"/>
        <w:gridCol w:w="2083"/>
      </w:tblGrid>
      <w:tr w14:paraId="142F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708" w:type="dxa"/>
            <w:tcBorders>
              <w:top w:val="single" w:color="000000" w:sz="4" w:space="0"/>
              <w:left w:val="single" w:color="000000" w:sz="4" w:space="0"/>
              <w:bottom w:val="single" w:color="000000" w:sz="4" w:space="0"/>
              <w:right w:val="single" w:color="000000" w:sz="4" w:space="0"/>
            </w:tcBorders>
            <w:noWrap/>
            <w:vAlign w:val="center"/>
          </w:tcPr>
          <w:p w14:paraId="6C07C5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50ACE6D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4557A1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监测地址</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AE188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监测作物</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FBC6E0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监测人</w:t>
            </w:r>
          </w:p>
        </w:tc>
        <w:tc>
          <w:tcPr>
            <w:tcW w:w="2083" w:type="dxa"/>
            <w:tcBorders>
              <w:top w:val="single" w:color="000000" w:sz="4" w:space="0"/>
              <w:left w:val="single" w:color="000000" w:sz="4" w:space="0"/>
              <w:bottom w:val="single" w:color="000000" w:sz="4" w:space="0"/>
              <w:right w:val="single" w:color="000000" w:sz="4" w:space="0"/>
            </w:tcBorders>
            <w:noWrap/>
            <w:vAlign w:val="center"/>
          </w:tcPr>
          <w:p w14:paraId="139403B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r>
      <w:tr w14:paraId="4D19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708" w:type="dxa"/>
            <w:tcBorders>
              <w:top w:val="single" w:color="000000" w:sz="4" w:space="0"/>
              <w:left w:val="single" w:color="000000" w:sz="4" w:space="0"/>
              <w:bottom w:val="single" w:color="000000" w:sz="4" w:space="0"/>
              <w:right w:val="single" w:color="000000" w:sz="4" w:space="0"/>
            </w:tcBorders>
            <w:noWrap/>
            <w:vAlign w:val="center"/>
          </w:tcPr>
          <w:p w14:paraId="53F0C68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4C7EC526">
            <w:pPr>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武陵</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47DF60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大石村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4D57142">
            <w:pPr>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玉米</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A7FA45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杜成斌</w:t>
            </w:r>
          </w:p>
        </w:tc>
        <w:tc>
          <w:tcPr>
            <w:tcW w:w="2083" w:type="dxa"/>
            <w:tcBorders>
              <w:top w:val="single" w:color="000000" w:sz="4" w:space="0"/>
              <w:left w:val="single" w:color="000000" w:sz="4" w:space="0"/>
              <w:bottom w:val="single" w:color="000000" w:sz="4" w:space="0"/>
              <w:right w:val="single" w:color="000000" w:sz="4" w:space="0"/>
            </w:tcBorders>
            <w:noWrap/>
            <w:vAlign w:val="center"/>
          </w:tcPr>
          <w:p w14:paraId="71261F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13656914828</w:t>
            </w:r>
          </w:p>
        </w:tc>
      </w:tr>
      <w:tr w14:paraId="30D6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708" w:type="dxa"/>
            <w:tcBorders>
              <w:top w:val="single" w:color="000000" w:sz="4" w:space="0"/>
              <w:left w:val="single" w:color="000000" w:sz="4" w:space="0"/>
              <w:bottom w:val="single" w:color="000000" w:sz="4" w:space="0"/>
              <w:right w:val="single" w:color="000000" w:sz="4" w:space="0"/>
            </w:tcBorders>
            <w:noWrap/>
            <w:vAlign w:val="center"/>
          </w:tcPr>
          <w:p w14:paraId="07DC8C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7FC193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桃源</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07F380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桃源村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BC829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玉米</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D5A00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郑启双</w:t>
            </w:r>
          </w:p>
        </w:tc>
        <w:tc>
          <w:tcPr>
            <w:tcW w:w="2083" w:type="dxa"/>
            <w:tcBorders>
              <w:top w:val="single" w:color="000000" w:sz="4" w:space="0"/>
              <w:left w:val="single" w:color="000000" w:sz="4" w:space="0"/>
              <w:bottom w:val="single" w:color="000000" w:sz="4" w:space="0"/>
              <w:right w:val="single" w:color="000000" w:sz="4" w:space="0"/>
            </w:tcBorders>
            <w:noWrap/>
            <w:vAlign w:val="center"/>
          </w:tcPr>
          <w:p w14:paraId="64E3CAA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13906982643</w:t>
            </w:r>
          </w:p>
        </w:tc>
      </w:tr>
      <w:tr w14:paraId="4D20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708" w:type="dxa"/>
            <w:tcBorders>
              <w:top w:val="single" w:color="000000" w:sz="4" w:space="0"/>
              <w:left w:val="single" w:color="000000" w:sz="4" w:space="0"/>
              <w:bottom w:val="single" w:color="000000" w:sz="4" w:space="0"/>
              <w:right w:val="single" w:color="000000" w:sz="4" w:space="0"/>
            </w:tcBorders>
            <w:noWrap/>
            <w:vAlign w:val="center"/>
          </w:tcPr>
          <w:p w14:paraId="2F62F9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6C8FE7F3">
            <w:pPr>
              <w:jc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上京</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621C1E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溪口村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63630A0">
            <w:pPr>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玉米</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34810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刘育稳</w:t>
            </w:r>
          </w:p>
        </w:tc>
        <w:tc>
          <w:tcPr>
            <w:tcW w:w="2083" w:type="dxa"/>
            <w:tcBorders>
              <w:top w:val="single" w:color="000000" w:sz="4" w:space="0"/>
              <w:left w:val="single" w:color="000000" w:sz="4" w:space="0"/>
              <w:bottom w:val="single" w:color="000000" w:sz="4" w:space="0"/>
              <w:right w:val="single" w:color="000000" w:sz="4" w:space="0"/>
            </w:tcBorders>
            <w:noWrap/>
            <w:vAlign w:val="center"/>
          </w:tcPr>
          <w:p w14:paraId="59469E3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13859153136</w:t>
            </w:r>
          </w:p>
        </w:tc>
      </w:tr>
      <w:tr w14:paraId="489F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87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E99F0">
            <w:pPr>
              <w:jc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太华</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85F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万湖村</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9325B">
            <w:pPr>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玉米</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540884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连宝殿</w:t>
            </w:r>
          </w:p>
        </w:tc>
        <w:tc>
          <w:tcPr>
            <w:tcW w:w="2083" w:type="dxa"/>
            <w:tcBorders>
              <w:top w:val="single" w:color="000000" w:sz="4" w:space="0"/>
              <w:left w:val="single" w:color="000000" w:sz="4" w:space="0"/>
              <w:bottom w:val="single" w:color="000000" w:sz="4" w:space="0"/>
              <w:right w:val="single" w:color="000000" w:sz="4" w:space="0"/>
            </w:tcBorders>
            <w:noWrap/>
            <w:vAlign w:val="center"/>
          </w:tcPr>
          <w:p w14:paraId="7002BAF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13459830948</w:t>
            </w:r>
          </w:p>
        </w:tc>
      </w:tr>
      <w:tr w14:paraId="1F0D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08" w:type="dxa"/>
            <w:tcBorders>
              <w:top w:val="single" w:color="000000" w:sz="4" w:space="0"/>
              <w:left w:val="single" w:color="000000" w:sz="4" w:space="0"/>
              <w:bottom w:val="single" w:color="000000" w:sz="4" w:space="0"/>
              <w:right w:val="single" w:color="000000" w:sz="4" w:space="0"/>
            </w:tcBorders>
            <w:noWrap/>
            <w:vAlign w:val="center"/>
          </w:tcPr>
          <w:p w14:paraId="1CF70C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215512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广平</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1FC734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苏桥村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965C50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玉米</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BCE81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郑昌标</w:t>
            </w:r>
          </w:p>
        </w:tc>
        <w:tc>
          <w:tcPr>
            <w:tcW w:w="2083" w:type="dxa"/>
            <w:tcBorders>
              <w:top w:val="single" w:color="000000" w:sz="4" w:space="0"/>
              <w:left w:val="single" w:color="000000" w:sz="4" w:space="0"/>
              <w:bottom w:val="single" w:color="000000" w:sz="4" w:space="0"/>
              <w:right w:val="single" w:color="000000" w:sz="4" w:space="0"/>
            </w:tcBorders>
            <w:noWrap/>
            <w:vAlign w:val="center"/>
          </w:tcPr>
          <w:p w14:paraId="6CC464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15059009432</w:t>
            </w:r>
          </w:p>
        </w:tc>
      </w:tr>
    </w:tbl>
    <w:p w14:paraId="61800EA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700" w:lineRule="exact"/>
        <w:jc w:val="both"/>
        <w:textAlignment w:val="baseline"/>
        <w:rPr>
          <w:rFonts w:hint="eastAsia" w:ascii="黑体" w:hAnsi="黑体" w:eastAsia="黑体" w:cs="黑体"/>
          <w:b w:val="0"/>
          <w:bCs w:val="0"/>
          <w:color w:val="000000"/>
          <w:sz w:val="32"/>
          <w:szCs w:val="32"/>
          <w:lang w:val="en-US" w:eastAsia="zh-CN"/>
        </w:rPr>
      </w:pPr>
    </w:p>
    <w:p w14:paraId="60B6CF1D"/>
    <w:sectPr>
      <w:pgSz w:w="11906" w:h="16838"/>
      <w:pgMar w:top="1270" w:right="1701" w:bottom="127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92C78"/>
    <w:rsid w:val="0749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2026-07-09T09:45:00Z</dcterms:created>
  <dc:creator>lfk</dc:creator>
  <cp:lastModifiedBy>lfk</cp:lastModifiedBy>
  <dcterms:modified xsi:type="dcterms:W3CDTF">2026-07-09T09:46:44Z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AC2737345BFA4C519CA4D5792DCE192D_11</vt:lpwstr>
  </property>
  <property fmtid="{D5CDD505-2E9C-101B-9397-08002B2CF9AE}" pid="4" name="KSOTemplateDocerSaveRecord">
    <vt:lpwstr>eyJoZGlkIjoiZmY4NDJkMzIyZGZjYmUyMDBlYzgyZWNhM2M0MjNhMTEiLCJ1c2VySWQiOiIxMjgwMjg5OTkxIn0=</vt:lpwstr>
  </property>
</Properties>
</file>