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05月27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9.96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2.56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0.186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中医院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0.296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0.96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43F30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2023-05-31T03:31:29Z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76B62B33E3DD415898A2D4D11F003765_12</vt:lpwstr>
  </property>
</Properties>
</file>