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11月25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2.53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中医院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696B5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2023-11-27T06:41:31Z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FE68A9E15E9A4D108C0226747FB1E914_12</vt:lpwstr>
  </property>
</Properties>
</file>