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??_GB2312" w:eastAsia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??_GB2312" w:eastAsia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??_GB2312" w:eastAsia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??_GB2312" w:eastAsia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??_GB2312" w:eastAsia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??_GB2312" w:eastAsia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??_GB2312" w:hAnsi="宋体" w:eastAsia="Times New Roman" w:cs="宋体"/>
          <w:bCs/>
          <w:color w:val="000000"/>
          <w:sz w:val="32"/>
          <w:szCs w:val="32"/>
        </w:rPr>
      </w:pPr>
      <w:r>
        <w:rPr>
          <w:rFonts w:ascii="??_GB2312" w:hAnsi="宋体" w:eastAsia="Times New Roman" w:cs="宋体"/>
          <w:bCs/>
          <w:color w:val="000000"/>
          <w:sz w:val="32"/>
          <w:szCs w:val="32"/>
        </w:rPr>
        <w:t>田环批字〔201</w:t>
      </w:r>
      <w:r>
        <w:rPr>
          <w:rFonts w:hint="eastAsia" w:ascii="??_GB2312" w:hAnsi="宋体" w:cs="宋体"/>
          <w:bCs/>
          <w:color w:val="000000"/>
          <w:sz w:val="32"/>
          <w:szCs w:val="32"/>
          <w:lang w:val="en-US" w:eastAsia="zh-CN"/>
        </w:rPr>
        <w:t>9</w:t>
      </w:r>
      <w:r>
        <w:rPr>
          <w:rFonts w:ascii="??_GB2312" w:hAnsi="宋体" w:eastAsia="Times New Roman" w:cs="宋体"/>
          <w:bCs/>
          <w:color w:val="000000"/>
          <w:sz w:val="32"/>
          <w:szCs w:val="32"/>
        </w:rPr>
        <w:t>〕</w:t>
      </w:r>
      <w:r>
        <w:rPr>
          <w:rFonts w:hint="eastAsia" w:ascii="??_GB2312" w:hAnsi="宋体" w:cs="宋体"/>
          <w:bCs/>
          <w:color w:val="000000"/>
          <w:sz w:val="32"/>
          <w:szCs w:val="32"/>
          <w:lang w:val="en-US" w:eastAsia="zh-CN"/>
        </w:rPr>
        <w:t>01</w:t>
      </w:r>
      <w:r>
        <w:rPr>
          <w:rFonts w:ascii="??_GB2312" w:hAnsi="宋体" w:eastAsia="Times New Roman" w:cs="宋体"/>
          <w:bCs/>
          <w:color w:val="000000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left="31680" w:firstLine="31680"/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Fonts w:ascii="方正小标宋简体" w:eastAsia="方正小标宋简体"/>
          <w:spacing w:val="-6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Style w:val="10"/>
          <w:rFonts w:ascii="宋体"/>
          <w:color w:val="000000"/>
          <w:sz w:val="36"/>
          <w:szCs w:val="36"/>
        </w:rPr>
      </w:pPr>
      <w:r>
        <w:rPr>
          <w:rStyle w:val="10"/>
          <w:rFonts w:hint="eastAsia" w:ascii="宋体" w:hAnsi="宋体"/>
          <w:color w:val="000000"/>
          <w:sz w:val="36"/>
          <w:szCs w:val="36"/>
        </w:rPr>
        <w:t>关于《福建省大田县鹭峰矿业有限公司建设年处理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Style w:val="10"/>
          <w:rFonts w:ascii="宋体"/>
          <w:color w:val="000000"/>
          <w:sz w:val="36"/>
          <w:szCs w:val="36"/>
        </w:rPr>
      </w:pPr>
      <w:r>
        <w:rPr>
          <w:rStyle w:val="10"/>
          <w:rFonts w:ascii="宋体" w:hAnsi="宋体"/>
          <w:color w:val="000000"/>
          <w:sz w:val="36"/>
          <w:szCs w:val="36"/>
        </w:rPr>
        <w:t>12</w:t>
      </w:r>
      <w:r>
        <w:rPr>
          <w:rStyle w:val="10"/>
          <w:rFonts w:hint="eastAsia" w:ascii="宋体" w:hAnsi="宋体"/>
          <w:color w:val="000000"/>
          <w:sz w:val="36"/>
          <w:szCs w:val="36"/>
        </w:rPr>
        <w:t>万吨尾矿库综合处理尾矿渣回收氟化钙回采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Style w:val="10"/>
          <w:rFonts w:ascii="宋体"/>
          <w:color w:val="000000"/>
          <w:sz w:val="36"/>
          <w:szCs w:val="36"/>
        </w:rPr>
      </w:pPr>
      <w:r>
        <w:rPr>
          <w:rStyle w:val="10"/>
          <w:rFonts w:hint="eastAsia" w:ascii="宋体" w:hAnsi="宋体"/>
          <w:color w:val="000000"/>
          <w:sz w:val="36"/>
          <w:szCs w:val="36"/>
        </w:rPr>
        <w:t>生产线技改项目环境影响报告表》的批复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福建省大田县鹭峰矿业有限公司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你单位报送由三明市国投环境科技研究有限公司</w:t>
      </w:r>
      <w:r>
        <w:rPr>
          <w:rFonts w:hint="eastAsia" w:ascii="仿宋_GB2312" w:hAnsi="宋体" w:eastAsia="仿宋_GB2312"/>
          <w:bCs/>
          <w:sz w:val="32"/>
          <w:szCs w:val="32"/>
        </w:rPr>
        <w:t>编制的《福建省大田县鹭峰矿业有限公司建设“年处理</w:t>
      </w:r>
      <w:r>
        <w:rPr>
          <w:rFonts w:ascii="仿宋_GB2312" w:hAnsi="宋体" w:eastAsia="仿宋_GB2312"/>
          <w:bCs/>
          <w:sz w:val="32"/>
          <w:szCs w:val="32"/>
        </w:rPr>
        <w:t>12</w:t>
      </w:r>
      <w:r>
        <w:rPr>
          <w:rFonts w:hint="eastAsia" w:ascii="仿宋_GB2312" w:hAnsi="宋体" w:eastAsia="仿宋_GB2312"/>
          <w:bCs/>
          <w:sz w:val="32"/>
          <w:szCs w:val="32"/>
        </w:rPr>
        <w:t>万吨尾矿库综合处理尾矿渣回收氟化钙回采生产线技改项目”环境影响报告表》</w:t>
      </w:r>
      <w:r>
        <w:rPr>
          <w:rFonts w:hint="eastAsia" w:ascii="仿宋_GB2312" w:hAnsi="宋体" w:eastAsia="仿宋_GB2312"/>
          <w:sz w:val="32"/>
          <w:szCs w:val="32"/>
        </w:rPr>
        <w:t>（以下简称《报告表》）和申请审批的报告收悉。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我局于</w:t>
      </w:r>
      <w:r>
        <w:rPr>
          <w:rFonts w:ascii="仿宋_GB2312" w:hAnsi="宋体" w:eastAsia="仿宋_GB2312"/>
          <w:sz w:val="32"/>
          <w:szCs w:val="32"/>
        </w:rPr>
        <w:t>2018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日受理本《报告表》，于</w:t>
      </w:r>
      <w:r>
        <w:rPr>
          <w:rFonts w:ascii="仿宋_GB2312" w:hAnsi="宋体" w:eastAsia="仿宋_GB2312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日至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2019年元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日进行受理公示（</w:t>
      </w:r>
      <w:r>
        <w:rPr>
          <w:rFonts w:ascii="仿宋_GB2312" w:hAnsi="宋体" w:eastAsia="仿宋_GB2312"/>
          <w:sz w:val="32"/>
          <w:szCs w:val="32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个自然日）；于</w:t>
      </w:r>
      <w:r>
        <w:rPr>
          <w:rFonts w:ascii="仿宋_GB2312" w:hAnsi="宋体" w:eastAsia="仿宋_GB2312"/>
          <w:sz w:val="32"/>
          <w:szCs w:val="32"/>
        </w:rPr>
        <w:t>2018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日至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2019年元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日进行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拟审批公</w:t>
      </w:r>
      <w:r>
        <w:rPr>
          <w:rFonts w:hint="eastAsia" w:ascii="仿宋_GB2312" w:hAnsi="宋体" w:eastAsia="仿宋_GB2312"/>
          <w:iCs/>
          <w:color w:val="000000"/>
          <w:sz w:val="32"/>
          <w:szCs w:val="32"/>
        </w:rPr>
        <w:t>示（</w:t>
      </w:r>
      <w:r>
        <w:rPr>
          <w:rFonts w:ascii="仿宋_GB2312" w:hAnsi="宋体" w:eastAsia="仿宋_GB2312"/>
          <w:iCs/>
          <w:color w:val="000000"/>
          <w:sz w:val="32"/>
          <w:szCs w:val="32"/>
        </w:rPr>
        <w:t>5</w:t>
      </w:r>
      <w:r>
        <w:rPr>
          <w:rFonts w:hint="eastAsia" w:ascii="仿宋_GB2312" w:hAnsi="宋体" w:eastAsia="仿宋_GB2312"/>
          <w:iCs/>
          <w:color w:val="000000"/>
          <w:sz w:val="32"/>
          <w:szCs w:val="32"/>
        </w:rPr>
        <w:t>个工作日），</w:t>
      </w:r>
      <w:r>
        <w:rPr>
          <w:rFonts w:ascii="仿宋_GB2312" w:hAnsi="宋体" w:eastAsia="仿宋_GB2312"/>
          <w:iCs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iCs/>
          <w:color w:val="000000"/>
          <w:sz w:val="32"/>
          <w:szCs w:val="32"/>
        </w:rPr>
        <w:t>次公示均在大田县人民政府门户网站上进行。</w:t>
      </w:r>
      <w:r>
        <w:rPr>
          <w:rFonts w:hint="eastAsia" w:ascii="仿宋_GB2312" w:hAnsi="宋体" w:eastAsia="仿宋_GB2312"/>
          <w:sz w:val="32"/>
          <w:szCs w:val="32"/>
        </w:rPr>
        <w:t>上述公示、公开期间，我局未收到关于本《报告表》的意见。根据本项目环评报告结论及行政许可公示情况，经审查研究，批复如下：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80" w:lineRule="exact"/>
        <w:ind w:right="-210" w:rightChars="-100"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你公司未报批环境影响评价文件即擅自进行项目建设</w:t>
      </w:r>
      <w:r>
        <w:rPr>
          <w:rFonts w:hint="eastAsia" w:ascii="仿宋_GB2312" w:hAnsi="宋体" w:eastAsia="仿宋_GB2312"/>
          <w:bCs/>
          <w:sz w:val="32"/>
          <w:szCs w:val="32"/>
        </w:rPr>
        <w:t>，违反了《环境影响评价法》的有关规定，违法行为已经查处。你公司必须认真吸取教训，增强守法意识，维护企业环境信用，杜绝违法行为再次发生。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80" w:lineRule="exact"/>
        <w:ind w:right="-210" w:rightChars="-100" w:firstLine="640" w:firstLineChars="200"/>
        <w:jc w:val="left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该项目位于大田县前坪乡下地村公仔仑，总占地面积</w:t>
      </w:r>
      <w:r>
        <w:rPr>
          <w:rFonts w:ascii="仿宋_GB2312" w:hAnsi="宋体" w:eastAsia="仿宋_GB2312"/>
          <w:sz w:val="32"/>
          <w:szCs w:val="32"/>
        </w:rPr>
        <w:t>6200</w:t>
      </w:r>
      <w:r>
        <w:rPr>
          <w:rFonts w:hint="eastAsia" w:ascii="仿宋_GB2312" w:hAnsi="宋体" w:eastAsia="仿宋_GB2312"/>
          <w:sz w:val="32"/>
          <w:szCs w:val="32"/>
        </w:rPr>
        <w:t>平方米，总投资</w:t>
      </w:r>
      <w:r>
        <w:rPr>
          <w:rFonts w:ascii="仿宋_GB2312" w:hAnsi="宋体" w:eastAsia="仿宋_GB2312"/>
          <w:sz w:val="32"/>
          <w:szCs w:val="32"/>
        </w:rPr>
        <w:t>3080</w:t>
      </w:r>
      <w:r>
        <w:rPr>
          <w:rFonts w:hint="eastAsia" w:ascii="仿宋_GB2312" w:hAnsi="宋体" w:eastAsia="仿宋_GB2312"/>
          <w:sz w:val="32"/>
          <w:szCs w:val="32"/>
        </w:rPr>
        <w:t>万元，其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中环保投资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39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项目在充分利用原选矿项目设施的基础上，主要建设尾矿渣回收氟化钙工程和产品堆场，配套建设尾矿浆浓缩压滤系统、干排尾矿临时堆场、浓缩压滤废水沉淀回用系统、尾矿干排系统及初期雨水收集池等，年处理该公司现有尾矿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库内的尾矿渣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12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万吨。具体项目组成、生产设备及生产工艺详见《报告表》。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《报告表》相关内容表明，项目符合国家产业政策和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大田县城乡规划要求，大田县经济和信息化局于</w:t>
      </w:r>
      <w:r>
        <w:rPr>
          <w:rFonts w:ascii="仿宋_GB2312" w:hAnsi="宋体" w:eastAsia="仿宋_GB2312" w:cs="宋体"/>
          <w:color w:val="000000"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sz w:val="32"/>
          <w:szCs w:val="32"/>
        </w:rPr>
        <w:t>11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月以“闽经贸备</w:t>
      </w:r>
      <w:r>
        <w:rPr>
          <w:rFonts w:ascii="仿宋_GB2312" w:hAnsi="宋体" w:eastAsia="仿宋_GB2312" w:cs="宋体"/>
          <w:color w:val="000000"/>
          <w:sz w:val="32"/>
          <w:szCs w:val="32"/>
        </w:rPr>
        <w:t>[2018]G120023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号”文对该项目进行了备案。</w:t>
      </w:r>
      <w:r>
        <w:rPr>
          <w:rFonts w:hint="eastAsia" w:ascii="仿宋_GB2312" w:hAnsi="宋体" w:eastAsia="仿宋_GB2312"/>
          <w:sz w:val="32"/>
          <w:szCs w:val="32"/>
        </w:rPr>
        <w:t>在全面落实本《报告表》和本批复提出的各项环境保护措施的前提下，项目建设对环境的影响可得到缓解和控制。因此，从环保角度分析，我局原则同意《报告表》中所列建设项目的性质、规模、地点、工艺和拟采取的环境保护对策措施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三、</w:t>
      </w:r>
      <w:r>
        <w:rPr>
          <w:rFonts w:hint="eastAsia" w:ascii="仿宋_GB2312" w:hAnsi="宋体" w:eastAsia="仿宋_GB2312"/>
          <w:sz w:val="32"/>
          <w:szCs w:val="32"/>
        </w:rPr>
        <w:t>项目设计、建设及运营过程中，你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/>
          <w:sz w:val="32"/>
          <w:szCs w:val="32"/>
        </w:rPr>
        <w:t>应全面落实本《报告表》及本批复提出的各项环保措施要求，重点做好如下工作：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ascii="仿宋_GB2312" w:hAnsi="宋体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水污染防治。按照“雨污分流、清污分流”的原则，规范建设完善的废水收集、处理、回用系统。各类生产废水经处理后全部循环回用，不外排；生活污水经处理达到《农田灌溉水质标准》（</w:t>
      </w:r>
      <w:r>
        <w:rPr>
          <w:rFonts w:ascii="仿宋_GB2312" w:hAnsi="宋体" w:eastAsia="仿宋_GB2312"/>
          <w:bCs/>
          <w:color w:val="000000"/>
          <w:sz w:val="32"/>
          <w:szCs w:val="32"/>
        </w:rPr>
        <w:t>GB5084-2005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）中的“旱作”标准后用于周边林地灌溉。</w:t>
      </w:r>
    </w:p>
    <w:p>
      <w:pPr>
        <w:pStyle w:val="25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hint="eastAsia" w:ascii="仿宋_GB2312" w:hAnsi="宋体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2.大气污染防治。厂房须用钢结构进行搭建，四周须设置围堰，易产生粉尘的节点须采取相应的除尘、抑尘措施，防止粉尘对周边环境造成影响。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hAnsi="宋体" w:eastAsia="仿宋_GB2312"/>
          <w:bCs/>
          <w:color w:val="000000"/>
          <w:sz w:val="32"/>
          <w:szCs w:val="32"/>
        </w:rPr>
        <w:t>3.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噪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声污染防治。优化项目平面布局，选用低噪声设备，对高噪声设备采取消声、减振、隔声等综合降噪措施，确保厂界噪声排放满足《工业企业厂界环境噪声排放标准》（</w:t>
      </w:r>
      <w:r>
        <w:rPr>
          <w:rFonts w:ascii="仿宋_GB2312" w:eastAsia="仿宋_GB2312"/>
          <w:bCs/>
          <w:color w:val="000000"/>
          <w:sz w:val="32"/>
          <w:szCs w:val="32"/>
        </w:rPr>
        <w:t>GB12348-2008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）表</w:t>
      </w:r>
      <w:r>
        <w:rPr>
          <w:rFonts w:ascii="仿宋_GB2312" w:eastAsia="仿宋_GB2312"/>
          <w:bCs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中的</w:t>
      </w:r>
      <w:r>
        <w:rPr>
          <w:rFonts w:ascii="仿宋_GB2312" w:eastAsia="仿宋_GB2312"/>
          <w:bCs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类标准要求。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固体废物分类处置。按“资源化、减量化、无害化”处理原则，落实固废分类收集、处置和综合利用措施。尾矿干渣应及时全部外售综合利用，严禁长期堆存；废机油等危险废物定期交由有资质的单位处置；生活垃圾集中收集后交由环卫部门清运处理。运营期固废处置率须达</w:t>
      </w:r>
      <w:r>
        <w:rPr>
          <w:rFonts w:ascii="仿宋_GB2312" w:eastAsia="仿宋_GB2312"/>
          <w:sz w:val="32"/>
          <w:szCs w:val="32"/>
        </w:rPr>
        <w:t>100%</w:t>
      </w:r>
      <w:r>
        <w:rPr>
          <w:rFonts w:hint="eastAsia" w:ascii="仿宋_GB2312" w:eastAsia="仿宋_GB2312"/>
          <w:sz w:val="32"/>
          <w:szCs w:val="32"/>
        </w:rPr>
        <w:t>。一般固体废物执行《一般工业固体废物贮存、处置场污染控制标准》（</w:t>
      </w:r>
      <w:r>
        <w:rPr>
          <w:rFonts w:ascii="仿宋_GB2312" w:eastAsia="仿宋_GB2312"/>
          <w:sz w:val="32"/>
          <w:szCs w:val="32"/>
        </w:rPr>
        <w:t>GB18599-2001</w:t>
      </w:r>
      <w:r>
        <w:rPr>
          <w:rFonts w:hint="eastAsia" w:ascii="仿宋_GB2312" w:eastAsia="仿宋_GB2312"/>
          <w:sz w:val="32"/>
          <w:szCs w:val="32"/>
        </w:rPr>
        <w:t>）及</w:t>
      </w:r>
      <w:r>
        <w:rPr>
          <w:rFonts w:ascii="仿宋_GB2312" w:eastAsia="仿宋_GB2312"/>
          <w:sz w:val="32"/>
          <w:szCs w:val="32"/>
        </w:rPr>
        <w:t>2013</w:t>
      </w:r>
      <w:r>
        <w:rPr>
          <w:rFonts w:hint="eastAsia" w:ascii="仿宋_GB2312" w:eastAsia="仿宋_GB2312"/>
          <w:sz w:val="32"/>
          <w:szCs w:val="32"/>
        </w:rPr>
        <w:t>修改单；危险废物执行《危险废物贮存污染物控制标准》（</w:t>
      </w:r>
      <w:r>
        <w:rPr>
          <w:rFonts w:ascii="仿宋_GB2312" w:eastAsia="仿宋_GB2312"/>
          <w:sz w:val="32"/>
          <w:szCs w:val="32"/>
        </w:rPr>
        <w:t>GB18597-2001</w:t>
      </w:r>
      <w:r>
        <w:rPr>
          <w:rFonts w:hint="eastAsia" w:ascii="仿宋_GB2312" w:eastAsia="仿宋_GB2312"/>
          <w:sz w:val="32"/>
          <w:szCs w:val="32"/>
        </w:rPr>
        <w:t>）及</w:t>
      </w:r>
      <w:r>
        <w:rPr>
          <w:rFonts w:ascii="仿宋_GB2312" w:eastAsia="仿宋_GB2312"/>
          <w:sz w:val="32"/>
          <w:szCs w:val="32"/>
        </w:rPr>
        <w:t>2013</w:t>
      </w:r>
      <w:r>
        <w:rPr>
          <w:rFonts w:hint="eastAsia" w:ascii="仿宋_GB2312" w:eastAsia="仿宋_GB2312"/>
          <w:sz w:val="32"/>
          <w:szCs w:val="32"/>
        </w:rPr>
        <w:t>年修改单。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bCs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环境风险防范。</w:t>
      </w:r>
      <w:r>
        <w:rPr>
          <w:rFonts w:hint="eastAsia" w:ascii="仿宋_GB2312" w:hAnsi="Calibri" w:eastAsia="仿宋_GB2312" w:cs="宋体"/>
          <w:color w:val="000000"/>
          <w:kern w:val="2"/>
          <w:sz w:val="32"/>
          <w:szCs w:val="32"/>
          <w:lang w:val="en-US" w:eastAsia="zh-CN" w:bidi="ar-SA"/>
        </w:rPr>
        <w:t>全面落实各项环境风险防范措施，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制定环境应急预案，加强环境应急演练，并与原选矿项目预案及当地政府相关预案衔接。适时开展环境监测，坚决杜绝非正常排放情况的发生。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环境信息公开。项目施工和运行过程中，应根据《建设项目环境影响评价信息公开机制方案》的要求，定期发布项目环境信息，主动接受社会监督。建立与公众信息沟通和意见反馈机制，对于公众反映的建设项目有关环境问题，给予及时妥善的解决。</w:t>
      </w:r>
    </w:p>
    <w:bookmarkEnd w:id="0"/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四、项目涉及其他部门的事项，应向相关主管部门提出申请，并按批准意见执行。清库期间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及清库后，未经审批，</w:t>
      </w:r>
      <w:r>
        <w:rPr>
          <w:rFonts w:hint="eastAsia" w:ascii="仿宋_GB2312" w:hAnsi="宋体" w:eastAsia="仿宋_GB2312"/>
          <w:sz w:val="32"/>
          <w:szCs w:val="32"/>
        </w:rPr>
        <w:t>禁止向尾矿库内排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放</w:t>
      </w:r>
      <w:r>
        <w:rPr>
          <w:rFonts w:hint="eastAsia" w:ascii="仿宋_GB2312" w:hAnsi="宋体" w:eastAsia="仿宋_GB2312"/>
          <w:sz w:val="32"/>
          <w:szCs w:val="32"/>
        </w:rPr>
        <w:t>任何的废渣、废液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五、项目建设必须严格执行配套的环境保护设施与主体工程同时设计、同时施工、同时投入使用的环境保护“三同时”制度。须按规定程序实施竣工环境保护验收。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六、本次批复只对本《报告表》有效，若项目的性质、地点、规模、工艺以及污染防治措施等发生重大变更时，特别是不利环境影响加重的，应重新报批环评文件。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七、我局委托大田县环境监察大队组织开展该项目环保“三同时”监督检查和日常监督管理工作。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316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八、如你单位在办理该项目环评审批手续过程中存在瞒报、谎报等欺骗行为，依据《中华人民共和国行政许可法》第六十九条的规定，我局有权撤销本批复，由此造成的一切后果由你单位承担。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大田县环境保护局</w:t>
      </w:r>
    </w:p>
    <w:p>
      <w:pPr>
        <w:pStyle w:val="2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5600" w:firstLineChars="1750"/>
        <w:rPr>
          <w:rFonts w:ascii="??_GB2312" w:hAnsi="宋体" w:eastAsia="Times New Roman"/>
          <w:bCs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元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- 4 -</w:t>
    </w:r>
    <w:r>
      <w:rPr>
        <w:rStyle w:val="1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119F"/>
    <w:multiLevelType w:val="singleLevel"/>
    <w:tmpl w:val="2FDC119F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376"/>
    <w:rsid w:val="00002001"/>
    <w:rsid w:val="00003AB2"/>
    <w:rsid w:val="00090954"/>
    <w:rsid w:val="00134F81"/>
    <w:rsid w:val="00137E19"/>
    <w:rsid w:val="00161D29"/>
    <w:rsid w:val="00174552"/>
    <w:rsid w:val="00184E7D"/>
    <w:rsid w:val="001A1704"/>
    <w:rsid w:val="001A78BA"/>
    <w:rsid w:val="001B3B8F"/>
    <w:rsid w:val="001B5332"/>
    <w:rsid w:val="001D1EB9"/>
    <w:rsid w:val="00212983"/>
    <w:rsid w:val="00244844"/>
    <w:rsid w:val="0024545E"/>
    <w:rsid w:val="002D3CAE"/>
    <w:rsid w:val="003550E6"/>
    <w:rsid w:val="0038238B"/>
    <w:rsid w:val="003D2FF7"/>
    <w:rsid w:val="003D4376"/>
    <w:rsid w:val="0043087D"/>
    <w:rsid w:val="0043489E"/>
    <w:rsid w:val="004A0964"/>
    <w:rsid w:val="004C6A4A"/>
    <w:rsid w:val="004D2CFE"/>
    <w:rsid w:val="00596A78"/>
    <w:rsid w:val="005C130E"/>
    <w:rsid w:val="005E6BE9"/>
    <w:rsid w:val="005F4A6B"/>
    <w:rsid w:val="00643D47"/>
    <w:rsid w:val="00660BA6"/>
    <w:rsid w:val="00696629"/>
    <w:rsid w:val="006C3501"/>
    <w:rsid w:val="00707AD9"/>
    <w:rsid w:val="0076003F"/>
    <w:rsid w:val="0079137E"/>
    <w:rsid w:val="007C25B2"/>
    <w:rsid w:val="007F0905"/>
    <w:rsid w:val="007F37F6"/>
    <w:rsid w:val="008A6446"/>
    <w:rsid w:val="00965DC0"/>
    <w:rsid w:val="009E7259"/>
    <w:rsid w:val="00A0349A"/>
    <w:rsid w:val="00A060D2"/>
    <w:rsid w:val="00A3721F"/>
    <w:rsid w:val="00AA4D40"/>
    <w:rsid w:val="00AB6A40"/>
    <w:rsid w:val="00AE0216"/>
    <w:rsid w:val="00AF26F6"/>
    <w:rsid w:val="00B10738"/>
    <w:rsid w:val="00B13A91"/>
    <w:rsid w:val="00B30C9C"/>
    <w:rsid w:val="00B43373"/>
    <w:rsid w:val="00BA1AE5"/>
    <w:rsid w:val="00C02B22"/>
    <w:rsid w:val="00C66653"/>
    <w:rsid w:val="00D202EB"/>
    <w:rsid w:val="00D86A10"/>
    <w:rsid w:val="00DA1D3B"/>
    <w:rsid w:val="00E239BD"/>
    <w:rsid w:val="00E54165"/>
    <w:rsid w:val="00E81319"/>
    <w:rsid w:val="00EE0553"/>
    <w:rsid w:val="00EF379D"/>
    <w:rsid w:val="00EF7237"/>
    <w:rsid w:val="00F116E8"/>
    <w:rsid w:val="00F8614D"/>
    <w:rsid w:val="00F91624"/>
    <w:rsid w:val="00FE6527"/>
    <w:rsid w:val="071709E6"/>
    <w:rsid w:val="0A14387D"/>
    <w:rsid w:val="0C4D1417"/>
    <w:rsid w:val="14EA7A88"/>
    <w:rsid w:val="153B56CE"/>
    <w:rsid w:val="23256164"/>
    <w:rsid w:val="25971EF3"/>
    <w:rsid w:val="29A977EA"/>
    <w:rsid w:val="2C3E68CC"/>
    <w:rsid w:val="2CAA663F"/>
    <w:rsid w:val="389E6E08"/>
    <w:rsid w:val="3E28759F"/>
    <w:rsid w:val="3F642291"/>
    <w:rsid w:val="41D85ACD"/>
    <w:rsid w:val="424D1447"/>
    <w:rsid w:val="469D06E7"/>
    <w:rsid w:val="4A9C7239"/>
    <w:rsid w:val="4D54690C"/>
    <w:rsid w:val="51F9232A"/>
    <w:rsid w:val="53840FDE"/>
    <w:rsid w:val="64381944"/>
    <w:rsid w:val="6F50267D"/>
    <w:rsid w:val="719730D5"/>
    <w:rsid w:val="7D11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link w:val="14"/>
    <w:semiHidden/>
    <w:uiPriority w:val="99"/>
    <w:pPr>
      <w:spacing w:after="120"/>
      <w:ind w:left="420" w:leftChars="200"/>
    </w:pPr>
  </w:style>
  <w:style w:type="paragraph" w:styleId="4">
    <w:name w:val="annotation text"/>
    <w:basedOn w:val="1"/>
    <w:link w:val="16"/>
    <w:semiHidden/>
    <w:qFormat/>
    <w:uiPriority w:val="99"/>
    <w:pPr>
      <w:spacing w:line="480" w:lineRule="atLeast"/>
      <w:ind w:firstLine="567"/>
      <w:jc w:val="left"/>
    </w:pPr>
    <w:rPr>
      <w:rFonts w:ascii="Times New Roman" w:hAnsi="Times New Roman"/>
      <w:sz w:val="28"/>
      <w:szCs w:val="2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99"/>
    <w:rPr>
      <w:rFonts w:cs="Times New Roman"/>
      <w:b/>
      <w:bCs/>
      <w:sz w:val="24"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</w:rPr>
  </w:style>
  <w:style w:type="character" w:customStyle="1" w:styleId="14">
    <w:name w:val="Body Text Indent Char"/>
    <w:basedOn w:val="9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5">
    <w:name w:val="Body Text First Indent 2 Char"/>
    <w:basedOn w:val="14"/>
    <w:link w:val="2"/>
    <w:semiHidden/>
    <w:qFormat/>
    <w:locked/>
    <w:uiPriority w:val="99"/>
    <w:rPr>
      <w:rFonts w:ascii="Times New Roman" w:hAnsi="Times New Roman"/>
    </w:rPr>
  </w:style>
  <w:style w:type="character" w:customStyle="1" w:styleId="16">
    <w:name w:val="Comment Text Char"/>
    <w:basedOn w:val="9"/>
    <w:link w:val="4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7">
    <w:name w:val="Balloon Text Char"/>
    <w:basedOn w:val="9"/>
    <w:link w:val="5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Footer Char"/>
    <w:basedOn w:val="9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Header Char"/>
    <w:basedOn w:val="9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正文(首行缩进)"/>
    <w:basedOn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kern w:val="0"/>
      <w:sz w:val="24"/>
      <w:szCs w:val="24"/>
    </w:rPr>
  </w:style>
  <w:style w:type="paragraph" w:customStyle="1" w:styleId="21">
    <w:name w:val="默认段落字体 Para Char Char Char Char"/>
    <w:basedOn w:val="1"/>
    <w:qFormat/>
    <w:uiPriority w:val="99"/>
    <w:rPr>
      <w:sz w:val="24"/>
    </w:rPr>
  </w:style>
  <w:style w:type="paragraph" w:customStyle="1" w:styleId="22">
    <w:name w:val="规范正文L"/>
    <w:basedOn w:val="1"/>
    <w:qFormat/>
    <w:uiPriority w:val="99"/>
    <w:pPr>
      <w:topLinePunct/>
      <w:spacing w:line="360" w:lineRule="auto"/>
      <w:ind w:firstLine="480" w:firstLineChars="200"/>
      <w:textAlignment w:val="baseline"/>
    </w:pPr>
    <w:rPr>
      <w:rFonts w:cs="宋体"/>
      <w:color w:val="000000"/>
      <w:sz w:val="24"/>
      <w:szCs w:val="20"/>
    </w:rPr>
  </w:style>
  <w:style w:type="paragraph" w:customStyle="1" w:styleId="23">
    <w:name w:val="111正文格式111"/>
    <w:basedOn w:val="1"/>
    <w:link w:val="24"/>
    <w:qFormat/>
    <w:uiPriority w:val="99"/>
    <w:pPr>
      <w:spacing w:line="360" w:lineRule="auto"/>
      <w:ind w:firstLine="480" w:firstLineChars="200"/>
    </w:pPr>
    <w:rPr>
      <w:rFonts w:ascii="Times New Roman" w:hAnsi="Times New Roman"/>
      <w:sz w:val="24"/>
      <w:szCs w:val="20"/>
    </w:rPr>
  </w:style>
  <w:style w:type="character" w:customStyle="1" w:styleId="24">
    <w:name w:val="111正文格式111 Char"/>
    <w:link w:val="23"/>
    <w:qFormat/>
    <w:locked/>
    <w:uiPriority w:val="99"/>
    <w:rPr>
      <w:rFonts w:eastAsia="宋体"/>
      <w:kern w:val="2"/>
      <w:sz w:val="24"/>
    </w:rPr>
  </w:style>
  <w:style w:type="paragraph" w:customStyle="1" w:styleId="25">
    <w:name w:val="000正文abing(新)"/>
    <w:basedOn w:val="1"/>
    <w:link w:val="26"/>
    <w:uiPriority w:val="99"/>
    <w:pPr>
      <w:widowControl/>
      <w:spacing w:line="440" w:lineRule="exact"/>
      <w:ind w:firstLine="480" w:firstLineChars="200"/>
    </w:pPr>
  </w:style>
  <w:style w:type="character" w:customStyle="1" w:styleId="26">
    <w:name w:val="000正文abing(新) Char"/>
    <w:link w:val="25"/>
    <w:locked/>
    <w:uiPriority w:val="99"/>
    <w:rPr>
      <w:rFonts w:ascii="Calibri" w:hAnsi="Calibri" w:eastAsia="宋体"/>
      <w:kern w:val="2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294</Words>
  <Characters>1676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2018-12-03T00:50:00Z</dcterms:created>
  <dc:creator>微软用户</dc:creator>
  <cp:lastModifiedBy>Administrator</cp:lastModifiedBy>
  <cp:lastPrinted>2018-12-21T08:28:00Z</cp:lastPrinted>
  <dcterms:modified xsi:type="dcterms:W3CDTF">2018-12-24T02:26:27Z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