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 w:right="1324" w:firstLine="0"/>
        <w:jc w:val="center"/>
        <w:rPr>
          <w:color w:val="000000" w:themeColor="text1"/>
          <w:lang w:eastAsia="zh-CN"/>
        </w:rPr>
      </w:pPr>
    </w:p>
    <w:p>
      <w:pPr>
        <w:pStyle w:val="3"/>
        <w:spacing w:before="0"/>
        <w:ind w:left="0" w:right="1324" w:firstLine="0"/>
        <w:jc w:val="center"/>
        <w:rPr>
          <w:color w:val="000000" w:themeColor="text1"/>
          <w:lang w:eastAsia="zh-CN"/>
        </w:rPr>
      </w:pPr>
    </w:p>
    <w:p>
      <w:pPr>
        <w:pStyle w:val="3"/>
        <w:spacing w:before="0"/>
        <w:ind w:left="0" w:right="1324" w:firstLine="0"/>
        <w:jc w:val="center"/>
        <w:rPr>
          <w:color w:val="000000" w:themeColor="text1"/>
          <w:lang w:eastAsia="zh-CN"/>
        </w:rPr>
      </w:pPr>
    </w:p>
    <w:p>
      <w:pPr>
        <w:pStyle w:val="3"/>
        <w:spacing w:before="0"/>
        <w:ind w:left="0" w:right="1324" w:firstLine="0"/>
        <w:jc w:val="center"/>
        <w:rPr>
          <w:color w:val="000000" w:themeColor="text1"/>
          <w:lang w:eastAsia="zh-CN"/>
        </w:rPr>
      </w:pPr>
    </w:p>
    <w:p>
      <w:pPr>
        <w:pStyle w:val="3"/>
        <w:spacing w:before="0"/>
        <w:ind w:left="0" w:right="1324" w:firstLine="0"/>
        <w:jc w:val="center"/>
        <w:rPr>
          <w:color w:val="000000" w:themeColor="text1"/>
          <w:lang w:eastAsia="zh-CN"/>
        </w:rPr>
      </w:pPr>
    </w:p>
    <w:p>
      <w:pPr>
        <w:pStyle w:val="3"/>
        <w:spacing w:before="0"/>
        <w:ind w:left="0" w:right="1324" w:firstLine="0"/>
        <w:jc w:val="center"/>
        <w:rPr>
          <w:color w:val="000000" w:themeColor="text1"/>
          <w:lang w:eastAsia="zh-CN"/>
        </w:rPr>
      </w:pPr>
    </w:p>
    <w:p>
      <w:pPr>
        <w:spacing w:line="580" w:lineRule="exact"/>
        <w:jc w:val="center"/>
        <w:rPr>
          <w:rFonts w:hint="eastAsia" w:ascii="仿宋_GB2312" w:hAnsi="宋体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田环批字〔2019〕13号</w:t>
      </w:r>
    </w:p>
    <w:p>
      <w:pPr>
        <w:pStyle w:val="3"/>
        <w:spacing w:before="0"/>
        <w:ind w:left="1324" w:right="1324" w:firstLine="0"/>
        <w:jc w:val="center"/>
        <w:rPr>
          <w:color w:val="000000" w:themeColor="text1"/>
          <w:lang w:eastAsia="zh-CN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eastAsia="zh-CN"/>
        </w:rPr>
      </w:pPr>
      <w:r>
        <w:rPr>
          <w:rStyle w:val="10"/>
          <w:rFonts w:hint="eastAsia" w:ascii="仿宋_GB2312" w:hAnsi="Calibri" w:eastAsia="仿宋_GB2312"/>
          <w:color w:val="000000" w:themeColor="text1"/>
          <w:sz w:val="44"/>
          <w:szCs w:val="44"/>
          <w:lang w:eastAsia="zh-CN"/>
        </w:rPr>
        <w:t>关于《</w:t>
      </w:r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eastAsia="zh-CN"/>
        </w:rPr>
        <w:t>大田县张地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eastAsia="zh-CN"/>
        </w:rPr>
        <w:t>村至西埔村道路工程</w:t>
      </w:r>
    </w:p>
    <w:p>
      <w:pPr>
        <w:spacing w:line="600" w:lineRule="exact"/>
        <w:jc w:val="center"/>
        <w:rPr>
          <w:rStyle w:val="10"/>
          <w:rFonts w:hint="eastAsia" w:ascii="仿宋_GB2312" w:hAnsi="Calibri" w:eastAsia="仿宋_GB2312"/>
          <w:color w:val="000000" w:themeColor="text1"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eastAsia="zh-CN"/>
        </w:rPr>
        <w:t>建设项目</w:t>
      </w:r>
      <w:r>
        <w:rPr>
          <w:rStyle w:val="10"/>
          <w:rFonts w:hint="eastAsia" w:ascii="仿宋_GB2312" w:hAnsi="Calibri" w:eastAsia="仿宋_GB2312"/>
          <w:color w:val="000000" w:themeColor="text1"/>
          <w:sz w:val="44"/>
          <w:szCs w:val="44"/>
          <w:lang w:eastAsia="zh-CN"/>
        </w:rPr>
        <w:t>环境影响报告表》的批复</w:t>
      </w:r>
    </w:p>
    <w:p>
      <w:pPr>
        <w:pStyle w:val="2"/>
        <w:jc w:val="center"/>
        <w:rPr>
          <w:rStyle w:val="10"/>
          <w:rFonts w:hint="eastAsia" w:ascii="仿宋_GB2312" w:hAnsi="Calibri" w:eastAsia="仿宋_GB2312"/>
          <w:color w:val="000000" w:themeColor="text1"/>
          <w:sz w:val="44"/>
          <w:szCs w:val="44"/>
          <w:lang w:eastAsia="zh-CN"/>
        </w:rPr>
      </w:pPr>
    </w:p>
    <w:p>
      <w:pPr>
        <w:pStyle w:val="3"/>
        <w:spacing w:before="0" w:line="360" w:lineRule="auto"/>
        <w:ind w:left="0" w:firstLine="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大田县太华镇人民政府：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你单位报送由三明市国投环境科技研究有限公司编制的《大田县张地村至西铺村道路建设项目环境影响报告表》（以下简称《报告表》）和申请审批的《报告》收悉。我局于</w:t>
      </w:r>
      <w:r>
        <w:rPr>
          <w:rFonts w:ascii="仿宋_GB2312" w:eastAsia="仿宋_GB2312"/>
          <w:color w:val="000000" w:themeColor="text1"/>
          <w:kern w:val="2"/>
          <w:lang w:eastAsia="zh-CN"/>
        </w:rPr>
        <w:t>2019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年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月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15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日受理本《报告表》，于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月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15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日至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月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28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日进行受理公示（</w:t>
      </w:r>
      <w:r>
        <w:rPr>
          <w:rFonts w:ascii="仿宋_GB2312" w:eastAsia="仿宋_GB2312"/>
          <w:color w:val="000000" w:themeColor="text1"/>
          <w:kern w:val="2"/>
          <w:lang w:eastAsia="zh-CN"/>
        </w:rPr>
        <w:t>10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个工作日）；于</w:t>
      </w:r>
      <w:r>
        <w:rPr>
          <w:rFonts w:ascii="仿宋_GB2312" w:eastAsia="仿宋_GB2312"/>
          <w:color w:val="000000" w:themeColor="text1"/>
          <w:kern w:val="2"/>
          <w:lang w:eastAsia="zh-CN"/>
        </w:rPr>
        <w:t>2019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年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月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22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日至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月</w:t>
      </w: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28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日进行拟批公示（</w:t>
      </w:r>
      <w:r>
        <w:rPr>
          <w:rFonts w:ascii="仿宋_GB2312" w:eastAsia="仿宋_GB2312"/>
          <w:color w:val="000000" w:themeColor="text1"/>
          <w:kern w:val="2"/>
          <w:lang w:eastAsia="zh-CN"/>
        </w:rPr>
        <w:t>5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个工作日），</w:t>
      </w:r>
      <w:r>
        <w:rPr>
          <w:rFonts w:ascii="仿宋_GB2312" w:eastAsia="仿宋_GB2312"/>
          <w:color w:val="000000" w:themeColor="text1"/>
          <w:kern w:val="2"/>
          <w:lang w:eastAsia="zh-CN"/>
        </w:rPr>
        <w:t>2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次公示均在大田县人民政府门户网站上进行。上述公示、公开期间，我局未收到关于本《报告表》的意见。根据本项目环评报告结论及行政许可公示反馈情况，经审查研究，批复如下</w:t>
      </w:r>
      <w:r>
        <w:rPr>
          <w:rFonts w:ascii="仿宋_GB2312" w:eastAsia="仿宋_GB2312"/>
          <w:color w:val="000000" w:themeColor="text1"/>
          <w:kern w:val="2"/>
          <w:lang w:eastAsia="zh-CN"/>
        </w:rPr>
        <w:t>: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一、项目位于大田县太华镇张地村至西铺村，占地面积约</w:t>
      </w:r>
      <w:r>
        <w:rPr>
          <w:rFonts w:ascii="仿宋_GB2312" w:eastAsia="仿宋_GB2312"/>
          <w:color w:val="000000" w:themeColor="text1"/>
          <w:kern w:val="2"/>
          <w:lang w:eastAsia="zh-CN"/>
        </w:rPr>
        <w:t>141.96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亩，总投资</w:t>
      </w:r>
      <w:r>
        <w:rPr>
          <w:rFonts w:ascii="仿宋_GB2312" w:eastAsia="仿宋_GB2312"/>
          <w:color w:val="000000" w:themeColor="text1"/>
          <w:kern w:val="2"/>
          <w:lang w:eastAsia="zh-CN"/>
        </w:rPr>
        <w:t>4263.3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万元，其中环保投资</w:t>
      </w:r>
      <w:r>
        <w:rPr>
          <w:rFonts w:ascii="仿宋_GB2312" w:eastAsia="仿宋_GB2312"/>
          <w:color w:val="000000" w:themeColor="text1"/>
          <w:kern w:val="2"/>
          <w:lang w:eastAsia="zh-CN"/>
        </w:rPr>
        <w:t>48.3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万元。项目路线全长</w:t>
      </w:r>
      <w:r>
        <w:rPr>
          <w:rFonts w:ascii="仿宋_GB2312" w:eastAsia="仿宋_GB2312"/>
          <w:color w:val="000000" w:themeColor="text1"/>
          <w:kern w:val="2"/>
          <w:lang w:eastAsia="zh-CN"/>
        </w:rPr>
        <w:t>4.764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公里，桩号</w:t>
      </w:r>
      <w:r>
        <w:rPr>
          <w:rFonts w:ascii="仿宋_GB2312" w:eastAsia="仿宋_GB2312"/>
          <w:color w:val="000000" w:themeColor="text1"/>
          <w:kern w:val="2"/>
          <w:lang w:eastAsia="zh-CN"/>
        </w:rPr>
        <w:t>K0+000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～</w:t>
      </w:r>
      <w:r>
        <w:rPr>
          <w:rFonts w:ascii="仿宋_GB2312" w:eastAsia="仿宋_GB2312"/>
          <w:color w:val="000000" w:themeColor="text1"/>
          <w:kern w:val="2"/>
          <w:lang w:eastAsia="zh-CN"/>
        </w:rPr>
        <w:t>K4+763.67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。项目路线起点位于太华镇张地村水尾，与现状水尾桥相接，路线顺着张地至西埔现有河道沿山体布线，终点至西埔村南山电站桥头。项目按交通部颁三级公路标准建设，双向两车道，设计速度</w:t>
      </w:r>
      <w:r>
        <w:rPr>
          <w:rFonts w:ascii="仿宋_GB2312" w:eastAsia="仿宋_GB2312"/>
          <w:color w:val="000000" w:themeColor="text1"/>
          <w:kern w:val="2"/>
          <w:lang w:eastAsia="zh-CN"/>
        </w:rPr>
        <w:t>30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公里</w:t>
      </w:r>
      <w:r>
        <w:rPr>
          <w:rFonts w:ascii="仿宋_GB2312" w:eastAsia="仿宋_GB2312"/>
          <w:color w:val="000000" w:themeColor="text1"/>
          <w:kern w:val="2"/>
          <w:lang w:eastAsia="zh-CN"/>
        </w:rPr>
        <w:t>/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小时，路基宽</w:t>
      </w:r>
      <w:r>
        <w:rPr>
          <w:rFonts w:ascii="仿宋_GB2312" w:eastAsia="仿宋_GB2312"/>
          <w:color w:val="000000" w:themeColor="text1"/>
          <w:kern w:val="2"/>
          <w:lang w:eastAsia="zh-CN"/>
        </w:rPr>
        <w:t>7.5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米，路面宽</w:t>
      </w:r>
      <w:r>
        <w:rPr>
          <w:rFonts w:ascii="仿宋_GB2312" w:eastAsia="仿宋_GB2312"/>
          <w:color w:val="000000" w:themeColor="text1"/>
          <w:kern w:val="2"/>
          <w:lang w:eastAsia="zh-CN"/>
        </w:rPr>
        <w:t>6.5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米，两侧设硬路肩，采用水泥混凝土路面，汽车荷载等级为公路－Ⅱ级。具体建设内容及技术指标详见《报告表》。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本项目《报告表》内容表明，项目符合国家产业政策，符合大田县土地利用总体规划和《大田县农村公路路网规划》要求。在全面落实本《报告表》和批复提出的各项环境保护措施的前提下，项目建设对环境的影响可得到缓解和控制。因此，从环保角度分析，我局原则同意《报告表》中所列建设项目的性质、规模、地点、工艺和拟采取的环境保护对策措施。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二、项目设计、建设及运营过程中，你单位应全面落实本《报告表》及本批复提出的各项环保措施要求，重点做好如下工作：</w:t>
      </w:r>
    </w:p>
    <w:p>
      <w:pPr>
        <w:pStyle w:val="16"/>
        <w:ind w:firstLine="31680"/>
        <w:rPr>
          <w:rFonts w:ascii="仿宋_GB2312" w:hAnsi="仿宋" w:eastAsia="仿宋_GB2312"/>
          <w:color w:val="000000" w:themeColor="text1"/>
          <w:sz w:val="32"/>
          <w:szCs w:val="32"/>
          <w:lang w:eastAsia="zh-CN"/>
        </w:rPr>
      </w:pPr>
      <w:r>
        <w:rPr>
          <w:rFonts w:ascii="仿宋_GB2312" w:eastAsia="仿宋_GB2312"/>
          <w:color w:val="000000" w:themeColor="text1"/>
          <w:kern w:val="2"/>
          <w:sz w:val="32"/>
          <w:szCs w:val="32"/>
          <w:lang w:eastAsia="zh-CN"/>
        </w:rPr>
        <w:t>1.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生态环境保护。优化线路走向，严格控制施工活动范围，减少植被破坏和土地扰动面积；科学布置取弃土场、物料堆场、施工营地及施工便道，减少土地的征占用。严格控制路基开挖作业面，做好表土的剥离及综合利用和边坡防护工作。路线经过水田路段，应尽量收缩路基边坡，禁止取用水田土壤。加强防火教育，防止人为原因导致森林火灾的发生。施工结束后，对施工临时占地进行复垦或植被恢复，减轻对生态环境影响。</w:t>
      </w:r>
    </w:p>
    <w:p>
      <w:pPr>
        <w:pStyle w:val="16"/>
        <w:ind w:firstLine="31680"/>
        <w:rPr>
          <w:rFonts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  <w:t>2.</w:t>
      </w: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  <w:t>水污染防治。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施工废水经隔油、沉淀处理后回用，不外排；施工</w:t>
      </w: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  <w:t>生活污水经化粪池处理后用于周边林地灌溉。落实桥梁施工的各项环境保护措施，确保施工不对河流水环境安全和水质产生影响。运营期须加强道路排水设施的管理，确保畅通。</w:t>
      </w:r>
    </w:p>
    <w:p>
      <w:pPr>
        <w:pStyle w:val="8"/>
        <w:spacing w:before="0" w:beforeAutospacing="0" w:after="0" w:afterAutospacing="0" w:line="600" w:lineRule="exact"/>
        <w:ind w:firstLine="640"/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3.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大气污染防治。项目不得设置混凝土拌合站。施工过程中易产生粉尘的节点须采取相应的除尘、抑尘设施，减少粉尘排放；车辆运输应密闭或加盖苫布，厂区内的道路须硬化、定期洒水。粉尘排放执行《大气污染物综合排放标准》</w:t>
      </w: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(GB16297-1996)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表</w:t>
      </w: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2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颗粒物无组织排放监控浓度限值。</w:t>
      </w:r>
    </w:p>
    <w:p>
      <w:pPr>
        <w:pStyle w:val="8"/>
        <w:spacing w:before="0" w:beforeAutospacing="0" w:after="0" w:afterAutospacing="0" w:line="600" w:lineRule="exact"/>
        <w:ind w:firstLine="640"/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4.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噪声污染防治。加强施工期噪声控制，选用低噪声设备，对高噪声设施采取有效的隔声、消声、减振措施。在分布有声环境敏感点的路段施工，应合理布置施工场地、安排施工时段，防止噪声扰民。加强运营期公路沿线声环境质量的监测工作，根据声环境污染程度，及时采取相应的减缓措施。施工期噪声排放执行《建筑施工场界环境噪声排放标准》（</w:t>
      </w: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GB12523-2011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）表</w:t>
      </w: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标准。</w:t>
      </w:r>
    </w:p>
    <w:p>
      <w:pPr>
        <w:pStyle w:val="8"/>
        <w:spacing w:before="0" w:beforeAutospacing="0" w:after="0" w:afterAutospacing="0" w:line="600" w:lineRule="exact"/>
        <w:ind w:firstLine="640"/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5.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固体废物污染防治。按照“资源化、减量化、无害化”处置原则，全面落实固废分类收集、处置和综合利用措施。生活垃圾集中收集送临近的垃圾处理场，及时清运。固体废物执行《一般工业固体废物贮存、处置场污染控制标准》（</w:t>
      </w: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GB18599-2001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）及</w:t>
      </w: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2013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修改单。</w:t>
      </w:r>
    </w:p>
    <w:p>
      <w:pPr>
        <w:pStyle w:val="8"/>
        <w:spacing w:before="0" w:beforeAutospacing="0" w:after="0" w:afterAutospacing="0" w:line="600" w:lineRule="exact"/>
        <w:ind w:firstLine="640"/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val="en-US" w:eastAsia="zh-CN"/>
        </w:rPr>
        <w:t>6</w:t>
      </w:r>
      <w:r>
        <w:rPr>
          <w:rFonts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lang w:eastAsia="zh-CN"/>
        </w:rPr>
        <w:t>环境风险防范。制定完备的征地拆迁安置计划，充分协调、妥善安置、不留后患，确保社会安定稳定。落实各项应急管理措施及环境风险防范措施，对工程跨越水体的桥梁应设置桥面加固防撞护栏、径流收集系统、事故应急池和警示牌。制定环境风险应急预案，建立公路管理部门与地方政府及相关部门的应急联动机制。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val="en-US" w:eastAsia="zh-CN"/>
        </w:rPr>
        <w:t>7</w:t>
      </w:r>
      <w:r>
        <w:rPr>
          <w:rFonts w:ascii="仿宋_GB2312" w:eastAsia="仿宋_GB2312"/>
          <w:color w:val="000000" w:themeColor="text1"/>
          <w:kern w:val="2"/>
          <w:lang w:eastAsia="zh-CN"/>
        </w:rPr>
        <w:t>.</w:t>
      </w:r>
      <w:r>
        <w:rPr>
          <w:rFonts w:hint="eastAsia" w:ascii="仿宋_GB2312" w:eastAsia="仿宋_GB2312"/>
          <w:color w:val="000000" w:themeColor="text1"/>
          <w:kern w:val="2"/>
          <w:lang w:eastAsia="zh-CN"/>
        </w:rPr>
        <w:t>环境信息公开。项目施工和运行过程中，应根据《建设项目环境影响评价信息公开机制方案》的要求，定期发布项目环境信息，主动接受社会监督。建立与公众信息沟通和意见反馈机制，对于公众反映的建设项目有关环境问题，给予妥善解决。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三、项目建设必须严格执行配套的环境保护设施与主体工程同时设计、同时施工、同时投入使用的环境保护“三同时”制度。环保设施竣工后，须按《建设项目环境保护管理条例》的有关规定自行组织环境保护竣工验收。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四、本次批复只对本《报告表》有效，若项目的性质、地点、规模、生产工艺以及污染防治措施等发生重大变动，应重新报批环评文件。</w:t>
      </w:r>
    </w:p>
    <w:p>
      <w:pPr>
        <w:pStyle w:val="18"/>
        <w:spacing w:line="600" w:lineRule="exact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按照《建设项目环境保护事中事后监督管理办法（试行）》的要求，我局委托环境监察大队负责该项目的事中事后监督管理和工作指导。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  <w:r>
        <w:rPr>
          <w:rFonts w:hint="eastAsia" w:ascii="仿宋_GB2312" w:eastAsia="仿宋_GB2312"/>
          <w:color w:val="000000" w:themeColor="text1"/>
          <w:kern w:val="2"/>
          <w:lang w:eastAsia="zh-CN"/>
        </w:rPr>
        <w:t>六、如你单位在办理该项目环评审批手续过程中存在瞒报、谎报等欺骗行为，依据《中华人民共和国行政许可法》第六十九条的规定，我局有权撤销本批复，由此造成的一切后果由你单位承担。</w:t>
      </w:r>
    </w:p>
    <w:p>
      <w:pPr>
        <w:pStyle w:val="18"/>
        <w:spacing w:line="600" w:lineRule="exact"/>
        <w:ind w:firstLine="4800" w:firstLineChars="1500"/>
        <w:jc w:val="both"/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  <w:t>三明市大田生态环境局</w:t>
      </w:r>
    </w:p>
    <w:p>
      <w:pPr>
        <w:pStyle w:val="18"/>
        <w:spacing w:line="600" w:lineRule="exact"/>
        <w:ind w:firstLine="5440" w:firstLineChars="1700"/>
        <w:jc w:val="both"/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000000" w:themeColor="text1"/>
          <w:kern w:val="2"/>
          <w:sz w:val="32"/>
          <w:szCs w:val="32"/>
          <w:lang w:eastAsia="zh-CN"/>
        </w:rPr>
        <w:t>日</w:t>
      </w: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</w:p>
    <w:p>
      <w:pPr>
        <w:pStyle w:val="3"/>
        <w:spacing w:before="0" w:line="360" w:lineRule="auto"/>
        <w:ind w:left="0" w:firstLine="640" w:firstLineChars="200"/>
        <w:jc w:val="both"/>
        <w:rPr>
          <w:rFonts w:ascii="仿宋_GB2312" w:eastAsia="仿宋_GB2312"/>
          <w:color w:val="000000" w:themeColor="text1"/>
          <w:kern w:val="2"/>
          <w:lang w:eastAsia="zh-CN"/>
        </w:rPr>
      </w:pPr>
    </w:p>
    <w:p>
      <w:pPr>
        <w:pStyle w:val="3"/>
        <w:spacing w:before="0" w:line="360" w:lineRule="auto"/>
        <w:ind w:left="0" w:firstLine="640" w:firstLineChars="200"/>
        <w:jc w:val="both"/>
        <w:rPr>
          <w:color w:val="000000" w:themeColor="text1"/>
          <w:lang w:eastAsia="zh-CN"/>
        </w:rPr>
      </w:pPr>
    </w:p>
    <w:p>
      <w:pPr>
        <w:pStyle w:val="3"/>
        <w:spacing w:before="0" w:line="360" w:lineRule="auto"/>
        <w:ind w:left="0" w:firstLine="640" w:firstLineChars="200"/>
        <w:jc w:val="both"/>
        <w:rPr>
          <w:color w:val="000000" w:themeColor="text1"/>
          <w:lang w:eastAsia="zh-CN"/>
        </w:rPr>
      </w:pPr>
    </w:p>
    <w:p>
      <w:pPr>
        <w:pStyle w:val="3"/>
        <w:spacing w:before="0" w:line="360" w:lineRule="auto"/>
        <w:ind w:left="0" w:firstLine="640" w:firstLineChars="200"/>
        <w:jc w:val="both"/>
        <w:rPr>
          <w:color w:val="000000" w:themeColor="text1"/>
          <w:lang w:eastAsia="zh-CN"/>
        </w:rPr>
      </w:pPr>
    </w:p>
    <w:p>
      <w:pPr>
        <w:pStyle w:val="3"/>
        <w:spacing w:before="0" w:line="360" w:lineRule="auto"/>
        <w:ind w:left="0" w:firstLine="640" w:firstLineChars="200"/>
        <w:jc w:val="both"/>
        <w:rPr>
          <w:color w:val="000000" w:themeColor="text1"/>
          <w:lang w:eastAsia="zh-CN"/>
        </w:rPr>
      </w:pPr>
    </w:p>
    <w:p>
      <w:pPr>
        <w:pStyle w:val="3"/>
        <w:spacing w:before="0" w:line="360" w:lineRule="auto"/>
        <w:ind w:left="0" w:firstLine="640" w:firstLineChars="200"/>
        <w:jc w:val="both"/>
        <w:rPr>
          <w:color w:val="000000" w:themeColor="text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F17"/>
    <w:rsid w:val="0005399D"/>
    <w:rsid w:val="000B1AD7"/>
    <w:rsid w:val="000C263C"/>
    <w:rsid w:val="0019759D"/>
    <w:rsid w:val="002326AD"/>
    <w:rsid w:val="00295F17"/>
    <w:rsid w:val="002B5C0C"/>
    <w:rsid w:val="00332169"/>
    <w:rsid w:val="00373A7D"/>
    <w:rsid w:val="0049100B"/>
    <w:rsid w:val="005E69A4"/>
    <w:rsid w:val="007853BD"/>
    <w:rsid w:val="007A2026"/>
    <w:rsid w:val="00816A99"/>
    <w:rsid w:val="00861BF3"/>
    <w:rsid w:val="00882F01"/>
    <w:rsid w:val="009D374C"/>
    <w:rsid w:val="009D68D1"/>
    <w:rsid w:val="009F4F6B"/>
    <w:rsid w:val="00B07E90"/>
    <w:rsid w:val="00BC6298"/>
    <w:rsid w:val="00C117E4"/>
    <w:rsid w:val="00C90C62"/>
    <w:rsid w:val="00CB12C7"/>
    <w:rsid w:val="00E142C7"/>
    <w:rsid w:val="00EE3694"/>
    <w:rsid w:val="00EE720B"/>
    <w:rsid w:val="00EF7BCA"/>
    <w:rsid w:val="00FC62E4"/>
    <w:rsid w:val="00FE6771"/>
    <w:rsid w:val="017A0949"/>
    <w:rsid w:val="017C0573"/>
    <w:rsid w:val="08471F19"/>
    <w:rsid w:val="117C3151"/>
    <w:rsid w:val="1974252A"/>
    <w:rsid w:val="1A342EDF"/>
    <w:rsid w:val="20E861E1"/>
    <w:rsid w:val="27123585"/>
    <w:rsid w:val="32A20DED"/>
    <w:rsid w:val="32B00314"/>
    <w:rsid w:val="375078C2"/>
    <w:rsid w:val="384576A6"/>
    <w:rsid w:val="3B2D5D12"/>
    <w:rsid w:val="3B9C3025"/>
    <w:rsid w:val="3E3407E4"/>
    <w:rsid w:val="442632E3"/>
    <w:rsid w:val="45C70460"/>
    <w:rsid w:val="51C01F42"/>
    <w:rsid w:val="5D7B1A67"/>
    <w:rsid w:val="5F4D1297"/>
    <w:rsid w:val="61B22403"/>
    <w:rsid w:val="62FF72A7"/>
    <w:rsid w:val="63A911DB"/>
    <w:rsid w:val="65C07648"/>
    <w:rsid w:val="67734EFA"/>
    <w:rsid w:val="6BD62C6E"/>
    <w:rsid w:val="7D2B1AD8"/>
    <w:rsid w:val="7E8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link w:val="14"/>
    <w:semiHidden/>
    <w:qFormat/>
    <w:uiPriority w:val="99"/>
    <w:pPr>
      <w:spacing w:before="43"/>
      <w:ind w:left="119" w:firstLine="640"/>
    </w:pPr>
    <w:rPr>
      <w:rFonts w:ascii="宋体" w:hAnsi="宋体"/>
      <w:sz w:val="32"/>
      <w:szCs w:val="32"/>
    </w:rPr>
  </w:style>
  <w:style w:type="paragraph" w:styleId="4">
    <w:name w:val="Body Text Indent"/>
    <w:basedOn w:val="1"/>
    <w:link w:val="12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link w:val="13"/>
    <w:semiHidden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7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10">
    <w:name w:val="Strong"/>
    <w:basedOn w:val="9"/>
    <w:qFormat/>
    <w:uiPriority w:val="99"/>
    <w:rPr>
      <w:rFonts w:ascii="Times New Roman" w:hAnsi="Times New Roman" w:cs="Times New Roman"/>
      <w:b/>
      <w:bCs/>
      <w:sz w:val="24"/>
    </w:rPr>
  </w:style>
  <w:style w:type="character" w:customStyle="1" w:styleId="12">
    <w:name w:val="Body Text Indent Char"/>
    <w:basedOn w:val="9"/>
    <w:link w:val="4"/>
    <w:semiHidden/>
    <w:qFormat/>
    <w:locked/>
    <w:uiPriority w:val="99"/>
    <w:rPr>
      <w:rFonts w:ascii="Calibri" w:hAnsi="Calibri" w:cs="Times New Roman"/>
      <w:kern w:val="0"/>
      <w:sz w:val="22"/>
      <w:lang w:eastAsia="en-US"/>
    </w:rPr>
  </w:style>
  <w:style w:type="character" w:customStyle="1" w:styleId="13">
    <w:name w:val="Body Text First Indent 2 Char"/>
    <w:basedOn w:val="12"/>
    <w:link w:val="6"/>
    <w:semiHidden/>
    <w:qFormat/>
    <w:locked/>
    <w:uiPriority w:val="99"/>
  </w:style>
  <w:style w:type="character" w:customStyle="1" w:styleId="14">
    <w:name w:val="Body Text Char"/>
    <w:basedOn w:val="9"/>
    <w:link w:val="3"/>
    <w:semiHidden/>
    <w:qFormat/>
    <w:locked/>
    <w:uiPriority w:val="99"/>
    <w:rPr>
      <w:rFonts w:ascii="宋体" w:hAnsi="宋体" w:eastAsia="宋体" w:cs="Times New Roman"/>
      <w:kern w:val="0"/>
      <w:sz w:val="32"/>
      <w:szCs w:val="32"/>
      <w:lang w:eastAsia="en-US"/>
    </w:rPr>
  </w:style>
  <w:style w:type="paragraph" w:customStyle="1" w:styleId="15">
    <w:name w:val="表格的字"/>
    <w:basedOn w:val="1"/>
    <w:qFormat/>
    <w:uiPriority w:val="99"/>
    <w:pPr>
      <w:jc w:val="center"/>
    </w:pPr>
    <w:rPr>
      <w:color w:val="000000"/>
    </w:rPr>
  </w:style>
  <w:style w:type="paragraph" w:customStyle="1" w:styleId="16">
    <w:name w:val="正文国投"/>
    <w:basedOn w:val="1"/>
    <w:link w:val="17"/>
    <w:qFormat/>
    <w:uiPriority w:val="99"/>
    <w:pPr>
      <w:spacing w:line="420" w:lineRule="atLeast"/>
      <w:ind w:firstLine="200" w:firstLineChars="200"/>
    </w:pPr>
    <w:rPr>
      <w:sz w:val="24"/>
    </w:rPr>
  </w:style>
  <w:style w:type="character" w:customStyle="1" w:styleId="17">
    <w:name w:val="正文国投 Char"/>
    <w:link w:val="16"/>
    <w:qFormat/>
    <w:locked/>
    <w:uiPriority w:val="99"/>
    <w:rPr>
      <w:rFonts w:ascii="Calibri" w:hAnsi="Calibri" w:eastAsia="宋体"/>
      <w:sz w:val="22"/>
      <w:lang w:val="en-US" w:eastAsia="en-US"/>
    </w:rPr>
  </w:style>
  <w:style w:type="paragraph" w:customStyle="1" w:styleId="18">
    <w:name w:val="规范正文L"/>
    <w:basedOn w:val="1"/>
    <w:qFormat/>
    <w:uiPriority w:val="0"/>
    <w:pPr>
      <w:topLinePunct/>
      <w:spacing w:line="360" w:lineRule="auto"/>
      <w:ind w:firstLine="480" w:firstLineChars="200"/>
      <w:textAlignment w:val="baseline"/>
    </w:pPr>
    <w:rPr>
      <w:rFonts w:cs="宋体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308</Words>
  <Characters>1761</Characters>
  <Lines>0</Lines>
  <Paragraphs>0</Paragraphs>
  <TotalTime>282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2019-01-14T07:12:00Z</dcterms:created>
  <dc:creator>微软中国</dc:creator>
  <cp:lastModifiedBy>Administrator</cp:lastModifiedBy>
  <cp:lastPrinted>2019-02-27T09:12:23Z</cp:lastPrinted>
  <dcterms:modified xsi:type="dcterms:W3CDTF">2019-02-27T09:12:50Z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