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
    <w:p>
      <w:pPr>
        <w:adjustRightInd w:val="0"/>
        <w:snapToGrid w:val="0"/>
        <w:jc w:val="center"/>
        <w:outlineLvl w:val="0"/>
        <w:rPr>
          <w:rFonts w:ascii="Times New Roman" w:hAnsi="Times New Roman" w:eastAsia="方正小标宋_GBK"/>
          <w:bCs/>
          <w:sz w:val="72"/>
          <w:szCs w:val="72"/>
        </w:rPr>
      </w:pPr>
      <w:r>
        <w:rPr>
          <w:rFonts w:ascii="Times New Roman" w:hAnsi="Times New Roman" w:eastAsia="方正小标宋_GBK"/>
          <w:bCs/>
          <w:sz w:val="72"/>
          <w:szCs w:val="72"/>
        </w:rPr>
        <w:t>建设项目环境影响报告表</w:t>
      </w:r>
    </w:p>
    <w:p>
      <w:pPr>
        <w:adjustRightInd w:val="0"/>
        <w:snapToGrid w:val="0"/>
        <w:spacing w:before="192" w:beforeLines="80"/>
        <w:jc w:val="center"/>
        <w:rPr>
          <w:rFonts w:ascii="Times New Roman" w:hAnsi="Times New Roman" w:eastAsia="楷体_GB2312"/>
          <w:bCs/>
          <w:sz w:val="48"/>
          <w:szCs w:val="48"/>
        </w:rPr>
      </w:pPr>
      <w:r>
        <w:rPr>
          <w:rFonts w:ascii="Times New Roman" w:hAnsi="Times New Roman" w:eastAsia="楷体_GB2312"/>
          <w:bCs/>
          <w:sz w:val="48"/>
          <w:szCs w:val="48"/>
        </w:rPr>
        <w:t>（污染影响类）</w:t>
      </w:r>
    </w:p>
    <w:p>
      <w:pPr>
        <w:adjustRightInd w:val="0"/>
        <w:snapToGrid w:val="0"/>
        <w:spacing w:line="288" w:lineRule="auto"/>
        <w:ind w:firstLine="880"/>
        <w:jc w:val="center"/>
        <w:rPr>
          <w:rFonts w:ascii="Times New Roman" w:hAnsi="Times New Roman" w:eastAsia="华文仿宋"/>
          <w:kern w:val="44"/>
          <w:sz w:val="44"/>
          <w:szCs w:val="44"/>
        </w:rPr>
      </w:pPr>
    </w:p>
    <w:p>
      <w:pPr>
        <w:ind w:firstLine="1040"/>
        <w:jc w:val="center"/>
        <w:rPr>
          <w:rFonts w:ascii="Times New Roman" w:hAnsi="Times New Roman" w:eastAsia="仿宋"/>
          <w:sz w:val="52"/>
          <w:szCs w:val="52"/>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ind w:firstLine="880"/>
        <w:rPr>
          <w:rFonts w:ascii="Times New Roman" w:hAnsi="Times New Roman" w:eastAsia="仿宋"/>
          <w:sz w:val="44"/>
          <w:szCs w:val="44"/>
        </w:rPr>
      </w:pP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项目名称：</w:t>
      </w:r>
      <w:r>
        <w:rPr>
          <w:rFonts w:hint="eastAsia" w:ascii="Times New Roman" w:hAnsi="Times New Roman" w:eastAsia="仿宋_GB2312"/>
          <w:sz w:val="36"/>
          <w:szCs w:val="36"/>
          <w:u w:val="single"/>
        </w:rPr>
        <w:t>大田卓阳达再生资源综合利用建设项目</w:t>
      </w: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建设单位（盖章）：</w:t>
      </w:r>
      <w:r>
        <w:rPr>
          <w:rFonts w:hint="eastAsia" w:ascii="Times New Roman" w:hAnsi="Times New Roman" w:eastAsia="仿宋_GB2312"/>
          <w:sz w:val="36"/>
          <w:szCs w:val="36"/>
          <w:u w:val="single"/>
        </w:rPr>
        <w:t>福建卓阳达再生资源有限公司</w:t>
      </w:r>
    </w:p>
    <w:p>
      <w:pPr>
        <w:adjustRightInd w:val="0"/>
        <w:snapToGrid w:val="0"/>
        <w:spacing w:line="288" w:lineRule="auto"/>
        <w:ind w:firstLine="360" w:firstLineChars="100"/>
        <w:rPr>
          <w:rFonts w:ascii="Times New Roman" w:hAnsi="Times New Roman" w:eastAsia="仿宋_GB2312"/>
          <w:sz w:val="36"/>
          <w:szCs w:val="36"/>
          <w:u w:val="single"/>
        </w:rPr>
      </w:pPr>
      <w:r>
        <w:rPr>
          <w:rFonts w:ascii="Times New Roman" w:hAnsi="Times New Roman" w:eastAsia="仿宋_GB2312"/>
          <w:sz w:val="36"/>
          <w:szCs w:val="36"/>
        </w:rPr>
        <w:t>编制日期：</w:t>
      </w:r>
      <w:r>
        <w:rPr>
          <w:rFonts w:hint="eastAsia" w:ascii="Times New Roman" w:hAnsi="Times New Roman" w:eastAsia="仿宋_GB2312"/>
          <w:sz w:val="36"/>
          <w:szCs w:val="36"/>
          <w:u w:val="single"/>
        </w:rPr>
        <w:t>2024年4月</w:t>
      </w:r>
    </w:p>
    <w:p>
      <w:pPr>
        <w:adjustRightInd w:val="0"/>
        <w:snapToGrid w:val="0"/>
        <w:spacing w:line="288" w:lineRule="auto"/>
        <w:ind w:firstLine="720"/>
        <w:rPr>
          <w:rFonts w:ascii="Times New Roman" w:hAnsi="Times New Roman" w:eastAsia="仿宋_GB2312"/>
          <w:sz w:val="36"/>
          <w:szCs w:val="36"/>
          <w:u w:val="single"/>
        </w:rPr>
      </w:pPr>
      <w:bookmarkStart w:id="0" w:name="_Hlk57884087"/>
    </w:p>
    <w:p>
      <w:pPr>
        <w:adjustRightInd w:val="0"/>
        <w:snapToGrid w:val="0"/>
        <w:spacing w:line="288" w:lineRule="auto"/>
        <w:ind w:firstLine="720"/>
        <w:rPr>
          <w:rFonts w:ascii="Times New Roman" w:hAnsi="Times New Roman" w:eastAsia="仿宋_GB2312"/>
          <w:sz w:val="36"/>
          <w:szCs w:val="36"/>
        </w:rPr>
      </w:pPr>
    </w:p>
    <w:p>
      <w:pPr>
        <w:adjustRightInd w:val="0"/>
        <w:snapToGrid w:val="0"/>
        <w:spacing w:line="288" w:lineRule="auto"/>
        <w:ind w:firstLine="720"/>
        <w:jc w:val="center"/>
        <w:rPr>
          <w:rFonts w:ascii="Times New Roman" w:hAnsi="Times New Roman" w:eastAsia="仿宋_GB2312"/>
          <w:sz w:val="36"/>
          <w:szCs w:val="36"/>
        </w:rPr>
      </w:pPr>
    </w:p>
    <w:bookmarkEnd w:id="0"/>
    <w:p>
      <w:pPr>
        <w:adjustRightInd w:val="0"/>
        <w:snapToGrid w:val="0"/>
        <w:spacing w:line="288" w:lineRule="auto"/>
        <w:ind w:firstLine="720"/>
        <w:jc w:val="center"/>
        <w:rPr>
          <w:rFonts w:ascii="Times New Roman" w:hAnsi="Times New Roman" w:eastAsia="仿宋_GB2312"/>
          <w:sz w:val="36"/>
          <w:szCs w:val="36"/>
        </w:rPr>
        <w:sectPr>
          <w:footerReference r:id="rId5" w:type="first"/>
          <w:footerReference r:id="rId3" w:type="default"/>
          <w:footerReference r:id="rId4" w:type="even"/>
          <w:pgSz w:w="11906" w:h="16838"/>
          <w:pgMar w:top="1701" w:right="1531" w:bottom="1701" w:left="1531" w:header="851" w:footer="1077" w:gutter="0"/>
          <w:pgNumType w:start="1"/>
          <w:cols w:space="720" w:num="1"/>
          <w:docGrid w:linePitch="312" w:charSpace="0"/>
        </w:sectPr>
      </w:pPr>
      <w:r>
        <w:rPr>
          <w:rFonts w:ascii="Times New Roman" w:hAnsi="Times New Roman" w:eastAsia="楷体_GB2312"/>
          <w:sz w:val="36"/>
          <w:szCs w:val="36"/>
        </w:rPr>
        <w:t>中华人民共和国生态环境部制</w:t>
      </w:r>
    </w:p>
    <w:p>
      <w:pPr>
        <w:pStyle w:val="23"/>
        <w:numPr>
          <w:ilvl w:val="0"/>
          <w:numId w:val="4"/>
        </w:numPr>
        <w:ind w:left="-120"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建设项目基本情况</w:t>
      </w:r>
    </w:p>
    <w:tbl>
      <w:tblPr>
        <w:tblStyle w:val="25"/>
        <w:tblW w:w="93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07"/>
        <w:gridCol w:w="3336"/>
        <w:gridCol w:w="2268"/>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建设项目名称</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大田卓阳达再生资源综合利用建设项目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7"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项目代码</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2304-350425-04-01-770899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建设单位联系人</w:t>
            </w:r>
          </w:p>
        </w:tc>
        <w:tc>
          <w:tcPr>
            <w:tcW w:w="3336" w:type="dxa"/>
            <w:shd w:val="clear" w:color="auto" w:fill="auto"/>
            <w:vAlign w:val="center"/>
          </w:tcPr>
          <w:p>
            <w:pPr>
              <w:adjustRightInd w:val="0"/>
              <w:snapToGrid w:val="0"/>
              <w:jc w:val="center"/>
              <w:rPr>
                <w:rFonts w:ascii="Times New Roman" w:hAnsi="Times New Roman"/>
                <w:szCs w:val="21"/>
              </w:rPr>
            </w:pP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联系方式</w:t>
            </w:r>
          </w:p>
        </w:tc>
        <w:tc>
          <w:tcPr>
            <w:tcW w:w="2847" w:type="dxa"/>
            <w:shd w:val="clear" w:color="auto" w:fill="auto"/>
            <w:vAlign w:val="center"/>
          </w:tcPr>
          <w:p>
            <w:pPr>
              <w:adjustRightInd w:val="0"/>
              <w:snapToGrid w:val="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建设地点</w:t>
            </w:r>
          </w:p>
        </w:tc>
        <w:tc>
          <w:tcPr>
            <w:tcW w:w="8451" w:type="dxa"/>
            <w:gridSpan w:val="3"/>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福建省三明市大田县武陵乡大石村249号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地理坐标</w:t>
            </w:r>
          </w:p>
        </w:tc>
        <w:tc>
          <w:tcPr>
            <w:tcW w:w="8451" w:type="dxa"/>
            <w:gridSpan w:val="3"/>
            <w:shd w:val="clear" w:color="auto" w:fill="auto"/>
            <w:vAlign w:val="center"/>
          </w:tcPr>
          <w:p>
            <w:pPr>
              <w:jc w:val="center"/>
              <w:rPr>
                <w:rFonts w:ascii="Times New Roman" w:hAnsi="Times New Roman"/>
                <w:szCs w:val="21"/>
              </w:rPr>
            </w:pPr>
            <w:r>
              <w:rPr>
                <w:rFonts w:ascii="Times New Roman" w:hAnsi="Times New Roman"/>
                <w:szCs w:val="21"/>
              </w:rPr>
              <w:t>（</w:t>
            </w:r>
            <w:r>
              <w:rPr>
                <w:rFonts w:hint="eastAsia" w:ascii="Times New Roman" w:hAnsi="Times New Roman"/>
                <w:szCs w:val="21"/>
              </w:rPr>
              <w:t>东经</w:t>
            </w:r>
            <w:r>
              <w:rPr>
                <w:rFonts w:ascii="Times New Roman" w:hAnsi="Times New Roman"/>
                <w:szCs w:val="21"/>
                <w:u w:val="single"/>
              </w:rPr>
              <w:t>117</w:t>
            </w:r>
            <w:r>
              <w:rPr>
                <w:rFonts w:ascii="Times New Roman" w:hAnsi="Times New Roman"/>
                <w:szCs w:val="21"/>
              </w:rPr>
              <w:t>度</w:t>
            </w:r>
            <w:r>
              <w:rPr>
                <w:rFonts w:hint="eastAsia" w:ascii="Times New Roman" w:hAnsi="Times New Roman"/>
                <w:szCs w:val="21"/>
                <w:u w:val="single"/>
              </w:rPr>
              <w:t>47</w:t>
            </w:r>
            <w:r>
              <w:rPr>
                <w:rFonts w:ascii="Times New Roman" w:hAnsi="Times New Roman"/>
                <w:szCs w:val="21"/>
              </w:rPr>
              <w:t>分</w:t>
            </w:r>
            <w:r>
              <w:rPr>
                <w:rFonts w:hint="eastAsia" w:ascii="Times New Roman" w:hAnsi="Times New Roman"/>
                <w:szCs w:val="21"/>
                <w:u w:val="single"/>
              </w:rPr>
              <w:t>26.714</w:t>
            </w:r>
            <w:r>
              <w:rPr>
                <w:rFonts w:ascii="Times New Roman" w:hAnsi="Times New Roman"/>
                <w:szCs w:val="21"/>
              </w:rPr>
              <w:t>秒，</w:t>
            </w:r>
            <w:r>
              <w:rPr>
                <w:rFonts w:hint="eastAsia" w:ascii="Times New Roman" w:hAnsi="Times New Roman"/>
                <w:szCs w:val="21"/>
              </w:rPr>
              <w:t>北纬</w:t>
            </w:r>
            <w:r>
              <w:rPr>
                <w:rFonts w:ascii="Times New Roman" w:hAnsi="Times New Roman"/>
                <w:szCs w:val="21"/>
                <w:u w:val="single"/>
              </w:rPr>
              <w:t>25</w:t>
            </w:r>
            <w:r>
              <w:rPr>
                <w:rFonts w:ascii="Times New Roman" w:hAnsi="Times New Roman"/>
                <w:szCs w:val="21"/>
              </w:rPr>
              <w:t>度</w:t>
            </w:r>
            <w:r>
              <w:rPr>
                <w:rFonts w:hint="eastAsia" w:ascii="Times New Roman" w:hAnsi="Times New Roman"/>
                <w:szCs w:val="21"/>
                <w:u w:val="single"/>
              </w:rPr>
              <w:t>37</w:t>
            </w:r>
            <w:r>
              <w:rPr>
                <w:rFonts w:ascii="Times New Roman" w:hAnsi="Times New Roman"/>
                <w:szCs w:val="21"/>
              </w:rPr>
              <w:t>分</w:t>
            </w:r>
            <w:r>
              <w:rPr>
                <w:rFonts w:hint="eastAsia" w:ascii="Times New Roman" w:hAnsi="Times New Roman"/>
                <w:szCs w:val="21"/>
                <w:u w:val="single"/>
              </w:rPr>
              <w:t>57.146</w:t>
            </w:r>
            <w:r>
              <w:rPr>
                <w:rFonts w:ascii="Times New Roman" w:hAnsi="Times New Roman"/>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国民经济行业类别</w:t>
            </w:r>
          </w:p>
        </w:tc>
        <w:tc>
          <w:tcPr>
            <w:tcW w:w="3336" w:type="dxa"/>
            <w:shd w:val="clear" w:color="auto" w:fill="auto"/>
            <w:vAlign w:val="center"/>
          </w:tcPr>
          <w:p>
            <w:pPr>
              <w:pStyle w:val="23"/>
              <w:jc w:val="center"/>
              <w:rPr>
                <w:rFonts w:ascii="Times New Roman" w:hAnsi="Times New Roman"/>
              </w:rPr>
            </w:pPr>
            <w:r>
              <w:rPr>
                <w:rFonts w:ascii="Times New Roman" w:hAnsi="Times New Roman"/>
                <w:szCs w:val="24"/>
              </w:rPr>
              <w:t>C</w:t>
            </w:r>
            <w:r>
              <w:rPr>
                <w:rFonts w:hint="eastAsia" w:ascii="Times New Roman" w:hAnsi="Times New Roman"/>
                <w:szCs w:val="24"/>
              </w:rPr>
              <w:t>4210 金属废料和碎屑加工处理</w:t>
            </w:r>
          </w:p>
        </w:tc>
        <w:tc>
          <w:tcPr>
            <w:tcW w:w="2268" w:type="dxa"/>
            <w:shd w:val="clear" w:color="auto" w:fill="auto"/>
            <w:vAlign w:val="center"/>
          </w:tcPr>
          <w:p>
            <w:pPr>
              <w:adjustRightInd w:val="0"/>
              <w:snapToGrid w:val="0"/>
              <w:jc w:val="center"/>
              <w:rPr>
                <w:rFonts w:ascii="Times New Roman" w:hAnsi="Times New Roman"/>
                <w:szCs w:val="21"/>
              </w:rPr>
            </w:pPr>
            <w:bookmarkStart w:id="1" w:name="_Hlk49843745"/>
            <w:r>
              <w:rPr>
                <w:rFonts w:ascii="Times New Roman" w:hAnsi="Times New Roman"/>
                <w:szCs w:val="21"/>
              </w:rPr>
              <w:t>建设项目</w:t>
            </w:r>
          </w:p>
          <w:p>
            <w:pPr>
              <w:adjustRightInd w:val="0"/>
              <w:snapToGrid w:val="0"/>
              <w:jc w:val="center"/>
              <w:rPr>
                <w:rFonts w:ascii="Times New Roman" w:hAnsi="Times New Roman"/>
                <w:szCs w:val="21"/>
              </w:rPr>
            </w:pPr>
            <w:r>
              <w:rPr>
                <w:rFonts w:ascii="Times New Roman" w:hAnsi="Times New Roman"/>
                <w:szCs w:val="21"/>
              </w:rPr>
              <w:t>行业类别</w:t>
            </w:r>
            <w:bookmarkEnd w:id="1"/>
          </w:p>
        </w:tc>
        <w:tc>
          <w:tcPr>
            <w:tcW w:w="2847" w:type="dxa"/>
            <w:shd w:val="clear" w:color="auto" w:fill="auto"/>
            <w:vAlign w:val="center"/>
          </w:tcPr>
          <w:p>
            <w:pPr>
              <w:widowControl/>
              <w:jc w:val="left"/>
              <w:rPr>
                <w:rFonts w:ascii="Times New Roman" w:hAnsi="Times New Roman"/>
                <w:szCs w:val="21"/>
              </w:rPr>
            </w:pPr>
            <w:r>
              <w:rPr>
                <w:rFonts w:ascii="Times New Roman" w:hAnsi="Times New Roman" w:eastAsiaTheme="minorEastAsia"/>
                <w:kern w:val="21"/>
              </w:rPr>
              <w:t>“</w:t>
            </w:r>
            <w:r>
              <w:rPr>
                <w:rFonts w:hint="eastAsia" w:ascii="Times New Roman" w:hAnsi="Times New Roman" w:eastAsiaTheme="minorEastAsia"/>
                <w:kern w:val="21"/>
              </w:rPr>
              <w:t>三十九</w:t>
            </w:r>
            <w:r>
              <w:rPr>
                <w:rFonts w:ascii="Times New Roman" w:hAnsi="Times New Roman" w:eastAsiaTheme="minorEastAsia"/>
                <w:kern w:val="21"/>
              </w:rPr>
              <w:t>、</w:t>
            </w:r>
            <w:r>
              <w:rPr>
                <w:rFonts w:hint="eastAsia" w:ascii="Times New Roman" w:hAnsi="Times New Roman" w:eastAsiaTheme="minorEastAsia"/>
                <w:kern w:val="21"/>
              </w:rPr>
              <w:t>废弃资源综合利用</w:t>
            </w:r>
            <w:r>
              <w:rPr>
                <w:rFonts w:ascii="Times New Roman" w:hAnsi="Times New Roman" w:eastAsiaTheme="minorEastAsia"/>
                <w:kern w:val="21"/>
              </w:rPr>
              <w:t>业</w:t>
            </w:r>
            <w:r>
              <w:rPr>
                <w:rFonts w:hint="eastAsia" w:ascii="Times New Roman" w:hAnsi="Times New Roman" w:eastAsiaTheme="minorEastAsia"/>
                <w:kern w:val="21"/>
              </w:rPr>
              <w:t>42</w:t>
            </w:r>
            <w:r>
              <w:rPr>
                <w:rFonts w:ascii="Times New Roman" w:hAnsi="Times New Roman" w:eastAsiaTheme="minorEastAsia"/>
                <w:kern w:val="21"/>
              </w:rPr>
              <w:t>→</w:t>
            </w:r>
            <w:r>
              <w:rPr>
                <w:rFonts w:hint="eastAsia" w:ascii="Times New Roman" w:hAnsi="Times New Roman" w:eastAsiaTheme="minorEastAsia"/>
                <w:kern w:val="21"/>
              </w:rPr>
              <w:t>金属废料和碎屑加工处理421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建设性质</w:t>
            </w:r>
          </w:p>
        </w:tc>
        <w:tc>
          <w:tcPr>
            <w:tcW w:w="3336" w:type="dxa"/>
            <w:shd w:val="clear" w:color="auto" w:fill="auto"/>
            <w:vAlign w:val="center"/>
          </w:tcPr>
          <w:p>
            <w:pPr>
              <w:rPr>
                <w:rFonts w:ascii="Times New Roman" w:hAnsi="Times New Roman"/>
                <w:szCs w:val="21"/>
              </w:rPr>
            </w:pPr>
            <w:r>
              <w:rPr>
                <w:rFonts w:ascii="Times New Roman" w:hAnsi="Times New Roman"/>
                <w:szCs w:val="21"/>
              </w:rPr>
              <w:sym w:font="Wingdings 2" w:char="0052"/>
            </w:r>
            <w:r>
              <w:rPr>
                <w:rFonts w:ascii="Times New Roman" w:hAnsi="Times New Roman"/>
                <w:szCs w:val="21"/>
              </w:rPr>
              <w:t>新建（迁建）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改建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扩建</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技术改造</w:t>
            </w: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建设项目</w:t>
            </w:r>
          </w:p>
          <w:p>
            <w:pPr>
              <w:adjustRightInd w:val="0"/>
              <w:snapToGrid w:val="0"/>
              <w:jc w:val="center"/>
              <w:rPr>
                <w:rFonts w:ascii="Times New Roman" w:hAnsi="Times New Roman"/>
                <w:szCs w:val="21"/>
              </w:rPr>
            </w:pPr>
            <w:r>
              <w:rPr>
                <w:rFonts w:ascii="Times New Roman" w:hAnsi="Times New Roman"/>
                <w:szCs w:val="21"/>
              </w:rPr>
              <w:t>申报情形</w:t>
            </w:r>
          </w:p>
        </w:tc>
        <w:tc>
          <w:tcPr>
            <w:tcW w:w="2847" w:type="dxa"/>
            <w:shd w:val="clear" w:color="auto" w:fill="auto"/>
            <w:vAlign w:val="center"/>
          </w:tcPr>
          <w:p>
            <w:pPr>
              <w:rPr>
                <w:rFonts w:ascii="Times New Roman" w:hAnsi="Times New Roman"/>
                <w:szCs w:val="21"/>
              </w:rPr>
            </w:pPr>
            <w:r>
              <w:rPr>
                <w:rFonts w:ascii="Times New Roman" w:hAnsi="Times New Roman"/>
                <w:szCs w:val="21"/>
              </w:rPr>
              <w:sym w:font="Wingdings 2" w:char="0052"/>
            </w:r>
            <w:r>
              <w:rPr>
                <w:rFonts w:ascii="Times New Roman" w:hAnsi="Times New Roman"/>
                <w:szCs w:val="21"/>
              </w:rPr>
              <w:t>首次申报项目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不予批准后再次申报项目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超五年重新审核</w:t>
            </w:r>
            <w:r>
              <w:rPr>
                <w:rFonts w:hint="eastAsia" w:ascii="Times New Roman" w:hAnsi="Times New Roman"/>
                <w:szCs w:val="21"/>
              </w:rPr>
              <w:t xml:space="preserve"> </w:t>
            </w:r>
            <w:r>
              <w:rPr>
                <w:rFonts w:ascii="Times New Roman" w:hAnsi="Times New Roman"/>
                <w:szCs w:val="21"/>
              </w:rPr>
              <w:t>项目</w:t>
            </w:r>
          </w:p>
          <w:p>
            <w:pPr>
              <w:rPr>
                <w:rFonts w:ascii="Times New Roman" w:hAnsi="Times New Roman"/>
                <w:szCs w:val="21"/>
              </w:rPr>
            </w:pPr>
            <w:r>
              <w:rPr>
                <w:rFonts w:ascii="Times New Roman" w:hAnsi="Times New Roman"/>
                <w:szCs w:val="21"/>
              </w:rPr>
              <w:sym w:font="Wingdings 2" w:char="00A3"/>
            </w:r>
            <w:r>
              <w:rPr>
                <w:rFonts w:ascii="Times New Roman" w:hAnsi="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项目审批（核准/备案）部门</w:t>
            </w:r>
          </w:p>
        </w:tc>
        <w:tc>
          <w:tcPr>
            <w:tcW w:w="3336"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大田县</w:t>
            </w:r>
            <w:r>
              <w:rPr>
                <w:rFonts w:hint="eastAsia" w:ascii="Times New Roman" w:hAnsi="Times New Roman"/>
                <w:szCs w:val="21"/>
              </w:rPr>
              <w:t>发展和改革</w:t>
            </w:r>
            <w:r>
              <w:rPr>
                <w:rFonts w:ascii="Times New Roman" w:hAnsi="Times New Roman"/>
                <w:szCs w:val="21"/>
              </w:rPr>
              <w:t>局</w:t>
            </w:r>
          </w:p>
        </w:tc>
        <w:tc>
          <w:tcPr>
            <w:tcW w:w="2268"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项目审批（核准/备案）文号</w:t>
            </w:r>
          </w:p>
        </w:tc>
        <w:tc>
          <w:tcPr>
            <w:tcW w:w="2847" w:type="dxa"/>
            <w:shd w:val="clear" w:color="auto" w:fill="auto"/>
            <w:vAlign w:val="center"/>
          </w:tcPr>
          <w:p>
            <w:pPr>
              <w:adjustRightInd w:val="0"/>
              <w:snapToGrid w:val="0"/>
              <w:jc w:val="center"/>
              <w:rPr>
                <w:rFonts w:ascii="Times New Roman" w:hAnsi="Times New Roman"/>
                <w:szCs w:val="21"/>
              </w:rPr>
            </w:pPr>
            <w:r>
              <w:rPr>
                <w:rFonts w:ascii="Times New Roman" w:hAnsi="Times New Roman"/>
                <w:szCs w:val="21"/>
              </w:rPr>
              <w:t>闽</w:t>
            </w:r>
            <w:r>
              <w:rPr>
                <w:rFonts w:hint="eastAsia" w:ascii="Times New Roman" w:hAnsi="Times New Roman"/>
                <w:szCs w:val="21"/>
              </w:rPr>
              <w:t>发改</w:t>
            </w:r>
            <w:r>
              <w:rPr>
                <w:rFonts w:ascii="Times New Roman" w:hAnsi="Times New Roman"/>
                <w:szCs w:val="21"/>
              </w:rPr>
              <w:t>备[202</w:t>
            </w:r>
            <w:r>
              <w:rPr>
                <w:rFonts w:hint="eastAsia" w:ascii="Times New Roman" w:hAnsi="Times New Roman"/>
                <w:szCs w:val="21"/>
              </w:rPr>
              <w:t>3</w:t>
            </w:r>
            <w:r>
              <w:rPr>
                <w:rFonts w:ascii="Times New Roman" w:hAnsi="Times New Roman"/>
                <w:szCs w:val="21"/>
              </w:rPr>
              <w:t>]G1200</w:t>
            </w:r>
            <w:r>
              <w:rPr>
                <w:rFonts w:hint="eastAsia" w:ascii="Times New Roman" w:hAnsi="Times New Roman"/>
                <w:szCs w:val="21"/>
              </w:rPr>
              <w:t>7</w:t>
            </w:r>
            <w:r>
              <w:rPr>
                <w:rFonts w:ascii="Times New Roman" w:hAnsi="Times New Roman"/>
                <w:szCs w:val="21"/>
              </w:rPr>
              <w:t>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总投资（万元）</w:t>
            </w:r>
          </w:p>
        </w:tc>
        <w:tc>
          <w:tcPr>
            <w:tcW w:w="3336"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eastAsiaTheme="minorEastAsia"/>
                <w:kern w:val="21"/>
              </w:rPr>
              <w:t>11360</w:t>
            </w:r>
          </w:p>
        </w:tc>
        <w:tc>
          <w:tcPr>
            <w:tcW w:w="2268" w:type="dxa"/>
            <w:shd w:val="clear" w:color="auto" w:fill="auto"/>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环保投资（万元）</w:t>
            </w:r>
          </w:p>
        </w:tc>
        <w:tc>
          <w:tcPr>
            <w:tcW w:w="2847"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环保投资占比（%）</w:t>
            </w:r>
          </w:p>
        </w:tc>
        <w:tc>
          <w:tcPr>
            <w:tcW w:w="3336"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1.76%</w:t>
            </w:r>
          </w:p>
        </w:tc>
        <w:tc>
          <w:tcPr>
            <w:tcW w:w="2268" w:type="dxa"/>
            <w:shd w:val="clear" w:color="auto" w:fill="auto"/>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施工工期</w:t>
            </w:r>
          </w:p>
        </w:tc>
        <w:tc>
          <w:tcPr>
            <w:tcW w:w="2847" w:type="dxa"/>
            <w:shd w:val="clear" w:color="auto" w:fill="auto"/>
            <w:vAlign w:val="center"/>
          </w:tcPr>
          <w:p>
            <w:pPr>
              <w:adjustRightInd w:val="0"/>
              <w:snapToGrid w:val="0"/>
              <w:jc w:val="center"/>
              <w:rPr>
                <w:rFonts w:ascii="Times New Roman" w:hAnsi="Times New Roman"/>
                <w:szCs w:val="21"/>
              </w:rPr>
            </w:pPr>
            <w:r>
              <w:rPr>
                <w:rFonts w:hint="eastAsia" w:ascii="Times New Roman" w:hAnsi="Times New Roman"/>
                <w:szCs w:val="21"/>
              </w:rPr>
              <w:t>2024年6月~2024年9月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szCs w:val="21"/>
              </w:rPr>
              <w:t>是否开工建设</w:t>
            </w:r>
          </w:p>
        </w:tc>
        <w:tc>
          <w:tcPr>
            <w:tcW w:w="3336" w:type="dxa"/>
            <w:shd w:val="clear" w:color="auto" w:fill="auto"/>
            <w:vAlign w:val="center"/>
          </w:tcPr>
          <w:p>
            <w:pPr>
              <w:adjustRightInd w:val="0"/>
              <w:snapToGrid w:val="0"/>
              <w:rPr>
                <w:rFonts w:ascii="Times New Roman" w:hAnsi="Times New Roman"/>
                <w:szCs w:val="21"/>
              </w:rPr>
            </w:pPr>
            <w:r>
              <w:rPr>
                <w:rFonts w:ascii="Times New Roman" w:hAnsi="Times New Roman"/>
                <w:szCs w:val="21"/>
              </w:rPr>
              <w:sym w:font="Wingdings 2" w:char="0052"/>
            </w:r>
            <w:r>
              <w:rPr>
                <w:rFonts w:ascii="Times New Roman" w:hAnsi="Times New Roman"/>
                <w:szCs w:val="21"/>
              </w:rPr>
              <w:t xml:space="preserve"> 否</w:t>
            </w:r>
          </w:p>
          <w:p>
            <w:pPr>
              <w:adjustRightInd w:val="0"/>
              <w:snapToGrid w:val="0"/>
              <w:rPr>
                <w:rFonts w:ascii="Times New Roman" w:hAnsi="Times New Roman"/>
                <w:szCs w:val="21"/>
              </w:rPr>
            </w:pPr>
            <w:r>
              <w:rPr>
                <w:rFonts w:ascii="Times New Roman" w:hAnsi="Times New Roman"/>
                <w:szCs w:val="21"/>
              </w:rPr>
              <w:sym w:font="Wingdings 2" w:char="00A3"/>
            </w:r>
            <w:r>
              <w:rPr>
                <w:rFonts w:ascii="Times New Roman" w:hAnsi="Times New Roman"/>
                <w:szCs w:val="21"/>
              </w:rPr>
              <w:t xml:space="preserve"> 是</w:t>
            </w:r>
          </w:p>
        </w:tc>
        <w:tc>
          <w:tcPr>
            <w:tcW w:w="2268" w:type="dxa"/>
            <w:shd w:val="clear" w:color="auto" w:fill="auto"/>
            <w:tcMar>
              <w:top w:w="16" w:type="dxa"/>
              <w:left w:w="16" w:type="dxa"/>
              <w:right w:w="16" w:type="dxa"/>
            </w:tcMar>
            <w:vAlign w:val="center"/>
          </w:tcPr>
          <w:p>
            <w:pPr>
              <w:adjustRightInd w:val="0"/>
              <w:snapToGrid w:val="0"/>
              <w:ind w:firstLine="456"/>
              <w:jc w:val="center"/>
              <w:rPr>
                <w:rFonts w:ascii="Times New Roman" w:hAnsi="Times New Roman"/>
                <w:spacing w:val="-6"/>
                <w:szCs w:val="21"/>
              </w:rPr>
            </w:pPr>
            <w:r>
              <w:rPr>
                <w:rFonts w:ascii="Times New Roman" w:hAnsi="Times New Roman"/>
                <w:spacing w:val="-6"/>
                <w:szCs w:val="21"/>
              </w:rPr>
              <w:t>用地（用海）</w:t>
            </w:r>
          </w:p>
          <w:p>
            <w:pPr>
              <w:adjustRightInd w:val="0"/>
              <w:snapToGrid w:val="0"/>
              <w:ind w:firstLine="456"/>
              <w:jc w:val="center"/>
              <w:rPr>
                <w:rFonts w:ascii="Times New Roman" w:hAnsi="Times New Roman"/>
                <w:szCs w:val="21"/>
              </w:rPr>
            </w:pPr>
            <w:r>
              <w:rPr>
                <w:rFonts w:ascii="Times New Roman" w:hAnsi="Times New Roman"/>
                <w:spacing w:val="-6"/>
                <w:szCs w:val="21"/>
              </w:rPr>
              <w:t>面积（m</w:t>
            </w:r>
            <w:r>
              <w:rPr>
                <w:rFonts w:ascii="Times New Roman" w:hAnsi="Times New Roman"/>
                <w:spacing w:val="-6"/>
                <w:szCs w:val="21"/>
                <w:vertAlign w:val="superscript"/>
              </w:rPr>
              <w:t>2</w:t>
            </w:r>
            <w:r>
              <w:rPr>
                <w:rFonts w:ascii="Times New Roman" w:hAnsi="Times New Roman"/>
                <w:spacing w:val="-6"/>
                <w:szCs w:val="21"/>
              </w:rPr>
              <w:t>）</w:t>
            </w:r>
          </w:p>
        </w:tc>
        <w:tc>
          <w:tcPr>
            <w:tcW w:w="2847" w:type="dxa"/>
            <w:shd w:val="clear" w:color="auto" w:fill="auto"/>
            <w:vAlign w:val="center"/>
          </w:tcPr>
          <w:p>
            <w:pPr>
              <w:pStyle w:val="2"/>
            </w:pPr>
            <w:r>
              <w:rPr>
                <w:rFonts w:hint="eastAsia" w:eastAsia="宋体"/>
                <w:b w:val="0"/>
                <w:bCs w:val="0"/>
                <w:color w:val="auto"/>
                <w:sz w:val="24"/>
              </w:rPr>
              <w:t>4201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07" w:type="dxa"/>
            <w:tcMar>
              <w:top w:w="16" w:type="dxa"/>
              <w:left w:w="16" w:type="dxa"/>
              <w:right w:w="16" w:type="dxa"/>
            </w:tcMar>
            <w:vAlign w:val="center"/>
          </w:tcPr>
          <w:p>
            <w:pPr>
              <w:adjustRightInd w:val="0"/>
              <w:snapToGrid w:val="0"/>
              <w:jc w:val="center"/>
              <w:rPr>
                <w:rFonts w:ascii="Times New Roman" w:hAnsi="Times New Roman"/>
                <w:szCs w:val="21"/>
              </w:rPr>
            </w:pPr>
            <w:r>
              <w:rPr>
                <w:rFonts w:ascii="Times New Roman" w:hAnsi="Times New Roman"/>
                <w:kern w:val="0"/>
                <w:szCs w:val="21"/>
              </w:rPr>
              <w:t>专项评价设置情况</w:t>
            </w:r>
          </w:p>
        </w:tc>
        <w:tc>
          <w:tcPr>
            <w:tcW w:w="8451" w:type="dxa"/>
            <w:gridSpan w:val="3"/>
            <w:shd w:val="clear" w:color="auto" w:fill="auto"/>
            <w:vAlign w:val="center"/>
          </w:tcPr>
          <w:p>
            <w:pPr>
              <w:pStyle w:val="66"/>
              <w:spacing w:line="400" w:lineRule="exact"/>
              <w:ind w:firstLine="480"/>
              <w:rPr>
                <w:rFonts w:ascii="Times New Roman" w:hAnsi="Times New Roman"/>
                <w:b/>
                <w:bCs/>
              </w:rPr>
            </w:pPr>
            <w:r>
              <w:rPr>
                <w:rFonts w:hint="eastAsia" w:ascii="宋体" w:hAnsi="宋体"/>
                <w:bCs/>
              </w:rPr>
              <w:t>对照“专项评价设置原则表”，本项目不需要设置大气环境、地表水环境、环境风险、生态环境、海洋环境等专项评价，具体见下表。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07"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kern w:val="0"/>
                <w:szCs w:val="21"/>
              </w:rPr>
              <w:t>专项评价设置情况</w:t>
            </w:r>
          </w:p>
        </w:tc>
        <w:tc>
          <w:tcPr>
            <w:tcW w:w="8451" w:type="dxa"/>
            <w:gridSpan w:val="3"/>
            <w:shd w:val="clear" w:color="auto" w:fill="auto"/>
            <w:vAlign w:val="center"/>
          </w:tcPr>
          <w:p>
            <w:pPr>
              <w:pStyle w:val="34"/>
              <w:spacing w:before="120"/>
              <w:ind w:firstLine="482"/>
              <w:rPr>
                <w:rFonts w:ascii="Times New Roman" w:hAnsi="Times New Roman" w:eastAsia="宋体"/>
                <w:b/>
                <w:bCs/>
                <w:szCs w:val="24"/>
              </w:rPr>
            </w:pPr>
            <w:bookmarkStart w:id="2" w:name="_Ref68272796"/>
            <w:r>
              <w:rPr>
                <w:rFonts w:ascii="Times New Roman" w:hAnsi="Times New Roman" w:eastAsia="宋体"/>
                <w:b/>
                <w:bCs/>
                <w:szCs w:val="24"/>
              </w:rPr>
              <w:t>表1.1-1 专项评价设置原则表</w:t>
            </w:r>
            <w:bookmarkEnd w:id="2"/>
          </w:p>
          <w:tbl>
            <w:tblPr>
              <w:tblStyle w:val="25"/>
              <w:tblW w:w="8235"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85" w:type="dxa"/>
                <w:bottom w:w="0" w:type="dxa"/>
                <w:right w:w="85" w:type="dxa"/>
              </w:tblCellMar>
            </w:tblPr>
            <w:tblGrid>
              <w:gridCol w:w="1095"/>
              <w:gridCol w:w="3179"/>
              <w:gridCol w:w="3073"/>
              <w:gridCol w:w="888"/>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376"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专项评价的类别</w:t>
                  </w:r>
                </w:p>
              </w:tc>
              <w:tc>
                <w:tcPr>
                  <w:tcW w:w="3179" w:type="dxa"/>
                  <w:tcBorders>
                    <w:righ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设置条件</w:t>
                  </w:r>
                </w:p>
              </w:tc>
              <w:tc>
                <w:tcPr>
                  <w:tcW w:w="3073" w:type="dxa"/>
                  <w:tcBorders>
                    <w:left w:val="single" w:color="auto" w:sz="4" w:space="0"/>
                    <w:righ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项目情况</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是否设置专项</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大气</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排放废气含有毒有害污染物</w:t>
                  </w:r>
                  <w:r>
                    <w:rPr>
                      <w:rFonts w:ascii="Times New Roman" w:hAnsi="Times New Roman"/>
                      <w:bCs/>
                      <w:sz w:val="18"/>
                      <w:szCs w:val="18"/>
                      <w:vertAlign w:val="superscript"/>
                    </w:rPr>
                    <w:t>1</w:t>
                  </w:r>
                  <w:r>
                    <w:rPr>
                      <w:rFonts w:ascii="Times New Roman" w:hAnsi="Times New Roman"/>
                      <w:bCs/>
                      <w:sz w:val="18"/>
                      <w:szCs w:val="18"/>
                    </w:rPr>
                    <w:t>、二噁英、苯并[a]芘、氰化物、氯气且厂界外500米范围内有环境空气保护目标</w:t>
                  </w:r>
                  <w:r>
                    <w:rPr>
                      <w:rFonts w:ascii="Times New Roman" w:hAnsi="Times New Roman"/>
                      <w:bCs/>
                      <w:sz w:val="18"/>
                      <w:szCs w:val="18"/>
                      <w:vertAlign w:val="superscript"/>
                    </w:rPr>
                    <w:t>2</w:t>
                  </w:r>
                  <w:r>
                    <w:rPr>
                      <w:rFonts w:ascii="Times New Roman" w:hAnsi="Times New Roman"/>
                      <w:bCs/>
                      <w:sz w:val="18"/>
                      <w:szCs w:val="18"/>
                    </w:rPr>
                    <w:t>的建设项目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项目排放的废气污染物为颗粒物，不涉及含有毒有害污染物、二噁英、苯并[a]芘、氰化物、氯气等</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地表水</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新增工业废水直排建设项目(槽罐车外送污水处理厂的除外)；新增废水直排的污水集中处理厂</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本项目生产废水经</w:t>
                  </w:r>
                  <w:r>
                    <w:rPr>
                      <w:rFonts w:hint="eastAsia" w:ascii="Times New Roman" w:hAnsi="Times New Roman"/>
                      <w:bCs/>
                      <w:sz w:val="18"/>
                      <w:szCs w:val="18"/>
                    </w:rPr>
                    <w:t>“隔油池+沉淀池”</w:t>
                  </w:r>
                  <w:r>
                    <w:rPr>
                      <w:rFonts w:ascii="Times New Roman" w:hAnsi="Times New Roman"/>
                      <w:bCs/>
                      <w:sz w:val="18"/>
                      <w:szCs w:val="18"/>
                    </w:rPr>
                    <w:t>处理后回用不外排，生活污水经地埋式生活污水处理设施处理后用于周边山林地</w:t>
                  </w:r>
                  <w:r>
                    <w:rPr>
                      <w:rFonts w:hint="eastAsia" w:ascii="Times New Roman" w:hAnsi="Times New Roman"/>
                      <w:bCs/>
                      <w:sz w:val="18"/>
                      <w:szCs w:val="18"/>
                    </w:rPr>
                    <w:t>灌溉</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环境</w:t>
                  </w:r>
                </w:p>
                <w:p>
                  <w:pPr>
                    <w:jc w:val="center"/>
                    <w:rPr>
                      <w:rFonts w:ascii="Times New Roman" w:hAnsi="Times New Roman"/>
                      <w:bCs/>
                      <w:sz w:val="18"/>
                      <w:szCs w:val="18"/>
                    </w:rPr>
                  </w:pPr>
                  <w:r>
                    <w:rPr>
                      <w:rFonts w:ascii="Times New Roman" w:hAnsi="Times New Roman"/>
                      <w:bCs/>
                      <w:sz w:val="18"/>
                      <w:szCs w:val="18"/>
                    </w:rPr>
                    <w:t>风险</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有毒有害和易燃易爆危险物质存储量超过临界量的建设项目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项目不涉及有毒有害和易燃易爆环境风险物质</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生态</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取水口下游500米范围内有重要水生生物的自然产卵场、索饵场、越冬场和洄游通道的新增河道取水的污染类建设项目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ascii="Times New Roman" w:hAnsi="Times New Roman"/>
                      <w:bCs/>
                      <w:sz w:val="18"/>
                      <w:szCs w:val="18"/>
                    </w:rPr>
                    <w:t>项目用水</w:t>
                  </w:r>
                  <w:r>
                    <w:rPr>
                      <w:rFonts w:hint="eastAsia" w:ascii="Times New Roman" w:hAnsi="Times New Roman"/>
                      <w:bCs/>
                      <w:sz w:val="18"/>
                      <w:szCs w:val="18"/>
                    </w:rPr>
                    <w:t>取自山泉水，不属于</w:t>
                  </w:r>
                  <w:r>
                    <w:rPr>
                      <w:rFonts w:ascii="Times New Roman" w:hAnsi="Times New Roman"/>
                      <w:bCs/>
                      <w:sz w:val="18"/>
                      <w:szCs w:val="18"/>
                    </w:rPr>
                    <w:t>取水口下游500米范围内有重要水生生物的自然产卵场、索饵场、越冬场和洄游通道的新增河道取水的污染类建设项目</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85" w:type="dxa"/>
                  <w:bottom w:w="0" w:type="dxa"/>
                  <w:right w:w="85" w:type="dxa"/>
                </w:tblCellMar>
              </w:tblPrEx>
              <w:trPr>
                <w:trHeight w:val="90" w:hRule="atLeast"/>
                <w:jc w:val="center"/>
              </w:trPr>
              <w:tc>
                <w:tcPr>
                  <w:tcW w:w="1095" w:type="dxa"/>
                  <w:vAlign w:val="center"/>
                </w:tcPr>
                <w:p>
                  <w:pPr>
                    <w:jc w:val="center"/>
                    <w:rPr>
                      <w:rFonts w:ascii="Times New Roman" w:hAnsi="Times New Roman"/>
                      <w:bCs/>
                      <w:sz w:val="18"/>
                      <w:szCs w:val="18"/>
                    </w:rPr>
                  </w:pPr>
                  <w:r>
                    <w:rPr>
                      <w:rFonts w:ascii="Times New Roman" w:hAnsi="Times New Roman"/>
                      <w:bCs/>
                      <w:sz w:val="18"/>
                      <w:szCs w:val="18"/>
                    </w:rPr>
                    <w:t>海洋</w:t>
                  </w:r>
                </w:p>
              </w:tc>
              <w:tc>
                <w:tcPr>
                  <w:tcW w:w="3179" w:type="dxa"/>
                  <w:tcBorders>
                    <w:right w:val="single" w:color="auto" w:sz="4" w:space="0"/>
                  </w:tcBorders>
                  <w:vAlign w:val="center"/>
                </w:tcPr>
                <w:p>
                  <w:pPr>
                    <w:rPr>
                      <w:rFonts w:ascii="Times New Roman" w:hAnsi="Times New Roman"/>
                      <w:bCs/>
                      <w:sz w:val="18"/>
                      <w:szCs w:val="18"/>
                    </w:rPr>
                  </w:pPr>
                  <w:r>
                    <w:rPr>
                      <w:rFonts w:ascii="Times New Roman" w:hAnsi="Times New Roman"/>
                      <w:bCs/>
                      <w:sz w:val="18"/>
                      <w:szCs w:val="18"/>
                    </w:rPr>
                    <w:t>直接向海排放污染物的海洋工程建设项目</w:t>
                  </w:r>
                </w:p>
              </w:tc>
              <w:tc>
                <w:tcPr>
                  <w:tcW w:w="3073" w:type="dxa"/>
                  <w:tcBorders>
                    <w:left w:val="single" w:color="auto" w:sz="4" w:space="0"/>
                    <w:right w:val="single" w:color="auto" w:sz="4" w:space="0"/>
                  </w:tcBorders>
                  <w:vAlign w:val="center"/>
                </w:tcPr>
                <w:p>
                  <w:pPr>
                    <w:rPr>
                      <w:rFonts w:ascii="Times New Roman" w:hAnsi="Times New Roman"/>
                      <w:bCs/>
                      <w:sz w:val="18"/>
                      <w:szCs w:val="18"/>
                    </w:rPr>
                  </w:pPr>
                  <w:r>
                    <w:rPr>
                      <w:rFonts w:hint="eastAsia" w:ascii="Times New Roman" w:hAnsi="Times New Roman"/>
                      <w:bCs/>
                      <w:sz w:val="18"/>
                      <w:szCs w:val="18"/>
                    </w:rPr>
                    <w:t>不属于</w:t>
                  </w:r>
                  <w:r>
                    <w:rPr>
                      <w:rFonts w:ascii="Times New Roman" w:hAnsi="Times New Roman"/>
                      <w:bCs/>
                      <w:sz w:val="18"/>
                      <w:szCs w:val="18"/>
                    </w:rPr>
                    <w:t>直接向海排放污染物的海洋工程建设项目</w:t>
                  </w:r>
                </w:p>
              </w:tc>
              <w:tc>
                <w:tcPr>
                  <w:tcW w:w="888" w:type="dxa"/>
                  <w:tcBorders>
                    <w:left w:val="single" w:color="auto" w:sz="4" w:space="0"/>
                  </w:tcBorders>
                  <w:vAlign w:val="center"/>
                </w:tcPr>
                <w:p>
                  <w:pPr>
                    <w:jc w:val="center"/>
                    <w:rPr>
                      <w:rFonts w:ascii="Times New Roman" w:hAnsi="Times New Roman"/>
                      <w:bCs/>
                      <w:sz w:val="18"/>
                      <w:szCs w:val="18"/>
                    </w:rPr>
                  </w:pPr>
                  <w:r>
                    <w:rPr>
                      <w:rFonts w:ascii="Times New Roman" w:hAnsi="Times New Roman"/>
                      <w:bCs/>
                      <w:sz w:val="18"/>
                      <w:szCs w:val="18"/>
                    </w:rPr>
                    <w:t>否</w:t>
                  </w:r>
                </w:p>
              </w:tc>
            </w:tr>
          </w:tbl>
          <w:p>
            <w:pPr>
              <w:adjustRightInd w:val="0"/>
              <w:snapToGrid w:val="0"/>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7" w:type="dxa"/>
            <w:vAlign w:val="center"/>
          </w:tcPr>
          <w:p>
            <w:pPr>
              <w:autoSpaceDE w:val="0"/>
              <w:autoSpaceDN w:val="0"/>
              <w:adjustRightInd w:val="0"/>
              <w:snapToGrid w:val="0"/>
              <w:jc w:val="center"/>
              <w:rPr>
                <w:rFonts w:ascii="Times New Roman" w:hAnsi="Times New Roman"/>
                <w:kern w:val="0"/>
                <w:szCs w:val="21"/>
              </w:rPr>
            </w:pPr>
            <w:r>
              <w:rPr>
                <w:rFonts w:ascii="Times New Roman" w:hAnsi="Times New Roman"/>
                <w:szCs w:val="21"/>
              </w:rPr>
              <w:t>规划情况</w:t>
            </w:r>
          </w:p>
        </w:tc>
        <w:tc>
          <w:tcPr>
            <w:tcW w:w="8451" w:type="dxa"/>
            <w:gridSpan w:val="3"/>
            <w:vAlign w:val="center"/>
          </w:tcPr>
          <w:p>
            <w:pPr>
              <w:pStyle w:val="46"/>
              <w:rPr>
                <w:color w:val="auto"/>
              </w:rPr>
            </w:pPr>
            <w:r>
              <w:rPr>
                <w:rFonts w:hint="eastAsia"/>
                <w:color w:val="auto"/>
              </w:rPr>
              <w:t>1、</w:t>
            </w:r>
            <w:r>
              <w:rPr>
                <w:color w:val="auto"/>
              </w:rPr>
              <w:t>《大田县国土空间总体规划（2021-2035年）草案公示稿）》</w:t>
            </w:r>
            <w:r>
              <w:rPr>
                <w:rFonts w:hint="eastAsia"/>
                <w:color w:val="auto"/>
              </w:rPr>
              <w:t>；</w:t>
            </w:r>
          </w:p>
          <w:p>
            <w:pPr>
              <w:pStyle w:val="46"/>
              <w:rPr>
                <w:color w:val="auto"/>
                <w:sz w:val="18"/>
                <w:szCs w:val="18"/>
              </w:rPr>
            </w:pPr>
            <w:r>
              <w:rPr>
                <w:rFonts w:hint="eastAsia"/>
                <w:color w:val="auto"/>
              </w:rPr>
              <w:t>2、《大田县武陵乡大石村村庄规划（2019-2035）》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07" w:type="dxa"/>
            <w:vAlign w:val="center"/>
          </w:tcPr>
          <w:p>
            <w:pPr>
              <w:adjustRightInd w:val="0"/>
              <w:snapToGrid w:val="0"/>
              <w:jc w:val="center"/>
              <w:rPr>
                <w:rFonts w:ascii="Times New Roman" w:hAnsi="Times New Roman"/>
                <w:szCs w:val="21"/>
              </w:rPr>
            </w:pPr>
            <w:r>
              <w:rPr>
                <w:rFonts w:ascii="Times New Roman" w:hAnsi="Times New Roman"/>
                <w:szCs w:val="21"/>
              </w:rPr>
              <w:t>规划环境影响</w:t>
            </w:r>
          </w:p>
          <w:p>
            <w:pPr>
              <w:adjustRightInd w:val="0"/>
              <w:snapToGrid w:val="0"/>
              <w:jc w:val="center"/>
              <w:rPr>
                <w:rFonts w:ascii="Times New Roman" w:hAnsi="Times New Roman"/>
                <w:kern w:val="0"/>
                <w:szCs w:val="21"/>
              </w:rPr>
            </w:pPr>
            <w:r>
              <w:rPr>
                <w:rFonts w:ascii="Times New Roman" w:hAnsi="Times New Roman"/>
                <w:szCs w:val="21"/>
              </w:rPr>
              <w:t>评价情况</w:t>
            </w:r>
          </w:p>
        </w:tc>
        <w:tc>
          <w:tcPr>
            <w:tcW w:w="8451" w:type="dxa"/>
            <w:gridSpan w:val="3"/>
            <w:vAlign w:val="center"/>
          </w:tcPr>
          <w:p>
            <w:pPr>
              <w:spacing w:line="400" w:lineRule="exact"/>
              <w:jc w:val="center"/>
              <w:rPr>
                <w:rFonts w:ascii="Times New Roman" w:hAnsi="Times New Roman"/>
                <w:kern w:val="0"/>
                <w:szCs w:val="21"/>
              </w:rPr>
            </w:pPr>
            <w:r>
              <w:rPr>
                <w:rFonts w:ascii="Times New Roman" w:hAnsi="Times New Roman"/>
                <w:kern w:val="0"/>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07" w:type="dxa"/>
            <w:vAlign w:val="center"/>
          </w:tcPr>
          <w:p>
            <w:pPr>
              <w:spacing w:line="400" w:lineRule="exact"/>
              <w:jc w:val="center"/>
              <w:rPr>
                <w:rFonts w:ascii="Times New Roman" w:hAnsi="Times New Roman"/>
                <w:kern w:val="0"/>
                <w:szCs w:val="21"/>
              </w:rPr>
            </w:pPr>
            <w:r>
              <w:rPr>
                <w:rFonts w:ascii="Times New Roman" w:hAnsi="Times New Roman"/>
                <w:kern w:val="0"/>
                <w:szCs w:val="21"/>
              </w:rPr>
              <w:t>规划及规划环境影响评价符合性分析</w:t>
            </w:r>
          </w:p>
        </w:tc>
        <w:tc>
          <w:tcPr>
            <w:tcW w:w="8451" w:type="dxa"/>
            <w:gridSpan w:val="3"/>
            <w:vAlign w:val="center"/>
          </w:tcPr>
          <w:p>
            <w:pPr>
              <w:pStyle w:val="6"/>
              <w:ind w:left="311"/>
              <w:rPr>
                <w:color w:val="auto"/>
              </w:rPr>
            </w:pPr>
            <w:r>
              <w:rPr>
                <w:color w:val="auto"/>
              </w:rPr>
              <w:t>1.</w:t>
            </w:r>
            <w:r>
              <w:rPr>
                <w:rFonts w:hint="eastAsia"/>
                <w:color w:val="auto"/>
              </w:rPr>
              <w:t>1规划符合性分析</w:t>
            </w:r>
          </w:p>
          <w:p>
            <w:pPr>
              <w:pStyle w:val="8"/>
              <w:numPr>
                <w:ilvl w:val="0"/>
                <w:numId w:val="0"/>
              </w:numPr>
            </w:pPr>
            <w:r>
              <w:rPr>
                <w:rFonts w:ascii="Times New Roman" w:hAnsi="Times New Roman"/>
              </w:rPr>
              <w:t>1.</w:t>
            </w:r>
            <w:r>
              <w:rPr>
                <w:rFonts w:hint="eastAsia" w:ascii="Times New Roman" w:hAnsi="Times New Roman"/>
              </w:rPr>
              <w:t>1</w:t>
            </w:r>
            <w:r>
              <w:rPr>
                <w:rFonts w:ascii="Times New Roman" w:hAnsi="Times New Roman"/>
              </w:rPr>
              <w:t>.1</w:t>
            </w:r>
            <w:r>
              <w:rPr>
                <w:rFonts w:hint="eastAsia" w:ascii="Times New Roman" w:hAnsi="Times New Roman"/>
                <w:kern w:val="21"/>
                <w:szCs w:val="24"/>
              </w:rPr>
              <w:t>与《大田县国土空间总体规划》（2</w:t>
            </w:r>
            <w:r>
              <w:rPr>
                <w:rFonts w:ascii="Times New Roman" w:hAnsi="Times New Roman"/>
                <w:kern w:val="21"/>
                <w:szCs w:val="24"/>
              </w:rPr>
              <w:t>021-2035</w:t>
            </w:r>
            <w:r>
              <w:rPr>
                <w:rFonts w:hint="eastAsia" w:ascii="Times New Roman" w:hAnsi="Times New Roman"/>
                <w:kern w:val="21"/>
                <w:szCs w:val="24"/>
              </w:rPr>
              <w:t>草案公示稿）符合性分析</w:t>
            </w:r>
          </w:p>
          <w:p>
            <w:pPr>
              <w:pStyle w:val="46"/>
              <w:spacing w:line="420" w:lineRule="atLeast"/>
              <w:rPr>
                <w:color w:val="auto"/>
              </w:rPr>
            </w:pPr>
            <w:r>
              <w:rPr>
                <w:rFonts w:hint="eastAsia"/>
                <w:color w:val="auto"/>
              </w:rPr>
              <w:t>项目位于三明市大田县武陵乡大石村，租用福建省大田县岩盛铸造有限公司（以下简称岩盛公司）部分闲置厂房，不新增建设用地。</w:t>
            </w:r>
            <w:r>
              <w:rPr>
                <w:rFonts w:hint="eastAsia"/>
                <w:color w:val="auto"/>
                <w:kern w:val="21"/>
              </w:rPr>
              <w:t>对照</w:t>
            </w:r>
            <w:r>
              <w:rPr>
                <w:rFonts w:hint="eastAsia"/>
                <w:color w:val="auto"/>
              </w:rPr>
              <w:t>《大田县国土空间总体规划》（2</w:t>
            </w:r>
            <w:r>
              <w:rPr>
                <w:color w:val="auto"/>
              </w:rPr>
              <w:t>021-2035</w:t>
            </w:r>
            <w:r>
              <w:rPr>
                <w:rFonts w:hint="eastAsia"/>
                <w:color w:val="auto"/>
              </w:rPr>
              <w:t>草案公示稿）中的大田县三条线控制规划图，项目用地不占用永久基本农田和生态保护红线。根据大田县自然资源局开具的《大田县武陵乡大石村村庄规划局部图》，项目用地位于城镇开发边界内，属于工业用地，不涉及永久基本农田和生态保护红线，符合大田县“三区三线”要求。因此，项目选址符合大田县国土空间总体规划管控要求。</w:t>
            </w:r>
          </w:p>
          <w:p>
            <w:pPr>
              <w:pStyle w:val="46"/>
              <w:spacing w:line="420" w:lineRule="atLeast"/>
              <w:rPr>
                <w:color w:val="auto"/>
              </w:rPr>
            </w:pPr>
            <w:r>
              <w:rPr>
                <w:rFonts w:hint="eastAsia"/>
                <w:color w:val="auto"/>
              </w:rPr>
              <w:t>大田县作为中国铸造产业集群试点县，坚持“创新驱动，绿色发展”。本项目属于废弃资源综合利用业，主要回收利用周边生产企业产生的废铁渣、铸造砂、钢渣等一般固体废物；本项目位于大田县武陵乡大石村的铸造集聚区，作为区域铸造产业的配套产业，有利于形成区域铸造循环经济产业链，实现区域产业协作和互利共赢。本项目符合大田县的产业发展定位。</w:t>
            </w:r>
          </w:p>
          <w:p>
            <w:pPr>
              <w:pStyle w:val="46"/>
              <w:spacing w:after="120" w:afterLines="50"/>
              <w:rPr>
                <w:color w:val="auto"/>
              </w:rPr>
            </w:pPr>
            <w:r>
              <w:rPr>
                <w:rFonts w:hint="eastAsia"/>
                <w:color w:val="auto"/>
              </w:rPr>
              <w:t>综上分析，本项目符合</w:t>
            </w:r>
            <w:r>
              <w:rPr>
                <w:color w:val="auto"/>
              </w:rPr>
              <w:t>《大田县国土空间总体规划（2021-2035年）》（草案）要求</w:t>
            </w:r>
            <w:r>
              <w:rPr>
                <w:rFonts w:hint="eastAsia"/>
                <w:color w:val="auto"/>
              </w:rPr>
              <w:t>。</w:t>
            </w:r>
          </w:p>
          <w:p>
            <w:pPr>
              <w:pStyle w:val="8"/>
              <w:keepNext/>
              <w:keepLines/>
              <w:pageBreakBefore w:val="0"/>
              <w:widowControl w:val="0"/>
              <w:numPr>
                <w:ilvl w:val="0"/>
                <w:numId w:val="0"/>
              </w:numPr>
              <w:kinsoku/>
              <w:wordWrap/>
              <w:overflowPunct/>
              <w:topLinePunct w:val="0"/>
              <w:autoSpaceDE/>
              <w:autoSpaceDN/>
              <w:bidi w:val="0"/>
              <w:adjustRightInd/>
              <w:snapToGrid/>
              <w:textAlignment w:val="auto"/>
              <w:rPr>
                <w:rFonts w:ascii="Times New Roman" w:hAnsi="Times New Roman"/>
              </w:rPr>
            </w:pPr>
            <w:r>
              <w:rPr>
                <w:rFonts w:ascii="Times New Roman" w:hAnsi="Times New Roman"/>
              </w:rPr>
              <w:t>1.</w:t>
            </w:r>
            <w:r>
              <w:rPr>
                <w:rFonts w:hint="eastAsia" w:ascii="Times New Roman" w:hAnsi="Times New Roman"/>
              </w:rPr>
              <w:t>1</w:t>
            </w:r>
            <w:r>
              <w:rPr>
                <w:rFonts w:ascii="Times New Roman" w:hAnsi="Times New Roman"/>
              </w:rPr>
              <w:t>.</w:t>
            </w:r>
            <w:r>
              <w:rPr>
                <w:rFonts w:hint="eastAsia" w:ascii="Times New Roman" w:hAnsi="Times New Roman"/>
              </w:rPr>
              <w:t>2与《大田县武陵乡大石村村庄规划（2019-2035）》符合性分析</w:t>
            </w:r>
          </w:p>
          <w:p>
            <w:pPr>
              <w:pStyle w:val="46"/>
              <w:spacing w:line="420" w:lineRule="atLeast"/>
              <w:rPr>
                <w:color w:val="auto"/>
              </w:rPr>
            </w:pPr>
            <w:r>
              <w:rPr>
                <w:rFonts w:hint="eastAsia"/>
                <w:color w:val="auto"/>
              </w:rPr>
              <w:t>项目厂址位于大田县武陵乡大石村的铸造集聚区，对照《大田县武陵乡大石村村庄规划（2019-2035）》，该项目用地范围位于大石村建设用地管制区中的城镇建设用地（见附图1</w:t>
            </w:r>
            <w:r>
              <w:rPr>
                <w:rFonts w:hint="eastAsia"/>
                <w:color w:val="auto"/>
                <w:lang w:val="en-US" w:eastAsia="zh-CN"/>
              </w:rPr>
              <w:t>3</w:t>
            </w:r>
            <w:r>
              <w:rPr>
                <w:rFonts w:hint="eastAsia"/>
                <w:color w:val="auto"/>
              </w:rPr>
              <w:t>）。根据大田县自然资源局开具的《大田县武陵乡大石村村庄规划局部图》（见附图1</w:t>
            </w:r>
            <w:r>
              <w:rPr>
                <w:rFonts w:hint="eastAsia"/>
                <w:color w:val="auto"/>
                <w:lang w:val="en-US" w:eastAsia="zh-CN"/>
              </w:rPr>
              <w:t>4</w:t>
            </w:r>
            <w:r>
              <w:rPr>
                <w:rFonts w:hint="eastAsia"/>
                <w:color w:val="auto"/>
              </w:rPr>
              <w:t>），项目用地位于城镇开发边界内，属于工业用地，不涉及永久基本农田和生态保护红线，地块为二类工业用地。因此，项目选址符合大石村村庄用地规划。</w:t>
            </w:r>
          </w:p>
          <w:p>
            <w:pPr>
              <w:pStyle w:val="46"/>
              <w:spacing w:after="120" w:afterLines="50"/>
              <w:rPr>
                <w:color w:val="auto"/>
              </w:rPr>
            </w:pPr>
            <w:r>
              <w:rPr>
                <w:rFonts w:hint="eastAsia"/>
                <w:color w:val="auto"/>
              </w:rPr>
              <w:t>综上分析，本项目选址符合《大田县武陵乡大石村村庄规划（2019-2035）》要求。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 w:type="dxa"/>
            <w:vAlign w:val="center"/>
          </w:tcPr>
          <w:p>
            <w:pPr>
              <w:spacing w:line="400" w:lineRule="exact"/>
              <w:jc w:val="center"/>
              <w:rPr>
                <w:rFonts w:ascii="Times New Roman" w:hAnsi="Times New Roman"/>
                <w:kern w:val="0"/>
                <w:szCs w:val="21"/>
              </w:rPr>
            </w:pPr>
            <w:r>
              <w:rPr>
                <w:rFonts w:ascii="Times New Roman" w:hAnsi="Times New Roman"/>
                <w:kern w:val="0"/>
                <w:szCs w:val="21"/>
              </w:rPr>
              <w:t>其他符合性分析</w:t>
            </w:r>
          </w:p>
        </w:tc>
        <w:tc>
          <w:tcPr>
            <w:tcW w:w="8451" w:type="dxa"/>
            <w:gridSpan w:val="3"/>
            <w:vAlign w:val="center"/>
          </w:tcPr>
          <w:p>
            <w:pPr>
              <w:pStyle w:val="6"/>
              <w:ind w:left="311"/>
              <w:rPr>
                <w:color w:val="auto"/>
              </w:rPr>
            </w:pPr>
            <w:bookmarkStart w:id="3" w:name="_Toc83203071"/>
            <w:r>
              <w:rPr>
                <w:color w:val="auto"/>
              </w:rPr>
              <w:t>1.2其他符合性分析</w:t>
            </w:r>
            <w:bookmarkEnd w:id="3"/>
          </w:p>
          <w:p>
            <w:pPr>
              <w:pStyle w:val="8"/>
              <w:numPr>
                <w:ilvl w:val="0"/>
                <w:numId w:val="0"/>
              </w:numPr>
              <w:rPr>
                <w:rFonts w:ascii="Times New Roman" w:hAnsi="Times New Roman"/>
              </w:rPr>
            </w:pPr>
            <w:r>
              <w:rPr>
                <w:rFonts w:ascii="Times New Roman" w:hAnsi="Times New Roman"/>
              </w:rPr>
              <w:t>1.2.1三明市“三线一单”</w:t>
            </w:r>
            <w:r>
              <w:rPr>
                <w:rFonts w:hint="eastAsia" w:ascii="Times New Roman" w:hAnsi="Times New Roman"/>
              </w:rPr>
              <w:t>管控</w:t>
            </w:r>
            <w:r>
              <w:rPr>
                <w:rFonts w:ascii="Times New Roman" w:hAnsi="Times New Roman"/>
              </w:rPr>
              <w:t>要求符合性分析</w:t>
            </w:r>
          </w:p>
          <w:p>
            <w:pPr>
              <w:spacing w:line="440" w:lineRule="exact"/>
              <w:ind w:firstLine="480" w:firstLineChars="200"/>
              <w:rPr>
                <w:rFonts w:ascii="Times New Roman" w:hAnsi="Times New Roman"/>
                <w:kern w:val="0"/>
                <w:szCs w:val="21"/>
              </w:rPr>
            </w:pPr>
            <w:r>
              <w:rPr>
                <w:rFonts w:ascii="Times New Roman" w:hAnsi="Times New Roman"/>
                <w:kern w:val="0"/>
                <w:szCs w:val="21"/>
              </w:rPr>
              <w:t>项目建设符合《三明市人民政府关于印发三明市“三线一单”生态环境分区管控方案的通知》（明政〔2021〕4号）中的</w:t>
            </w:r>
            <w:r>
              <w:rPr>
                <w:rFonts w:hint="eastAsia" w:ascii="Times New Roman" w:hAnsi="Times New Roman"/>
                <w:kern w:val="0"/>
                <w:szCs w:val="21"/>
              </w:rPr>
              <w:t>管控</w:t>
            </w:r>
            <w:r>
              <w:rPr>
                <w:rFonts w:ascii="Times New Roman" w:hAnsi="Times New Roman"/>
                <w:kern w:val="0"/>
                <w:szCs w:val="21"/>
              </w:rPr>
              <w:t>要求，具体分析如下</w:t>
            </w:r>
            <w:r>
              <w:rPr>
                <w:rFonts w:hint="eastAsia" w:ascii="Times New Roman" w:hAnsi="Times New Roman"/>
                <w:kern w:val="0"/>
                <w:szCs w:val="21"/>
              </w:rPr>
              <w:t>：</w:t>
            </w:r>
          </w:p>
          <w:p>
            <w:pPr>
              <w:pStyle w:val="9"/>
              <w:numPr>
                <w:ilvl w:val="3"/>
                <w:numId w:val="0"/>
              </w:numPr>
              <w:spacing w:line="440" w:lineRule="exact"/>
              <w:rPr>
                <w:rFonts w:ascii="Times New Roman" w:hAnsi="Times New Roman"/>
              </w:rPr>
            </w:pPr>
            <w:r>
              <w:rPr>
                <w:rFonts w:ascii="Times New Roman" w:hAnsi="Times New Roman"/>
              </w:rPr>
              <w:t>1.2.1.1生态保护红线</w:t>
            </w:r>
          </w:p>
          <w:p>
            <w:pPr>
              <w:spacing w:line="440" w:lineRule="exact"/>
              <w:ind w:firstLine="480" w:firstLineChars="200"/>
              <w:rPr>
                <w:rFonts w:ascii="Times New Roman" w:hAnsi="Times New Roman"/>
                <w:szCs w:val="22"/>
              </w:rPr>
            </w:pPr>
            <w:r>
              <w:rPr>
                <w:rFonts w:ascii="Times New Roman" w:hAnsi="Times New Roman"/>
                <w:kern w:val="0"/>
                <w:szCs w:val="21"/>
              </w:rPr>
              <w:t>项目位于三明市大田县</w:t>
            </w:r>
            <w:r>
              <w:rPr>
                <w:rFonts w:hint="eastAsia" w:ascii="Times New Roman" w:hAnsi="Times New Roman"/>
                <w:kern w:val="0"/>
                <w:szCs w:val="21"/>
              </w:rPr>
              <w:t>武陵乡大石村</w:t>
            </w:r>
            <w:r>
              <w:rPr>
                <w:rFonts w:ascii="Times New Roman" w:hAnsi="Times New Roman"/>
                <w:kern w:val="0"/>
                <w:szCs w:val="21"/>
              </w:rPr>
              <w:t>，项目选址不涉及自然保护区、饮用水源保护区、风景名胜区、重要湿地、生态公益林、重要自然与人文景观、文物古迹及其他需要特别保护的区域，项目选址符合生态保护红线要求</w:t>
            </w:r>
            <w:r>
              <w:rPr>
                <w:rFonts w:ascii="Times New Roman" w:hAnsi="Times New Roman"/>
                <w:szCs w:val="22"/>
              </w:rPr>
              <w:t>。</w:t>
            </w:r>
          </w:p>
          <w:p>
            <w:pPr>
              <w:pStyle w:val="9"/>
              <w:numPr>
                <w:ilvl w:val="3"/>
                <w:numId w:val="0"/>
              </w:numPr>
              <w:spacing w:line="440" w:lineRule="exact"/>
              <w:rPr>
                <w:rFonts w:ascii="Times New Roman" w:hAnsi="Times New Roman"/>
              </w:rPr>
            </w:pPr>
            <w:r>
              <w:rPr>
                <w:rFonts w:ascii="Times New Roman" w:hAnsi="Times New Roman"/>
              </w:rPr>
              <w:t>1.2.1.2环境质量底线</w:t>
            </w:r>
          </w:p>
          <w:p>
            <w:pPr>
              <w:spacing w:line="440" w:lineRule="exact"/>
              <w:ind w:firstLine="480" w:firstLineChars="200"/>
              <w:rPr>
                <w:rFonts w:ascii="Times New Roman" w:hAnsi="Times New Roman"/>
                <w:kern w:val="0"/>
                <w:szCs w:val="21"/>
              </w:rPr>
            </w:pPr>
            <w:r>
              <w:rPr>
                <w:rFonts w:ascii="Times New Roman" w:hAnsi="Times New Roman"/>
                <w:kern w:val="0"/>
                <w:szCs w:val="21"/>
              </w:rPr>
              <w:t>本项目所在区域的环境质量底线为：环境空气质量目标为《环境空气质量标准》（GB3095-2012）二级标准；水环境质量目标为《地表水环境质量标准》（GB3838-2002）Ⅲ类水质标准；区域声环境质量目标为《声环境质量标准》（GB3096-2008）</w:t>
            </w:r>
            <w:r>
              <w:rPr>
                <w:rFonts w:hint="eastAsia" w:ascii="Times New Roman" w:hAnsi="Times New Roman"/>
                <w:kern w:val="0"/>
                <w:szCs w:val="21"/>
              </w:rPr>
              <w:t>2</w:t>
            </w:r>
            <w:r>
              <w:rPr>
                <w:rFonts w:ascii="Times New Roman" w:hAnsi="Times New Roman"/>
                <w:kern w:val="0"/>
                <w:szCs w:val="21"/>
              </w:rPr>
              <w:t>类标准。</w:t>
            </w:r>
          </w:p>
          <w:p>
            <w:pPr>
              <w:spacing w:line="440" w:lineRule="exact"/>
              <w:ind w:firstLine="480" w:firstLineChars="200"/>
              <w:rPr>
                <w:rFonts w:ascii="Times New Roman" w:hAnsi="Times New Roman"/>
                <w:szCs w:val="22"/>
              </w:rPr>
            </w:pPr>
            <w:r>
              <w:rPr>
                <w:rFonts w:ascii="Times New Roman" w:hAnsi="Times New Roman"/>
                <w:kern w:val="0"/>
                <w:szCs w:val="21"/>
              </w:rPr>
              <w:t>本项目</w:t>
            </w:r>
            <w:r>
              <w:rPr>
                <w:rFonts w:hint="eastAsia" w:ascii="Times New Roman" w:hAnsi="Times New Roman"/>
                <w:kern w:val="0"/>
                <w:szCs w:val="21"/>
              </w:rPr>
              <w:t>生产废水经“隔油池+沉淀池”处理后全部回用于生产，不外排。生活污水经地埋式生活污水处理设施处理后用于周边山林地灌溉，</w:t>
            </w:r>
            <w:r>
              <w:rPr>
                <w:rFonts w:ascii="Times New Roman" w:hAnsi="Times New Roman"/>
                <w:kern w:val="0"/>
                <w:szCs w:val="21"/>
              </w:rPr>
              <w:t>对区域水环境</w:t>
            </w:r>
            <w:r>
              <w:rPr>
                <w:rFonts w:hint="eastAsia" w:ascii="Times New Roman" w:hAnsi="Times New Roman"/>
                <w:kern w:val="0"/>
                <w:szCs w:val="21"/>
              </w:rPr>
              <w:t>影响小</w:t>
            </w:r>
            <w:r>
              <w:rPr>
                <w:rFonts w:ascii="Times New Roman" w:hAnsi="Times New Roman"/>
                <w:kern w:val="0"/>
                <w:szCs w:val="21"/>
              </w:rPr>
              <w:t>；生产废气</w:t>
            </w:r>
            <w:r>
              <w:rPr>
                <w:rFonts w:hint="eastAsia" w:ascii="Times New Roman" w:hAnsi="Times New Roman"/>
                <w:kern w:val="0"/>
                <w:szCs w:val="21"/>
              </w:rPr>
              <w:t>主要为堆场扬尘、破碎、筛分粉尘及车辆运输扬尘等，</w:t>
            </w:r>
            <w:r>
              <w:rPr>
                <w:rFonts w:ascii="Times New Roman" w:hAnsi="Times New Roman"/>
                <w:kern w:val="0"/>
                <w:szCs w:val="21"/>
              </w:rPr>
              <w:t>不涉及有毒有害大气污染物，在落实废气</w:t>
            </w:r>
            <w:r>
              <w:rPr>
                <w:rFonts w:hint="eastAsia" w:ascii="Times New Roman" w:hAnsi="Times New Roman"/>
                <w:kern w:val="0"/>
                <w:szCs w:val="21"/>
              </w:rPr>
              <w:t>污染</w:t>
            </w:r>
            <w:r>
              <w:rPr>
                <w:rFonts w:ascii="Times New Roman" w:hAnsi="Times New Roman"/>
                <w:kern w:val="0"/>
                <w:szCs w:val="21"/>
              </w:rPr>
              <w:t>控制措施、确保达标排放的前提下，对区域大气环境质量影响较小；采取低噪设备、隔声</w:t>
            </w:r>
            <w:r>
              <w:rPr>
                <w:rFonts w:hint="eastAsia" w:ascii="Times New Roman" w:hAnsi="Times New Roman"/>
                <w:kern w:val="0"/>
                <w:szCs w:val="21"/>
              </w:rPr>
              <w:t>减振</w:t>
            </w:r>
            <w:r>
              <w:rPr>
                <w:rFonts w:ascii="Times New Roman" w:hAnsi="Times New Roman"/>
                <w:kern w:val="0"/>
                <w:szCs w:val="21"/>
              </w:rPr>
              <w:t>等降噪措施后可实现厂界噪声达标排放；各项固体废物均可得到综合利用或妥善处置</w:t>
            </w:r>
            <w:r>
              <w:rPr>
                <w:rFonts w:ascii="Times New Roman" w:hAnsi="Times New Roman"/>
                <w:szCs w:val="22"/>
              </w:rPr>
              <w:t>。</w:t>
            </w:r>
            <w:r>
              <w:rPr>
                <w:rFonts w:ascii="Times New Roman" w:hAnsi="Times New Roman"/>
                <w:kern w:val="0"/>
                <w:szCs w:val="21"/>
              </w:rPr>
              <w:t>落实本环评提出的各项环保措施后，本项目各污染物均可达标排放，对区域环境质量</w:t>
            </w:r>
            <w:r>
              <w:rPr>
                <w:rFonts w:hint="eastAsia" w:ascii="Times New Roman" w:hAnsi="Times New Roman"/>
                <w:kern w:val="0"/>
                <w:szCs w:val="21"/>
              </w:rPr>
              <w:t>影响</w:t>
            </w:r>
            <w:r>
              <w:rPr>
                <w:rFonts w:ascii="Times New Roman" w:hAnsi="Times New Roman"/>
                <w:kern w:val="0"/>
                <w:szCs w:val="21"/>
              </w:rPr>
              <w:t>较小，不会对区域环境质量底线造成冲击。</w:t>
            </w:r>
          </w:p>
          <w:p>
            <w:pPr>
              <w:pStyle w:val="9"/>
              <w:numPr>
                <w:ilvl w:val="3"/>
                <w:numId w:val="0"/>
              </w:numPr>
              <w:spacing w:line="440" w:lineRule="exact"/>
              <w:rPr>
                <w:rFonts w:ascii="Times New Roman" w:hAnsi="Times New Roman"/>
              </w:rPr>
            </w:pPr>
            <w:r>
              <w:rPr>
                <w:rFonts w:ascii="Times New Roman" w:hAnsi="Times New Roman"/>
              </w:rPr>
              <w:t>1.2.1.3资源利用上线</w:t>
            </w:r>
          </w:p>
          <w:p>
            <w:pPr>
              <w:spacing w:line="440" w:lineRule="exact"/>
              <w:ind w:firstLine="480" w:firstLineChars="200"/>
              <w:rPr>
                <w:rFonts w:ascii="Times New Roman" w:hAnsi="Times New Roman"/>
              </w:rPr>
            </w:pPr>
            <w:r>
              <w:rPr>
                <w:rFonts w:ascii="Times New Roman" w:hAnsi="Times New Roman"/>
                <w:kern w:val="0"/>
                <w:szCs w:val="21"/>
              </w:rPr>
              <w:t>本项目用电由大田县</w:t>
            </w:r>
            <w:r>
              <w:rPr>
                <w:rFonts w:hint="eastAsia" w:ascii="Times New Roman" w:hAnsi="Times New Roman"/>
                <w:kern w:val="0"/>
                <w:szCs w:val="21"/>
              </w:rPr>
              <w:t>武陵乡</w:t>
            </w:r>
            <w:r>
              <w:rPr>
                <w:rFonts w:ascii="Times New Roman" w:hAnsi="Times New Roman"/>
                <w:kern w:val="0"/>
                <w:szCs w:val="21"/>
              </w:rPr>
              <w:t>供电系统提供，</w:t>
            </w:r>
            <w:r>
              <w:rPr>
                <w:rFonts w:ascii="Times New Roman" w:hAnsi="Times New Roman"/>
              </w:rPr>
              <w:t>年用电量约</w:t>
            </w:r>
            <w:r>
              <w:rPr>
                <w:rFonts w:hint="eastAsia" w:ascii="Times New Roman" w:hAnsi="Times New Roman"/>
              </w:rPr>
              <w:t>25</w:t>
            </w:r>
            <w:r>
              <w:rPr>
                <w:rFonts w:ascii="Times New Roman" w:hAnsi="Times New Roman"/>
              </w:rPr>
              <w:t>万kwh；</w:t>
            </w:r>
            <w:r>
              <w:rPr>
                <w:rFonts w:ascii="Times New Roman" w:hAnsi="Times New Roman"/>
                <w:kern w:val="0"/>
                <w:szCs w:val="21"/>
              </w:rPr>
              <w:t>用水取自</w:t>
            </w:r>
            <w:r>
              <w:rPr>
                <w:rFonts w:hint="eastAsia" w:ascii="Times New Roman" w:hAnsi="Times New Roman"/>
                <w:kern w:val="0"/>
                <w:szCs w:val="21"/>
              </w:rPr>
              <w:t>山泉水</w:t>
            </w:r>
            <w:r>
              <w:rPr>
                <w:rFonts w:ascii="Times New Roman" w:hAnsi="Times New Roman"/>
                <w:kern w:val="0"/>
                <w:szCs w:val="21"/>
              </w:rPr>
              <w:t>，年用水量约为</w:t>
            </w:r>
            <w:r>
              <w:rPr>
                <w:rFonts w:hint="eastAsia" w:ascii="Times New Roman" w:hAnsi="Times New Roman"/>
                <w:kern w:val="0"/>
                <w:szCs w:val="21"/>
              </w:rPr>
              <w:t>6078</w:t>
            </w:r>
            <w:r>
              <w:rPr>
                <w:rFonts w:ascii="Times New Roman" w:hAnsi="Times New Roman"/>
                <w:kern w:val="0"/>
                <w:szCs w:val="21"/>
              </w:rPr>
              <w:t>t。项目运行过程通过内部管理、设备选择、原辅材料的选用和管理、废物回收利用、污染治理等多方面采取合理可行的防治措施，以“节能、降耗、减污”为目标，有效的控制污染。项目用水用电量均较小，水、电等资源利用不会突破区域的资源利用上线</w:t>
            </w:r>
            <w:r>
              <w:rPr>
                <w:rFonts w:ascii="Times New Roman" w:hAnsi="Times New Roman"/>
                <w:szCs w:val="22"/>
              </w:rPr>
              <w:t>。</w:t>
            </w:r>
          </w:p>
          <w:p>
            <w:pPr>
              <w:pStyle w:val="9"/>
              <w:numPr>
                <w:ilvl w:val="3"/>
                <w:numId w:val="0"/>
              </w:numPr>
              <w:spacing w:line="440" w:lineRule="exact"/>
              <w:rPr>
                <w:rFonts w:ascii="Times New Roman" w:hAnsi="Times New Roman"/>
              </w:rPr>
            </w:pPr>
            <w:r>
              <w:rPr>
                <w:rFonts w:ascii="Times New Roman" w:hAnsi="Times New Roman"/>
              </w:rPr>
              <w:t>1.2.1.4生态环境准入清单</w:t>
            </w:r>
          </w:p>
          <w:p>
            <w:pPr>
              <w:numPr>
                <w:ilvl w:val="0"/>
                <w:numId w:val="5"/>
              </w:numPr>
              <w:spacing w:line="440" w:lineRule="exact"/>
              <w:ind w:firstLine="481" w:firstLineChars="200"/>
              <w:rPr>
                <w:rFonts w:ascii="Times New Roman" w:hAnsi="Times New Roman" w:eastAsiaTheme="minorEastAsia"/>
                <w:b/>
                <w:bCs/>
              </w:rPr>
            </w:pPr>
            <w:r>
              <w:rPr>
                <w:rFonts w:ascii="Times New Roman" w:hAnsi="Times New Roman" w:eastAsiaTheme="minorEastAsia"/>
                <w:b/>
                <w:bCs/>
              </w:rPr>
              <w:t>与三明市生态环境准入要求符合性分析</w:t>
            </w:r>
          </w:p>
          <w:p>
            <w:pPr>
              <w:spacing w:line="440" w:lineRule="exact"/>
              <w:ind w:firstLine="480" w:firstLineChars="200"/>
              <w:rPr>
                <w:rFonts w:ascii="Times New Roman" w:hAnsi="Times New Roman"/>
                <w:kern w:val="0"/>
                <w:szCs w:val="21"/>
              </w:rPr>
            </w:pPr>
            <w:r>
              <w:rPr>
                <w:rFonts w:ascii="Times New Roman" w:hAnsi="Times New Roman"/>
                <w:kern w:val="0"/>
                <w:szCs w:val="21"/>
              </w:rPr>
              <w:t>根据《三明市“三线一单”生态环境分区管控方案》（明政〔2021〕4号），本项目与三明市“三线一单”总体管控要求的符合性分析如下表所示：</w:t>
            </w:r>
          </w:p>
          <w:p>
            <w:pPr>
              <w:pStyle w:val="34"/>
              <w:spacing w:before="120"/>
              <w:ind w:firstLine="422"/>
              <w:rPr>
                <w:rFonts w:ascii="Times New Roman" w:hAnsi="Times New Roman"/>
                <w:b/>
                <w:bCs/>
                <w:sz w:val="21"/>
                <w:szCs w:val="21"/>
              </w:rPr>
            </w:pPr>
            <w:bookmarkStart w:id="4" w:name="_Ref100154861"/>
            <w:r>
              <w:rPr>
                <w:rFonts w:ascii="Times New Roman" w:hAnsi="Times New Roman"/>
                <w:b/>
                <w:bCs/>
                <w:sz w:val="21"/>
                <w:szCs w:val="21"/>
              </w:rPr>
              <w:t>表1.2-1 项目与三明市“三线一单”管控要求的符合性分析</w:t>
            </w:r>
            <w:bookmarkEnd w:id="4"/>
          </w:p>
          <w:tbl>
            <w:tblPr>
              <w:tblStyle w:val="25"/>
              <w:tblW w:w="82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276"/>
              <w:gridCol w:w="392"/>
              <w:gridCol w:w="5338"/>
              <w:gridCol w:w="1600"/>
              <w:gridCol w:w="6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97" w:hRule="atLeast"/>
                <w:tblHeader/>
                <w:jc w:val="center"/>
              </w:trPr>
              <w:tc>
                <w:tcPr>
                  <w:tcW w:w="6006" w:type="dxa"/>
                  <w:gridSpan w:val="3"/>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准入/管控要求</w:t>
                  </w:r>
                </w:p>
              </w:tc>
              <w:tc>
                <w:tcPr>
                  <w:tcW w:w="1600"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本项目情况</w:t>
                  </w:r>
                </w:p>
              </w:tc>
              <w:tc>
                <w:tcPr>
                  <w:tcW w:w="629"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4897" w:hRule="atLeast"/>
                <w:tblHeader/>
                <w:jc w:val="center"/>
              </w:trPr>
              <w:tc>
                <w:tcPr>
                  <w:tcW w:w="276" w:type="dxa"/>
                  <w:vMerge w:val="restart"/>
                  <w:tcMar>
                    <w:left w:w="28" w:type="dxa"/>
                    <w:right w:w="28" w:type="dxa"/>
                  </w:tcMar>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三明市总体要求</w:t>
                  </w:r>
                </w:p>
              </w:tc>
              <w:tc>
                <w:tcPr>
                  <w:tcW w:w="392" w:type="dxa"/>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空间布局约束</w:t>
                  </w:r>
                </w:p>
              </w:tc>
              <w:tc>
                <w:tcPr>
                  <w:tcW w:w="5338" w:type="dxa"/>
                  <w:tcBorders>
                    <w:right w:val="single" w:color="auto" w:sz="2" w:space="0"/>
                  </w:tcBorders>
                  <w:tcMar>
                    <w:left w:w="28" w:type="dxa"/>
                    <w:right w:w="28" w:type="dxa"/>
                  </w:tcMar>
                  <w:vAlign w:val="center"/>
                </w:tcPr>
                <w:p>
                  <w:pPr>
                    <w:adjustRightInd w:val="0"/>
                    <w:snapToGrid w:val="0"/>
                    <w:spacing w:line="240" w:lineRule="exact"/>
                    <w:rPr>
                      <w:rFonts w:ascii="Times New Roman" w:hAnsi="Times New Roman"/>
                      <w:sz w:val="18"/>
                      <w:szCs w:val="18"/>
                    </w:rPr>
                  </w:pPr>
                  <w:r>
                    <w:rPr>
                      <w:rFonts w:ascii="Times New Roman" w:hAnsi="Times New Roman"/>
                      <w:sz w:val="18"/>
                      <w:szCs w:val="18"/>
                    </w:rPr>
                    <w:t>1.氟化工产业应集中布局在三明市的吉口、黄砂、明溪、清流等符合产业布局的园区，在上述园区之外不再新建氟化工项目，园区之外现有氟化工项目不再扩大规模。</w:t>
                  </w:r>
                </w:p>
                <w:p>
                  <w:pPr>
                    <w:adjustRightInd w:val="0"/>
                    <w:snapToGrid w:val="0"/>
                    <w:spacing w:line="240" w:lineRule="exact"/>
                    <w:rPr>
                      <w:rFonts w:ascii="Times New Roman" w:hAnsi="Times New Roman"/>
                      <w:bCs/>
                      <w:sz w:val="18"/>
                      <w:szCs w:val="18"/>
                    </w:rPr>
                  </w:pPr>
                  <w:r>
                    <w:rPr>
                      <w:rFonts w:ascii="Times New Roman" w:hAnsi="Times New Roman"/>
                      <w:sz w:val="18"/>
                      <w:szCs w:val="18"/>
                    </w:rPr>
                    <w:t>2.全市流域范围禁止新、扩建</w:t>
                  </w:r>
                  <w:r>
                    <w:rPr>
                      <w:rFonts w:ascii="Times New Roman" w:hAnsi="Times New Roman"/>
                      <w:bCs/>
                      <w:sz w:val="18"/>
                      <w:szCs w:val="18"/>
                    </w:rPr>
                    <w:t>制革项目，严控新（扩）建植物制浆、印染项目。</w:t>
                  </w:r>
                </w:p>
                <w:p>
                  <w:pPr>
                    <w:adjustRightInd w:val="0"/>
                    <w:snapToGrid w:val="0"/>
                    <w:spacing w:line="240" w:lineRule="exact"/>
                    <w:rPr>
                      <w:rFonts w:ascii="Times New Roman" w:hAnsi="Times New Roman"/>
                      <w:sz w:val="18"/>
                      <w:szCs w:val="18"/>
                    </w:rPr>
                  </w:pPr>
                  <w:r>
                    <w:rPr>
                      <w:rFonts w:ascii="Times New Roman" w:hAnsi="Times New Roman"/>
                      <w:sz w:val="18"/>
                      <w:szCs w:val="18"/>
                    </w:rPr>
                    <w:t>3.推进工业园区标准化创建，加快园区雨污水管系统、污水集中处理设施建设改造。高新技术开发区要严控高污染、高耗水、高排放企业入驻。省级以下工业园区要加快完善污水集中处理设施，实现污水集中处理，达标排放；尚未入驻企业的要同步规划建设污水集中处理设施，确保入驻工业企业投产前同步建成运行污水集中处理设施。</w:t>
                  </w:r>
                </w:p>
                <w:p>
                  <w:pPr>
                    <w:spacing w:line="240" w:lineRule="exact"/>
                    <w:rPr>
                      <w:rFonts w:ascii="Times New Roman" w:hAnsi="Times New Roman" w:eastAsiaTheme="minorEastAsia"/>
                      <w:spacing w:val="-2"/>
                      <w:sz w:val="18"/>
                      <w:szCs w:val="18"/>
                    </w:rPr>
                  </w:pPr>
                  <w:r>
                    <w:rPr>
                      <w:rFonts w:ascii="Times New Roman" w:hAnsi="Times New Roman"/>
                      <w:sz w:val="18"/>
                      <w:szCs w:val="18"/>
                    </w:rPr>
                    <w:t>4.严格控制氟化工行业低水平扩张，三明吉口循环经济产业园（除拟建的三化 5 万吨氢氟酸生产项目外）、黄砂新材料循环经济产业园、明溪县工业集中区、清流县氟新材料产业园原则上不再新建氢氟酸（企业下游深加工产品配套自用、电子级除外）、初级氟盐等产品项目；禁止建设非自用氯氟烃项目。清流县氟新材料产业园不再新增非原料自用的硫酸生产装置。</w:t>
                  </w:r>
                </w:p>
              </w:tc>
              <w:tc>
                <w:tcPr>
                  <w:tcW w:w="1600" w:type="dxa"/>
                  <w:tcMar>
                    <w:left w:w="28" w:type="dxa"/>
                    <w:right w:w="28" w:type="dxa"/>
                  </w:tcMar>
                  <w:vAlign w:val="center"/>
                </w:tcPr>
                <w:p>
                  <w:pPr>
                    <w:spacing w:line="240" w:lineRule="exact"/>
                    <w:rPr>
                      <w:rFonts w:ascii="Times New Roman" w:hAnsi="Times New Roman" w:eastAsiaTheme="minorEastAsia"/>
                      <w:sz w:val="18"/>
                      <w:szCs w:val="18"/>
                    </w:rPr>
                  </w:pPr>
                  <w:r>
                    <w:rPr>
                      <w:rFonts w:ascii="Times New Roman" w:hAnsi="Times New Roman"/>
                      <w:sz w:val="18"/>
                      <w:szCs w:val="18"/>
                    </w:rPr>
                    <w:t>本项目为</w:t>
                  </w:r>
                  <w:r>
                    <w:rPr>
                      <w:rFonts w:hint="eastAsia" w:ascii="Times New Roman" w:hAnsi="Times New Roman"/>
                      <w:sz w:val="18"/>
                      <w:szCs w:val="18"/>
                    </w:rPr>
                    <w:t>废弃资源综合利用项目</w:t>
                  </w:r>
                  <w:r>
                    <w:rPr>
                      <w:rFonts w:ascii="Times New Roman" w:hAnsi="Times New Roman"/>
                      <w:sz w:val="18"/>
                      <w:szCs w:val="18"/>
                    </w:rPr>
                    <w:t>，</w:t>
                  </w:r>
                  <w:r>
                    <w:rPr>
                      <w:rFonts w:hint="eastAsia" w:ascii="Times New Roman" w:hAnsi="Times New Roman"/>
                      <w:sz w:val="18"/>
                      <w:szCs w:val="18"/>
                    </w:rPr>
                    <w:t>不属于氟化工产业，不属于制革、制浆、印染项目；项目位于铸造集聚区，生产废水经“隔油池+沉淀池”处理后全部回用不外排</w:t>
                  </w:r>
                </w:p>
              </w:tc>
              <w:tc>
                <w:tcPr>
                  <w:tcW w:w="629" w:type="dxa"/>
                  <w:tcMar>
                    <w:left w:w="28" w:type="dxa"/>
                    <w:right w:w="28" w:type="dxa"/>
                  </w:tcMar>
                  <w:vAlign w:val="center"/>
                </w:tcPr>
                <w:p>
                  <w:pPr>
                    <w:spacing w:line="240" w:lineRule="exact"/>
                    <w:jc w:val="center"/>
                    <w:rPr>
                      <w:rFonts w:ascii="Times New Roman" w:hAnsi="Times New Roman" w:eastAsiaTheme="minorEastAsia"/>
                      <w:sz w:val="18"/>
                      <w:szCs w:val="18"/>
                    </w:rPr>
                  </w:pPr>
                  <w:r>
                    <w:rPr>
                      <w:rFonts w:ascii="Times New Roman" w:hAnsi="Times New Roman" w:eastAsiaTheme="minor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517" w:hRule="atLeast"/>
                <w:tblHeader/>
                <w:jc w:val="center"/>
              </w:trPr>
              <w:tc>
                <w:tcPr>
                  <w:tcW w:w="276" w:type="dxa"/>
                  <w:vMerge w:val="continue"/>
                  <w:tcMar>
                    <w:left w:w="28" w:type="dxa"/>
                    <w:right w:w="28" w:type="dxa"/>
                  </w:tcMar>
                  <w:vAlign w:val="center"/>
                </w:tcPr>
                <w:p>
                  <w:pPr>
                    <w:spacing w:line="240" w:lineRule="exact"/>
                    <w:jc w:val="center"/>
                    <w:rPr>
                      <w:rFonts w:ascii="Times New Roman" w:hAnsi="Times New Roman" w:eastAsiaTheme="minorEastAsia"/>
                      <w:spacing w:val="-2"/>
                      <w:sz w:val="18"/>
                      <w:szCs w:val="18"/>
                    </w:rPr>
                  </w:pPr>
                </w:p>
              </w:tc>
              <w:tc>
                <w:tcPr>
                  <w:tcW w:w="5730" w:type="dxa"/>
                  <w:gridSpan w:val="2"/>
                  <w:tcBorders>
                    <w:right w:val="single" w:color="auto" w:sz="2" w:space="0"/>
                  </w:tcBorders>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准入/管控要求</w:t>
                  </w:r>
                </w:p>
              </w:tc>
              <w:tc>
                <w:tcPr>
                  <w:tcW w:w="1600"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本项目情况</w:t>
                  </w:r>
                </w:p>
              </w:tc>
              <w:tc>
                <w:tcPr>
                  <w:tcW w:w="629" w:type="dxa"/>
                  <w:tcMar>
                    <w:left w:w="28" w:type="dxa"/>
                    <w:right w:w="28" w:type="dxa"/>
                  </w:tcMar>
                  <w:vAlign w:val="center"/>
                </w:tcPr>
                <w:p>
                  <w:pPr>
                    <w:spacing w:line="240" w:lineRule="exact"/>
                    <w:jc w:val="center"/>
                    <w:rPr>
                      <w:rFonts w:ascii="Times New Roman" w:hAnsi="Times New Roman" w:eastAsiaTheme="minorEastAsia"/>
                      <w:b/>
                      <w:bCs/>
                      <w:sz w:val="18"/>
                      <w:szCs w:val="18"/>
                    </w:rPr>
                  </w:pPr>
                  <w:r>
                    <w:rPr>
                      <w:rFonts w:ascii="Times New Roman" w:hAnsi="Times New Roman" w:eastAsiaTheme="minorEastAsia"/>
                      <w:b/>
                      <w:bCs/>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633" w:hRule="atLeast"/>
                <w:tblHeader/>
                <w:jc w:val="center"/>
              </w:trPr>
              <w:tc>
                <w:tcPr>
                  <w:tcW w:w="276" w:type="dxa"/>
                  <w:vMerge w:val="continue"/>
                  <w:tcMar>
                    <w:left w:w="28" w:type="dxa"/>
                    <w:right w:w="28" w:type="dxa"/>
                  </w:tcMar>
                  <w:vAlign w:val="center"/>
                </w:tcPr>
                <w:p>
                  <w:pPr>
                    <w:spacing w:line="240" w:lineRule="exact"/>
                    <w:jc w:val="center"/>
                    <w:rPr>
                      <w:rFonts w:ascii="Times New Roman" w:hAnsi="Times New Roman" w:eastAsiaTheme="minorEastAsia"/>
                      <w:spacing w:val="-2"/>
                      <w:sz w:val="18"/>
                      <w:szCs w:val="18"/>
                    </w:rPr>
                  </w:pPr>
                </w:p>
              </w:tc>
              <w:tc>
                <w:tcPr>
                  <w:tcW w:w="392" w:type="dxa"/>
                  <w:vAlign w:val="center"/>
                </w:tcPr>
                <w:p>
                  <w:pPr>
                    <w:spacing w:line="240" w:lineRule="exact"/>
                    <w:jc w:val="center"/>
                    <w:rPr>
                      <w:rFonts w:ascii="Times New Roman" w:hAnsi="Times New Roman" w:eastAsiaTheme="minorEastAsia"/>
                      <w:spacing w:val="-2"/>
                      <w:sz w:val="18"/>
                      <w:szCs w:val="18"/>
                    </w:rPr>
                  </w:pPr>
                  <w:r>
                    <w:rPr>
                      <w:rFonts w:ascii="Times New Roman" w:hAnsi="Times New Roman" w:eastAsiaTheme="minorEastAsia"/>
                      <w:spacing w:val="-2"/>
                      <w:sz w:val="18"/>
                      <w:szCs w:val="18"/>
                    </w:rPr>
                    <w:t>污染物排放管控</w:t>
                  </w:r>
                </w:p>
              </w:tc>
              <w:tc>
                <w:tcPr>
                  <w:tcW w:w="5338" w:type="dxa"/>
                  <w:tcBorders>
                    <w:right w:val="single" w:color="auto" w:sz="2" w:space="0"/>
                  </w:tcBorders>
                  <w:tcMar>
                    <w:left w:w="28" w:type="dxa"/>
                    <w:right w:w="28" w:type="dxa"/>
                  </w:tcMar>
                  <w:vAlign w:val="center"/>
                </w:tcPr>
                <w:p>
                  <w:pPr>
                    <w:adjustRightInd w:val="0"/>
                    <w:snapToGrid w:val="0"/>
                    <w:spacing w:line="240" w:lineRule="exact"/>
                    <w:rPr>
                      <w:rFonts w:ascii="Times New Roman" w:hAnsi="Times New Roman"/>
                      <w:sz w:val="18"/>
                      <w:szCs w:val="18"/>
                    </w:rPr>
                  </w:pPr>
                  <w:r>
                    <w:rPr>
                      <w:rFonts w:ascii="Times New Roman" w:hAnsi="Times New Roman"/>
                      <w:sz w:val="18"/>
                      <w:szCs w:val="18"/>
                    </w:rPr>
                    <w:t>1.涉新增 VOCs 排放项目，VOCs 排放实行区域内等量替代。</w:t>
                  </w:r>
                </w:p>
                <w:p>
                  <w:pPr>
                    <w:adjustRightInd w:val="0"/>
                    <w:snapToGrid w:val="0"/>
                    <w:spacing w:line="240" w:lineRule="exact"/>
                    <w:rPr>
                      <w:rFonts w:ascii="Times New Roman" w:hAnsi="Times New Roman"/>
                      <w:sz w:val="18"/>
                      <w:szCs w:val="18"/>
                    </w:rPr>
                  </w:pPr>
                  <w:r>
                    <w:rPr>
                      <w:rFonts w:ascii="Times New Roman" w:hAnsi="Times New Roman"/>
                      <w:sz w:val="18"/>
                      <w:szCs w:val="18"/>
                    </w:rPr>
                    <w:t>2.严格控制新建、改建、扩建钢铁、水泥、平板玻璃、有色金属冶炼、化工等工业项目。新建钢铁、火电、水泥、有色项目应当执行大气污染物特别排放限值。重点控制区新建化工、石化及燃煤锅炉项目应当执行大气污染物特别排放限值。</w:t>
                  </w:r>
                </w:p>
                <w:p>
                  <w:pPr>
                    <w:adjustRightInd w:val="0"/>
                    <w:snapToGrid w:val="0"/>
                    <w:spacing w:line="240" w:lineRule="exact"/>
                    <w:rPr>
                      <w:rFonts w:ascii="Times New Roman" w:hAnsi="Times New Roman"/>
                      <w:sz w:val="18"/>
                      <w:szCs w:val="18"/>
                    </w:rPr>
                  </w:pPr>
                  <w:r>
                    <w:rPr>
                      <w:rFonts w:ascii="Times New Roman" w:hAnsi="Times New Roman"/>
                      <w:sz w:val="18"/>
                      <w:szCs w:val="18"/>
                    </w:rPr>
                    <w:t>3.氟化工、印染、电镀等行业要实行水污染物特别排放限值。东牙溪水库、金湖汇水区域城镇污水处理设施全面达到一级 A 排放标准。</w:t>
                  </w:r>
                </w:p>
                <w:p>
                  <w:pPr>
                    <w:spacing w:line="240" w:lineRule="exact"/>
                    <w:rPr>
                      <w:rFonts w:ascii="Times New Roman" w:hAnsi="Times New Roman" w:eastAsiaTheme="minorEastAsia"/>
                      <w:spacing w:val="-2"/>
                      <w:sz w:val="18"/>
                      <w:szCs w:val="18"/>
                    </w:rPr>
                  </w:pPr>
                  <w:r>
                    <w:rPr>
                      <w:rFonts w:ascii="Times New Roman" w:hAnsi="Times New Roman"/>
                      <w:sz w:val="18"/>
                      <w:szCs w:val="18"/>
                    </w:rPr>
                    <w:t>4.按照《福建省生态环境厅关于铅锌矿产资源开发活动集中区域执行重点污染物特别排放限值的通告》，在三明市铅锌矿产资源开发活动集中区域（尤溪县、大田县）实行重点污染物特别排放限值。新、改扩建涉重金属重点行业建设项目必须遵循重点重金属污染物排放“减量置换”或“等量置换”的原则，原则上应在本区域内有明确具体的重金属污染物排放总量来源。</w:t>
                  </w:r>
                </w:p>
              </w:tc>
              <w:tc>
                <w:tcPr>
                  <w:tcW w:w="1600" w:type="dxa"/>
                  <w:tcMar>
                    <w:left w:w="28" w:type="dxa"/>
                    <w:right w:w="28" w:type="dxa"/>
                  </w:tcMar>
                  <w:vAlign w:val="center"/>
                </w:tcPr>
                <w:p>
                  <w:pPr>
                    <w:spacing w:line="240" w:lineRule="exact"/>
                    <w:rPr>
                      <w:rFonts w:ascii="Times New Roman" w:hAnsi="Times New Roman" w:eastAsiaTheme="minorEastAsia"/>
                      <w:sz w:val="18"/>
                      <w:szCs w:val="18"/>
                    </w:rPr>
                  </w:pPr>
                  <w:r>
                    <w:rPr>
                      <w:rFonts w:ascii="Times New Roman" w:hAnsi="Times New Roman"/>
                      <w:sz w:val="18"/>
                      <w:szCs w:val="18"/>
                    </w:rPr>
                    <w:t>项目不涉及VOCs排放；项目不属于钢铁、水泥、平板玻璃、有色金属冶炼、化工、氟化工、印染、电镀等工业项目；不属于铅锌矿产资源开发</w:t>
                  </w:r>
                </w:p>
              </w:tc>
              <w:tc>
                <w:tcPr>
                  <w:tcW w:w="629" w:type="dxa"/>
                  <w:tcMar>
                    <w:left w:w="28" w:type="dxa"/>
                    <w:right w:w="28" w:type="dxa"/>
                  </w:tcMar>
                  <w:vAlign w:val="center"/>
                </w:tcPr>
                <w:p>
                  <w:pPr>
                    <w:spacing w:line="240" w:lineRule="exact"/>
                    <w:jc w:val="center"/>
                    <w:rPr>
                      <w:rFonts w:ascii="Times New Roman" w:hAnsi="Times New Roman" w:eastAsiaTheme="minorEastAsia"/>
                      <w:sz w:val="18"/>
                      <w:szCs w:val="18"/>
                    </w:rPr>
                  </w:pPr>
                  <w:r>
                    <w:rPr>
                      <w:rFonts w:ascii="Times New Roman" w:hAnsi="Times New Roman" w:eastAsiaTheme="minorEastAsia"/>
                      <w:sz w:val="18"/>
                      <w:szCs w:val="18"/>
                    </w:rPr>
                    <w:t>符合</w:t>
                  </w:r>
                </w:p>
              </w:tc>
            </w:tr>
          </w:tbl>
          <w:p>
            <w:pPr>
              <w:numPr>
                <w:ilvl w:val="0"/>
                <w:numId w:val="5"/>
              </w:numPr>
              <w:spacing w:line="440" w:lineRule="exact"/>
              <w:ind w:firstLine="481" w:firstLineChars="200"/>
              <w:rPr>
                <w:rFonts w:ascii="Times New Roman" w:hAnsi="Times New Roman"/>
                <w:kern w:val="0"/>
                <w:szCs w:val="21"/>
              </w:rPr>
            </w:pPr>
            <w:r>
              <w:rPr>
                <w:rFonts w:ascii="Times New Roman" w:hAnsi="Times New Roman" w:eastAsiaTheme="minorEastAsia"/>
                <w:b/>
                <w:bCs/>
              </w:rPr>
              <w:t>与</w:t>
            </w:r>
            <w:r>
              <w:rPr>
                <w:rFonts w:hint="eastAsia" w:ascii="Times New Roman" w:hAnsi="Times New Roman" w:eastAsiaTheme="minorEastAsia"/>
                <w:b/>
                <w:bCs/>
              </w:rPr>
              <w:t>大田县</w:t>
            </w:r>
            <w:r>
              <w:rPr>
                <w:rFonts w:ascii="Times New Roman" w:hAnsi="Times New Roman" w:eastAsiaTheme="minorEastAsia"/>
                <w:b/>
                <w:bCs/>
              </w:rPr>
              <w:t>生态环境准入</w:t>
            </w:r>
            <w:r>
              <w:rPr>
                <w:rFonts w:hint="eastAsia" w:ascii="Times New Roman" w:hAnsi="Times New Roman" w:eastAsiaTheme="minorEastAsia"/>
                <w:b/>
                <w:bCs/>
              </w:rPr>
              <w:t>要求</w:t>
            </w:r>
            <w:r>
              <w:rPr>
                <w:rFonts w:ascii="Times New Roman" w:hAnsi="Times New Roman" w:eastAsiaTheme="minorEastAsia"/>
                <w:b/>
                <w:bCs/>
              </w:rPr>
              <w:t>符合性分析</w:t>
            </w:r>
          </w:p>
          <w:p>
            <w:pPr>
              <w:spacing w:line="440" w:lineRule="exact"/>
              <w:ind w:firstLine="480" w:firstLineChars="200"/>
              <w:rPr>
                <w:rFonts w:ascii="Times New Roman" w:hAnsi="Times New Roman"/>
                <w:szCs w:val="28"/>
              </w:rPr>
            </w:pPr>
            <w:r>
              <w:t>对照《三明市“三线一单”生态环境分区管控方案》附件9大田县生态环境准入清单，</w:t>
            </w:r>
            <w:r>
              <w:rPr>
                <w:rFonts w:hint="eastAsia"/>
              </w:rPr>
              <w:t>本项目</w:t>
            </w:r>
            <w:r>
              <w:t>位于福建省三明市大田县</w:t>
            </w:r>
            <w:r>
              <w:rPr>
                <w:rFonts w:hint="eastAsia"/>
              </w:rPr>
              <w:t>武陵乡大石村</w:t>
            </w:r>
            <w:r>
              <w:t>，为“</w:t>
            </w:r>
            <w:r>
              <w:rPr>
                <w:rFonts w:hint="eastAsia"/>
              </w:rPr>
              <w:t>大田县重点管控单元1</w:t>
            </w:r>
            <w:r>
              <w:t>”，</w:t>
            </w:r>
            <w:r>
              <w:rPr>
                <w:rFonts w:hint="eastAsia"/>
              </w:rPr>
              <w:t>见附图</w:t>
            </w:r>
            <w:r>
              <w:rPr>
                <w:rFonts w:hint="eastAsia"/>
                <w:lang w:val="en-US" w:eastAsia="zh-CN"/>
              </w:rPr>
              <w:t>2</w:t>
            </w:r>
            <w:r>
              <w:rPr>
                <w:rFonts w:hint="eastAsia"/>
              </w:rPr>
              <w:t>。</w:t>
            </w:r>
            <w:r>
              <w:t>项目符合</w:t>
            </w:r>
            <w:r>
              <w:rPr>
                <w:rFonts w:hint="eastAsia"/>
              </w:rPr>
              <w:t>大田县</w:t>
            </w:r>
            <w:r>
              <w:t>生态环境准入</w:t>
            </w:r>
            <w:r>
              <w:rPr>
                <w:rFonts w:hint="eastAsia"/>
              </w:rPr>
              <w:t>要求</w:t>
            </w:r>
            <w:r>
              <w:t>，</w:t>
            </w:r>
            <w:r>
              <w:rPr>
                <w:rFonts w:hint="eastAsia"/>
              </w:rPr>
              <w:t>符</w:t>
            </w:r>
            <w:r>
              <w:rPr>
                <w:rFonts w:hint="eastAsia"/>
                <w:szCs w:val="28"/>
              </w:rPr>
              <w:t>合性分析见</w:t>
            </w:r>
            <w:r>
              <w:rPr>
                <w:szCs w:val="28"/>
              </w:rPr>
              <w:t>表1.2-2</w:t>
            </w:r>
            <w:r>
              <w:rPr>
                <w:rFonts w:ascii="Times New Roman" w:hAnsi="Times New Roman"/>
                <w:szCs w:val="28"/>
              </w:rPr>
              <w:t>。</w:t>
            </w:r>
          </w:p>
          <w:p>
            <w:pPr>
              <w:pStyle w:val="34"/>
              <w:spacing w:before="120"/>
              <w:ind w:firstLine="422"/>
              <w:rPr>
                <w:rFonts w:ascii="Times New Roman" w:hAnsi="Times New Roman"/>
                <w:b/>
                <w:bCs/>
                <w:sz w:val="21"/>
                <w:szCs w:val="21"/>
              </w:rPr>
            </w:pPr>
            <w:r>
              <w:rPr>
                <w:rFonts w:ascii="Times New Roman" w:hAnsi="Times New Roman"/>
                <w:b/>
                <w:bCs/>
                <w:sz w:val="21"/>
                <w:szCs w:val="21"/>
              </w:rPr>
              <w:t>表1.2-2 大田县</w:t>
            </w:r>
            <w:r>
              <w:rPr>
                <w:rFonts w:hint="eastAsia" w:ascii="Times New Roman" w:hAnsi="Times New Roman"/>
                <w:b/>
                <w:bCs/>
                <w:sz w:val="21"/>
                <w:szCs w:val="21"/>
              </w:rPr>
              <w:t>生态环境准入</w:t>
            </w:r>
            <w:r>
              <w:rPr>
                <w:rFonts w:ascii="Times New Roman" w:hAnsi="Times New Roman"/>
                <w:b/>
                <w:bCs/>
                <w:sz w:val="21"/>
                <w:szCs w:val="21"/>
              </w:rPr>
              <w:t>要求符合性分析</w:t>
            </w:r>
          </w:p>
          <w:tbl>
            <w:tblPr>
              <w:tblStyle w:val="26"/>
              <w:tblW w:w="0" w:type="auto"/>
              <w:tblInd w:w="5"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00"/>
              <w:gridCol w:w="1000"/>
              <w:gridCol w:w="3179"/>
              <w:gridCol w:w="1831"/>
              <w:gridCol w:w="62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9"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管控单元类别</w:t>
                  </w:r>
                </w:p>
              </w:tc>
              <w:tc>
                <w:tcPr>
                  <w:tcW w:w="70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管控单元编码</w:t>
                  </w:r>
                </w:p>
              </w:tc>
              <w:tc>
                <w:tcPr>
                  <w:tcW w:w="4179" w:type="dxa"/>
                  <w:gridSpan w:val="2"/>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管控要求</w:t>
                  </w:r>
                </w:p>
              </w:tc>
              <w:tc>
                <w:tcPr>
                  <w:tcW w:w="1831"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62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9" w:type="dxa"/>
                  <w:vMerge w:val="restart"/>
                  <w:tcBorders>
                    <w:tl2br w:val="nil"/>
                    <w:tr2bl w:val="nil"/>
                  </w:tcBorders>
                  <w:vAlign w:val="center"/>
                </w:tcPr>
                <w:p>
                  <w:pPr>
                    <w:spacing w:line="320" w:lineRule="exac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大田县重点管控单元1</w:t>
                  </w:r>
                </w:p>
              </w:tc>
              <w:tc>
                <w:tcPr>
                  <w:tcW w:w="700" w:type="dxa"/>
                  <w:vMerge w:val="restart"/>
                  <w:tcBorders>
                    <w:tl2br w:val="nil"/>
                    <w:tr2bl w:val="nil"/>
                  </w:tcBorders>
                  <w:vAlign w:val="center"/>
                </w:tcPr>
                <w:p>
                  <w:pPr>
                    <w:spacing w:line="320" w:lineRule="exact"/>
                    <w:rPr>
                      <w:rFonts w:ascii="Times New Roman" w:hAnsi="Times New Roman"/>
                      <w:kern w:val="0"/>
                      <w:sz w:val="18"/>
                      <w:szCs w:val="18"/>
                      <w:shd w:val="clear" w:color="auto" w:fill="FFFFFF"/>
                    </w:rPr>
                  </w:pPr>
                  <w:r>
                    <w:rPr>
                      <w:rFonts w:ascii="Times New Roman" w:hAnsi="Times New Roman"/>
                      <w:kern w:val="0"/>
                      <w:sz w:val="18"/>
                      <w:szCs w:val="18"/>
                      <w:shd w:val="clear" w:color="auto" w:fill="FFFFFF"/>
                    </w:rPr>
                    <w:t>ZH35042520004</w:t>
                  </w:r>
                </w:p>
              </w:tc>
              <w:tc>
                <w:tcPr>
                  <w:tcW w:w="1000" w:type="dxa"/>
                  <w:tcBorders>
                    <w:tl2br w:val="nil"/>
                    <w:tr2bl w:val="nil"/>
                  </w:tcBorders>
                  <w:vAlign w:val="center"/>
                </w:tcPr>
                <w:p>
                  <w:pPr>
                    <w:spacing w:line="320" w:lineRule="exact"/>
                    <w:rPr>
                      <w:rFonts w:ascii="Times New Roman" w:hAnsi="Times New Roman"/>
                      <w:b/>
                      <w:bCs/>
                      <w:sz w:val="18"/>
                      <w:szCs w:val="18"/>
                    </w:rPr>
                  </w:pPr>
                  <w:r>
                    <w:rPr>
                      <w:rFonts w:ascii="Times New Roman" w:hAnsi="Times New Roman"/>
                      <w:kern w:val="0"/>
                      <w:sz w:val="18"/>
                      <w:szCs w:val="18"/>
                      <w:shd w:val="clear" w:color="auto" w:fill="FFFFFF"/>
                    </w:rPr>
                    <w:t>空间布局约束</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1.严禁在人口聚集区新建涉及化学品和危险废物排放的项目，城市建成区内现有污染较重的企业应有序搬迁改造或依法关闭。2.严格限制建设生产和使用高VOCs含量的溶剂涂料、油墨、胶黏剂等项目。3.禁止开发利用未经评估和无害化处理的列入建设用地污染地块名录及开发利用负面清单的土地。</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1、本项目选址位于大田县武陵乡大石村铸造聚集区，不涉及化学品和危险废物排放；</w:t>
                  </w:r>
                </w:p>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2、本项目不涉及使用VOCs的溶剂涂料等；</w:t>
                  </w:r>
                </w:p>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3、不项目地块不属于列入建设用地污染地块名录及开发利用负面清单的土地。</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b/>
                      <w:bCs/>
                      <w:sz w:val="18"/>
                      <w:szCs w:val="18"/>
                    </w:rPr>
                  </w:pPr>
                  <w:r>
                    <w:rPr>
                      <w:rFonts w:ascii="Times New Roman" w:hAnsi="Times New Roman" w:eastAsia="宋体"/>
                      <w:sz w:val="18"/>
                      <w:szCs w:val="18"/>
                      <w:shd w:val="clear" w:color="auto" w:fill="FFFFFF"/>
                    </w:rPr>
                    <w:t>污染物排放管控</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新建、改建、扩建项目，新增污染物排放按照福建省排污权有偿使用和交易相关文件执行。新建涉VOCs项目，VOCs排放按照福建省相关政策要求落实。</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本项目不涉及VOCs的排放。</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4179" w:type="dxa"/>
                  <w:gridSpan w:val="2"/>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管控要求</w:t>
                  </w:r>
                </w:p>
              </w:tc>
              <w:tc>
                <w:tcPr>
                  <w:tcW w:w="1831"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620" w:type="dxa"/>
                  <w:tcBorders>
                    <w:tl2br w:val="nil"/>
                    <w:tr2bl w:val="nil"/>
                  </w:tcBorders>
                  <w:vAlign w:val="center"/>
                </w:tcPr>
                <w:p>
                  <w:pPr>
                    <w:spacing w:line="32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eastAsia="宋体"/>
                      <w:sz w:val="18"/>
                      <w:szCs w:val="18"/>
                      <w:shd w:val="clear" w:color="auto" w:fill="FFFFFF"/>
                    </w:rPr>
                  </w:pPr>
                  <w:r>
                    <w:rPr>
                      <w:rFonts w:ascii="Times New Roman" w:hAnsi="Times New Roman" w:eastAsia="宋体"/>
                      <w:sz w:val="18"/>
                      <w:szCs w:val="18"/>
                      <w:shd w:val="clear" w:color="auto" w:fill="FFFFFF"/>
                    </w:rPr>
                    <w:t>环境风险防控</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土壤污染重点监管单位拆除设施、设备或者建筑物、构筑物的，应当制定包括应急措施在内的土壤污染防治工作方案，报地方人民政府生态环境、工业和信息化主管部门备案并实施；土壤污染重点监管单位生产经营用地的用途变更或者在其土地使用权收回、转让前，应当由土地使用权人按照规定进行土壤污染状况调查；土壤污染责任人负责实施土壤污染风险管控和修复。</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both"/>
                    <w:rPr>
                      <w:rFonts w:hint="eastAsia" w:ascii="Times New Roman" w:hAnsi="Times New Roman" w:eastAsia="宋体"/>
                      <w:sz w:val="18"/>
                      <w:szCs w:val="18"/>
                      <w:shd w:val="clear" w:color="auto" w:fill="FFFFFF"/>
                      <w:lang w:val="en-US" w:eastAsia="zh-CN"/>
                    </w:rPr>
                  </w:pPr>
                  <w:r>
                    <w:rPr>
                      <w:rFonts w:ascii="Times New Roman" w:hAnsi="Times New Roman"/>
                      <w:sz w:val="18"/>
                      <w:szCs w:val="18"/>
                      <w:shd w:val="clear" w:color="auto" w:fill="FFFFFF"/>
                    </w:rPr>
                    <w:t>本项目不属于土壤污染重点监管单位。</w:t>
                  </w:r>
                </w:p>
              </w:tc>
              <w:tc>
                <w:tcPr>
                  <w:tcW w:w="620" w:type="dxa"/>
                  <w:tcBorders>
                    <w:tl2br w:val="nil"/>
                    <w:tr2bl w:val="nil"/>
                  </w:tcBorders>
                  <w:vAlign w:val="center"/>
                </w:tcPr>
                <w:p>
                  <w:pPr>
                    <w:pStyle w:val="23"/>
                    <w:shd w:val="clear" w:color="auto" w:fill="FFFFFF"/>
                    <w:spacing w:before="0" w:beforeAutospacing="0" w:after="0" w:afterAutospacing="0" w:line="21" w:lineRule="atLeast"/>
                    <w:jc w:val="both"/>
                    <w:rPr>
                      <w:rFonts w:ascii="Times New Roman" w:hAnsi="Times New Roman"/>
                      <w:sz w:val="18"/>
                      <w:szCs w:val="18"/>
                      <w:shd w:val="clear" w:color="auto" w:fill="FFFFFF"/>
                    </w:rPr>
                  </w:pPr>
                  <w:r>
                    <w:rPr>
                      <w:rFonts w:ascii="Times New Roman" w:hAnsi="Times New Roman"/>
                      <w:sz w:val="18"/>
                      <w:szCs w:val="18"/>
                      <w:shd w:val="clear" w:color="auto" w:fill="FFFFFF"/>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99"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700" w:type="dxa"/>
                  <w:vMerge w:val="continue"/>
                  <w:tcBorders>
                    <w:tl2br w:val="nil"/>
                    <w:tr2bl w:val="nil"/>
                  </w:tcBorders>
                  <w:vAlign w:val="center"/>
                </w:tcPr>
                <w:p>
                  <w:pPr>
                    <w:spacing w:line="320" w:lineRule="exact"/>
                    <w:rPr>
                      <w:rFonts w:ascii="Times New Roman" w:hAnsi="Times New Roman"/>
                      <w:kern w:val="0"/>
                      <w:sz w:val="18"/>
                      <w:szCs w:val="18"/>
                      <w:shd w:val="clear" w:color="auto" w:fill="FFFFFF"/>
                    </w:rPr>
                  </w:pPr>
                </w:p>
              </w:tc>
              <w:tc>
                <w:tcPr>
                  <w:tcW w:w="1000" w:type="dxa"/>
                  <w:tcBorders>
                    <w:tl2br w:val="nil"/>
                    <w:tr2bl w:val="nil"/>
                  </w:tcBorders>
                  <w:vAlign w:val="center"/>
                </w:tcPr>
                <w:p>
                  <w:pPr>
                    <w:pStyle w:val="34"/>
                    <w:spacing w:before="120"/>
                    <w:rPr>
                      <w:rFonts w:ascii="Times New Roman" w:hAnsi="Times New Roman" w:eastAsia="宋体"/>
                      <w:sz w:val="18"/>
                      <w:szCs w:val="18"/>
                      <w:shd w:val="clear" w:color="auto" w:fill="FFFFFF"/>
                    </w:rPr>
                  </w:pPr>
                  <w:r>
                    <w:rPr>
                      <w:rFonts w:ascii="Times New Roman" w:hAnsi="Times New Roman" w:eastAsia="宋体"/>
                      <w:sz w:val="18"/>
                      <w:szCs w:val="18"/>
                      <w:shd w:val="clear" w:color="auto" w:fill="FFFFFF"/>
                    </w:rPr>
                    <w:t>资源开发效率要求</w:t>
                  </w:r>
                </w:p>
              </w:tc>
              <w:tc>
                <w:tcPr>
                  <w:tcW w:w="3179"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ascii="Times New Roman" w:hAnsi="Times New Roman"/>
                      <w:sz w:val="18"/>
                      <w:szCs w:val="18"/>
                      <w:shd w:val="clear" w:color="auto" w:fill="FFFFFF"/>
                    </w:rPr>
                    <w:t>无</w:t>
                  </w:r>
                </w:p>
              </w:tc>
              <w:tc>
                <w:tcPr>
                  <w:tcW w:w="1831"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ascii="Times New Roman" w:hAnsi="Times New Roman"/>
                      <w:sz w:val="18"/>
                      <w:szCs w:val="18"/>
                      <w:shd w:val="clear" w:color="auto" w:fill="FFFFFF"/>
                    </w:rPr>
                    <w:t>/</w:t>
                  </w:r>
                </w:p>
              </w:tc>
              <w:tc>
                <w:tcPr>
                  <w:tcW w:w="620" w:type="dxa"/>
                  <w:tcBorders>
                    <w:tl2br w:val="nil"/>
                    <w:tr2bl w:val="nil"/>
                  </w:tcBorders>
                  <w:vAlign w:val="center"/>
                </w:tcPr>
                <w:p>
                  <w:pPr>
                    <w:pStyle w:val="23"/>
                    <w:shd w:val="clear" w:color="auto" w:fill="FFFFFF"/>
                    <w:spacing w:before="0" w:beforeAutospacing="0" w:after="0" w:afterAutospacing="0" w:line="21" w:lineRule="atLeast"/>
                    <w:jc w:val="center"/>
                    <w:rPr>
                      <w:rFonts w:ascii="Times New Roman" w:hAnsi="Times New Roman"/>
                      <w:sz w:val="18"/>
                      <w:szCs w:val="18"/>
                      <w:shd w:val="clear" w:color="auto" w:fill="FFFFFF"/>
                    </w:rPr>
                  </w:pPr>
                  <w:r>
                    <w:rPr>
                      <w:rFonts w:hint="eastAsia" w:ascii="Times New Roman" w:hAnsi="Times New Roman"/>
                      <w:sz w:val="18"/>
                      <w:szCs w:val="18"/>
                      <w:shd w:val="clear" w:color="auto" w:fill="FFFFFF"/>
                    </w:rPr>
                    <w:t>/</w:t>
                  </w:r>
                </w:p>
              </w:tc>
            </w:tr>
          </w:tbl>
          <w:p>
            <w:pPr>
              <w:spacing w:line="440" w:lineRule="exact"/>
              <w:ind w:firstLine="480" w:firstLineChars="200"/>
              <w:rPr>
                <w:rFonts w:ascii="Times New Roman" w:hAnsi="Times New Roman"/>
                <w:kern w:val="0"/>
                <w:szCs w:val="21"/>
              </w:rPr>
            </w:pPr>
            <w:r>
              <w:rPr>
                <w:rFonts w:ascii="Times New Roman" w:hAnsi="Times New Roman"/>
                <w:kern w:val="0"/>
                <w:szCs w:val="21"/>
              </w:rPr>
              <w:t>综上，项目选址和建设符合“三线一单”</w:t>
            </w:r>
            <w:r>
              <w:rPr>
                <w:rFonts w:hint="eastAsia" w:ascii="Times New Roman" w:hAnsi="Times New Roman"/>
                <w:kern w:val="0"/>
                <w:szCs w:val="21"/>
              </w:rPr>
              <w:t>管控</w:t>
            </w:r>
            <w:r>
              <w:rPr>
                <w:rFonts w:ascii="Times New Roman" w:hAnsi="Times New Roman"/>
                <w:kern w:val="0"/>
                <w:szCs w:val="21"/>
              </w:rPr>
              <w:t>要求。</w:t>
            </w:r>
          </w:p>
          <w:p>
            <w:pPr>
              <w:pStyle w:val="8"/>
              <w:numPr>
                <w:ilvl w:val="0"/>
                <w:numId w:val="0"/>
              </w:numPr>
              <w:spacing w:line="440" w:lineRule="exact"/>
              <w:rPr>
                <w:rFonts w:ascii="Times New Roman" w:hAnsi="Times New Roman"/>
              </w:rPr>
            </w:pPr>
            <w:r>
              <w:rPr>
                <w:rFonts w:ascii="Times New Roman" w:hAnsi="Times New Roman"/>
              </w:rPr>
              <w:t>1.2.2产业政策符合性分析</w:t>
            </w:r>
          </w:p>
          <w:p>
            <w:pPr>
              <w:pStyle w:val="46"/>
              <w:rPr>
                <w:color w:val="auto"/>
              </w:rPr>
            </w:pPr>
            <w:r>
              <w:rPr>
                <w:color w:val="auto"/>
              </w:rPr>
              <w:t>本项目</w:t>
            </w:r>
            <w:r>
              <w:rPr>
                <w:rFonts w:hint="eastAsia"/>
                <w:color w:val="auto"/>
              </w:rPr>
              <w:t>属于废弃资源综合利用项目，</w:t>
            </w:r>
            <w:r>
              <w:rPr>
                <w:color w:val="auto"/>
              </w:rPr>
              <w:t>主要</w:t>
            </w:r>
            <w:r>
              <w:rPr>
                <w:rFonts w:hint="eastAsia"/>
                <w:color w:val="auto"/>
              </w:rPr>
              <w:t>对铸铁渣、铸造砂、转炉渣、钢渣等固体废物进行球磨、破碎、筛分、球磨、磁选后回收利用</w:t>
            </w:r>
            <w:r>
              <w:rPr>
                <w:color w:val="auto"/>
              </w:rPr>
              <w:t>，对照国家《产业结构调整指导目录（</w:t>
            </w:r>
            <w:r>
              <w:rPr>
                <w:rFonts w:hint="eastAsia"/>
                <w:color w:val="auto"/>
              </w:rPr>
              <w:t>2024</w:t>
            </w:r>
            <w:r>
              <w:rPr>
                <w:color w:val="auto"/>
              </w:rPr>
              <w:t>年本）》，项目所采用的设备、工艺和生产规模均不在淘汰类、限制类之列，</w:t>
            </w:r>
            <w:r>
              <w:rPr>
                <w:rFonts w:hint="eastAsia"/>
                <w:color w:val="auto"/>
              </w:rPr>
              <w:t>属于鼓励类（第四十二项环境保护与资源节约综合利用、8废弃物循环利用（冶炼渣），</w:t>
            </w:r>
            <w:r>
              <w:rPr>
                <w:color w:val="auto"/>
              </w:rPr>
              <w:t>符合国家当前产业政策。另外，项目</w:t>
            </w:r>
            <w:r>
              <w:rPr>
                <w:rFonts w:hint="eastAsia"/>
                <w:color w:val="auto"/>
              </w:rPr>
              <w:t>取得</w:t>
            </w:r>
            <w:r>
              <w:rPr>
                <w:color w:val="auto"/>
              </w:rPr>
              <w:t>了</w:t>
            </w:r>
            <w:r>
              <w:rPr>
                <w:color w:val="auto"/>
                <w:szCs w:val="21"/>
              </w:rPr>
              <w:t>大田县</w:t>
            </w:r>
            <w:r>
              <w:rPr>
                <w:rFonts w:hint="eastAsia"/>
                <w:color w:val="auto"/>
                <w:szCs w:val="21"/>
              </w:rPr>
              <w:t>发展和改革局</w:t>
            </w:r>
            <w:r>
              <w:rPr>
                <w:color w:val="auto"/>
              </w:rPr>
              <w:t>备案（</w:t>
            </w:r>
            <w:r>
              <w:rPr>
                <w:color w:val="auto"/>
                <w:szCs w:val="21"/>
              </w:rPr>
              <w:t>闽</w:t>
            </w:r>
            <w:r>
              <w:rPr>
                <w:rFonts w:hint="eastAsia"/>
                <w:color w:val="auto"/>
                <w:szCs w:val="21"/>
              </w:rPr>
              <w:t>发改备</w:t>
            </w:r>
            <w:r>
              <w:rPr>
                <w:color w:val="auto"/>
                <w:szCs w:val="21"/>
              </w:rPr>
              <w:t>[202</w:t>
            </w:r>
            <w:r>
              <w:rPr>
                <w:rFonts w:hint="eastAsia"/>
                <w:color w:val="auto"/>
                <w:szCs w:val="21"/>
              </w:rPr>
              <w:t>3</w:t>
            </w:r>
            <w:r>
              <w:rPr>
                <w:color w:val="auto"/>
                <w:szCs w:val="21"/>
              </w:rPr>
              <w:t>]G1200</w:t>
            </w:r>
            <w:r>
              <w:rPr>
                <w:rFonts w:hint="eastAsia"/>
                <w:color w:val="auto"/>
                <w:szCs w:val="21"/>
              </w:rPr>
              <w:t>7</w:t>
            </w:r>
            <w:r>
              <w:rPr>
                <w:color w:val="auto"/>
                <w:szCs w:val="21"/>
              </w:rPr>
              <w:t>0号</w:t>
            </w:r>
            <w:r>
              <w:rPr>
                <w:color w:val="auto"/>
              </w:rPr>
              <w:t>）</w:t>
            </w:r>
            <w:r>
              <w:rPr>
                <w:rFonts w:hint="eastAsia"/>
                <w:color w:val="auto"/>
              </w:rPr>
              <w:t>。</w:t>
            </w:r>
          </w:p>
          <w:p>
            <w:pPr>
              <w:pStyle w:val="46"/>
              <w:rPr>
                <w:color w:val="auto"/>
              </w:rPr>
            </w:pPr>
            <w:r>
              <w:rPr>
                <w:rFonts w:hint="eastAsia"/>
                <w:color w:val="auto"/>
              </w:rPr>
              <w:t>因此，</w:t>
            </w:r>
            <w:r>
              <w:rPr>
                <w:color w:val="auto"/>
              </w:rPr>
              <w:t>项目建设符合国家和地方相关产业的政策要求。</w:t>
            </w:r>
          </w:p>
          <w:p>
            <w:pPr>
              <w:pStyle w:val="8"/>
              <w:numPr>
                <w:ilvl w:val="0"/>
                <w:numId w:val="0"/>
              </w:numPr>
              <w:spacing w:line="440" w:lineRule="exact"/>
              <w:rPr>
                <w:rFonts w:ascii="Times New Roman" w:hAnsi="Times New Roman"/>
              </w:rPr>
            </w:pPr>
            <w:r>
              <w:rPr>
                <w:rFonts w:ascii="Times New Roman" w:hAnsi="Times New Roman"/>
              </w:rPr>
              <w:t>1.2.</w:t>
            </w:r>
            <w:r>
              <w:rPr>
                <w:rFonts w:hint="eastAsia" w:ascii="Times New Roman" w:hAnsi="Times New Roman"/>
              </w:rPr>
              <w:t>3环保</w:t>
            </w:r>
            <w:r>
              <w:rPr>
                <w:rFonts w:ascii="Times New Roman" w:hAnsi="Times New Roman"/>
              </w:rPr>
              <w:t>政策符合性分析</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3</w:t>
            </w:r>
            <w:r>
              <w:rPr>
                <w:rFonts w:ascii="Times New Roman" w:hAnsi="Times New Roman"/>
              </w:rPr>
              <w:t>.1与</w:t>
            </w:r>
            <w:r>
              <w:rPr>
                <w:rFonts w:hint="eastAsia" w:ascii="Times New Roman" w:hAnsi="Times New Roman"/>
              </w:rPr>
              <w:t>三明市大气污染防治行动计划实施细则</w:t>
            </w:r>
            <w:r>
              <w:rPr>
                <w:rFonts w:ascii="Times New Roman" w:hAnsi="Times New Roman"/>
              </w:rPr>
              <w:t>符合性分析</w:t>
            </w:r>
          </w:p>
          <w:p>
            <w:pPr>
              <w:spacing w:line="440" w:lineRule="exact"/>
              <w:ind w:firstLine="480" w:firstLineChars="200"/>
              <w:rPr>
                <w:rFonts w:ascii="Times New Roman" w:hAnsi="Times New Roman"/>
              </w:rPr>
            </w:pPr>
            <w:r>
              <w:rPr>
                <w:rFonts w:hint="eastAsia" w:ascii="Times New Roman" w:hAnsi="Times New Roman"/>
              </w:rPr>
              <w:t>对照《三明市大气污染防治行动计划实施细则》（明政办[2014]67号），项目符合《三明市大气污染防治行动计划实施细则》相关要求，符合性分析具体见下表：</w:t>
            </w:r>
          </w:p>
          <w:p>
            <w:pPr>
              <w:pStyle w:val="2"/>
            </w:pPr>
          </w:p>
          <w:p>
            <w:pPr>
              <w:pStyle w:val="3"/>
              <w:ind w:right="-120" w:firstLine="240"/>
              <w:rPr>
                <w:rFonts w:ascii="Times New Roman" w:hAnsi="Times New Roman"/>
              </w:rPr>
            </w:pPr>
          </w:p>
          <w:p>
            <w:pPr>
              <w:rPr>
                <w:rFonts w:ascii="Times New Roman" w:hAnsi="Times New Roman"/>
              </w:rPr>
            </w:pPr>
          </w:p>
          <w:p>
            <w:pPr>
              <w:pStyle w:val="2"/>
            </w:pPr>
          </w:p>
          <w:p>
            <w:pPr>
              <w:pStyle w:val="3"/>
              <w:ind w:right="-120" w:firstLine="240"/>
              <w:rPr>
                <w:rFonts w:ascii="Times New Roman" w:hAnsi="Times New Roman"/>
              </w:rPr>
            </w:pPr>
          </w:p>
          <w:p>
            <w:pPr>
              <w:rPr>
                <w:rFonts w:ascii="Times New Roman" w:hAnsi="Times New Roman"/>
              </w:rPr>
            </w:pPr>
          </w:p>
          <w:p>
            <w:pPr>
              <w:pStyle w:val="2"/>
            </w:pPr>
          </w:p>
          <w:p>
            <w:pPr>
              <w:pStyle w:val="3"/>
              <w:ind w:right="-120" w:firstLine="240"/>
              <w:rPr>
                <w:rFonts w:ascii="Times New Roman" w:hAnsi="Times New Roman"/>
              </w:rPr>
            </w:pPr>
          </w:p>
          <w:p/>
          <w:p>
            <w:pPr>
              <w:pStyle w:val="34"/>
              <w:spacing w:before="120"/>
              <w:ind w:firstLine="422"/>
              <w:rPr>
                <w:rFonts w:ascii="Times New Roman" w:hAnsi="Times New Roman"/>
                <w:b/>
                <w:bCs/>
                <w:sz w:val="21"/>
                <w:szCs w:val="21"/>
              </w:rPr>
            </w:pPr>
            <w:r>
              <w:rPr>
                <w:rFonts w:ascii="Times New Roman" w:hAnsi="Times New Roman"/>
                <w:b/>
                <w:bCs/>
                <w:sz w:val="21"/>
                <w:szCs w:val="21"/>
              </w:rPr>
              <w:t>表1.</w:t>
            </w:r>
            <w:r>
              <w:rPr>
                <w:rFonts w:hint="eastAsia" w:ascii="Times New Roman" w:hAnsi="Times New Roman"/>
                <w:b/>
                <w:bCs/>
                <w:sz w:val="21"/>
                <w:szCs w:val="21"/>
              </w:rPr>
              <w:t>2</w:t>
            </w:r>
            <w:r>
              <w:rPr>
                <w:rFonts w:ascii="Times New Roman" w:hAnsi="Times New Roman"/>
                <w:b/>
                <w:bCs/>
                <w:sz w:val="21"/>
                <w:szCs w:val="21"/>
              </w:rPr>
              <w:t>-</w:t>
            </w:r>
            <w:r>
              <w:rPr>
                <w:rFonts w:hint="eastAsia" w:ascii="Times New Roman" w:hAnsi="Times New Roman"/>
                <w:b/>
                <w:bCs/>
                <w:sz w:val="21"/>
                <w:szCs w:val="21"/>
              </w:rPr>
              <w:t>3</w:t>
            </w:r>
            <w:r>
              <w:rPr>
                <w:rFonts w:ascii="Times New Roman" w:hAnsi="Times New Roman"/>
                <w:b/>
                <w:bCs/>
                <w:sz w:val="21"/>
                <w:szCs w:val="21"/>
              </w:rPr>
              <w:t xml:space="preserve"> </w:t>
            </w:r>
            <w:r>
              <w:rPr>
                <w:rFonts w:hint="eastAsia" w:ascii="Times New Roman" w:hAnsi="Times New Roman"/>
                <w:b/>
                <w:bCs/>
                <w:sz w:val="21"/>
                <w:szCs w:val="21"/>
              </w:rPr>
              <w:t>与三明市大气污染防治行动计划实施细则符合性分析</w:t>
            </w:r>
          </w:p>
          <w:tbl>
            <w:tblPr>
              <w:tblStyle w:val="26"/>
              <w:tblW w:w="822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532"/>
              <w:gridCol w:w="1251"/>
              <w:gridCol w:w="7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180" w:type="dxa"/>
                  <w:gridSpan w:val="2"/>
                  <w:tcBorders>
                    <w:tl2br w:val="nil"/>
                    <w:tr2bl w:val="nil"/>
                  </w:tcBorders>
                  <w:vAlign w:val="center"/>
                </w:tcPr>
                <w:p>
                  <w:pPr>
                    <w:jc w:val="center"/>
                    <w:rPr>
                      <w:sz w:val="18"/>
                      <w:szCs w:val="18"/>
                    </w:rPr>
                  </w:pPr>
                  <w:r>
                    <w:rPr>
                      <w:rFonts w:hint="eastAsia"/>
                      <w:sz w:val="18"/>
                      <w:szCs w:val="18"/>
                    </w:rPr>
                    <w:t>相关要求</w:t>
                  </w:r>
                </w:p>
              </w:tc>
              <w:tc>
                <w:tcPr>
                  <w:tcW w:w="1251" w:type="dxa"/>
                  <w:tcBorders>
                    <w:tl2br w:val="nil"/>
                    <w:tr2bl w:val="nil"/>
                  </w:tcBorders>
                  <w:vAlign w:val="center"/>
                </w:tcPr>
                <w:p>
                  <w:pPr>
                    <w:jc w:val="center"/>
                    <w:rPr>
                      <w:sz w:val="18"/>
                      <w:szCs w:val="18"/>
                    </w:rPr>
                  </w:pPr>
                  <w:r>
                    <w:rPr>
                      <w:rFonts w:hint="eastAsia"/>
                      <w:sz w:val="18"/>
                      <w:szCs w:val="18"/>
                    </w:rPr>
                    <w:t>本项目</w:t>
                  </w:r>
                </w:p>
              </w:tc>
              <w:tc>
                <w:tcPr>
                  <w:tcW w:w="797" w:type="dxa"/>
                  <w:tcBorders>
                    <w:tl2br w:val="nil"/>
                    <w:tr2bl w:val="nil"/>
                  </w:tcBorders>
                  <w:vAlign w:val="center"/>
                </w:tcPr>
                <w:p>
                  <w:pPr>
                    <w:jc w:val="center"/>
                    <w:rPr>
                      <w:sz w:val="18"/>
                      <w:szCs w:val="18"/>
                    </w:rPr>
                  </w:pPr>
                  <w:r>
                    <w:rPr>
                      <w:rFonts w:hint="eastAsia"/>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restart"/>
                  <w:tcBorders>
                    <w:tl2br w:val="nil"/>
                    <w:tr2bl w:val="nil"/>
                  </w:tcBorders>
                  <w:vAlign w:val="center"/>
                </w:tcPr>
                <w:p>
                  <w:pPr>
                    <w:rPr>
                      <w:sz w:val="18"/>
                      <w:szCs w:val="18"/>
                    </w:rPr>
                  </w:pPr>
                  <w:r>
                    <w:rPr>
                      <w:rFonts w:hint="eastAsia"/>
                      <w:sz w:val="18"/>
                      <w:szCs w:val="18"/>
                    </w:rPr>
                    <w:t>加强工业企业大气污染综合治理</w:t>
                  </w:r>
                </w:p>
              </w:tc>
              <w:tc>
                <w:tcPr>
                  <w:tcW w:w="5532" w:type="dxa"/>
                  <w:tcBorders>
                    <w:tl2br w:val="nil"/>
                    <w:tr2bl w:val="nil"/>
                  </w:tcBorders>
                </w:tcPr>
                <w:p>
                  <w:pPr>
                    <w:rPr>
                      <w:sz w:val="18"/>
                      <w:szCs w:val="18"/>
                    </w:rPr>
                  </w:pPr>
                  <w:r>
                    <w:rPr>
                      <w:rFonts w:hint="eastAsia"/>
                      <w:sz w:val="18"/>
                      <w:szCs w:val="18"/>
                    </w:rPr>
                    <w:t>全面整治城市燃煤小锅炉。加快推进集中供热、“煤改气”、“煤改电”等清洁能源替代工程建设。到2017年，除必要保留外，各县（市、区）建成区基本淘汰每小时10蒸吨及以下的燃煤锅炉，禁止新建每小时20蒸吨以下的燃煤锅炉；其他地区原则上不再新建每小时10蒸吨以下的燃煤锅炉。</w:t>
                  </w:r>
                </w:p>
              </w:tc>
              <w:tc>
                <w:tcPr>
                  <w:tcW w:w="1251" w:type="dxa"/>
                  <w:tcBorders>
                    <w:tl2br w:val="nil"/>
                    <w:tr2bl w:val="nil"/>
                  </w:tcBorders>
                  <w:vAlign w:val="center"/>
                </w:tcPr>
                <w:p>
                  <w:pPr>
                    <w:rPr>
                      <w:sz w:val="18"/>
                      <w:szCs w:val="18"/>
                    </w:rPr>
                  </w:pPr>
                  <w:r>
                    <w:rPr>
                      <w:rFonts w:hint="eastAsia"/>
                      <w:sz w:val="18"/>
                      <w:szCs w:val="18"/>
                    </w:rPr>
                    <w:t>本项目使用的能源为电能，不涉及燃煤</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淘汰分散型工业燃煤炉窑。在化工、印染、造纸、制革、制药等产业集聚区，通过集中建设热电联产机组或大型集中供热设施或实施清洁燃料替代工程，逐步淘汰分散燃煤炉窑。到2015年，基本淘汰燃煤炉窑集中区和工业园区内燃煤炉窑，确实无法淘汰的，必须按规范建设投运除尘、脱硫和脱硝设施，确保污染物稳定达标排放。新建建筑陶瓷业项目原则上使用天然气。尤溪、大田合成革集控区“煤改气”工程2015年全面完成。</w:t>
                  </w:r>
                </w:p>
              </w:tc>
              <w:tc>
                <w:tcPr>
                  <w:tcW w:w="1251" w:type="dxa"/>
                  <w:tcBorders>
                    <w:tl2br w:val="nil"/>
                    <w:tr2bl w:val="nil"/>
                  </w:tcBorders>
                  <w:vAlign w:val="center"/>
                </w:tcPr>
                <w:p>
                  <w:pPr>
                    <w:rPr>
                      <w:sz w:val="18"/>
                      <w:szCs w:val="18"/>
                    </w:rPr>
                  </w:pPr>
                  <w:r>
                    <w:rPr>
                      <w:rFonts w:hint="eastAsia"/>
                      <w:sz w:val="18"/>
                      <w:szCs w:val="18"/>
                    </w:rPr>
                    <w:t>本项目不涉及工业燃煤炉窑</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深化二氧化硫污染治理。加强燃煤电厂（热电厂、企业自备电站）脱硫设施运行管理。采用循环流化床炉内脱硫的，应加快实施炉外脱硫技改；公用燃煤电厂综合脱硫效率应达到95%以上，其他采用湿法脱硫的燃煤电厂（热电厂、企业自备电站）综合脱硫效率应达到85%以上；钢铁烧结机、球团竖炉应全部建成投运脱硫设施或实施提效技改，综合脱硫效率达到80%以上；玻璃生产线、有色冶炼窑炉应进一步规范脱硫设施运行，综合脱硫效率达到80%以上。</w:t>
                  </w:r>
                </w:p>
              </w:tc>
              <w:tc>
                <w:tcPr>
                  <w:tcW w:w="1251" w:type="dxa"/>
                  <w:tcBorders>
                    <w:tl2br w:val="nil"/>
                    <w:tr2bl w:val="nil"/>
                  </w:tcBorders>
                  <w:vAlign w:val="center"/>
                </w:tcPr>
                <w:p>
                  <w:pPr>
                    <w:rPr>
                      <w:sz w:val="18"/>
                      <w:szCs w:val="18"/>
                    </w:rPr>
                  </w:pPr>
                  <w:r>
                    <w:rPr>
                      <w:rFonts w:hint="eastAsia"/>
                      <w:sz w:val="18"/>
                      <w:szCs w:val="18"/>
                    </w:rPr>
                    <w:t>本项目不涉及二氧化硫</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持续开展氮氧化物污染防治。已投运脱硝设施的燃煤电厂应进一步提高脱硝效率和投运率，综合脱硝效率达到70%以上，氮氧化物稳定达标排放；尚未全部建成脱硝设施的，要按规定时限建成投运。循环流化床电厂、热电厂、企业自备电站必须确保氮氧化物稳定达标排放；无法稳定达标的，必须实施低氮燃烧改造或建设脱硝设施。新型干法水泥生产线应严格执行《水泥工业大气污染物排放标准》（DB35/1311—2013），确保稳定达标排放。其中4000吨/日规模及以上的，综合脱硝效率应达到60%以上；4000吨/日规模以下的，综合脱硝效率应达到50%以上。玻璃企业生产线应规范运行管理，综合脱硝效率达到70%以上，氮氧化物排放确保达到《平板玻璃工业大气污染物排放标准》（GB26453—2011）要求。</w:t>
                  </w:r>
                </w:p>
              </w:tc>
              <w:tc>
                <w:tcPr>
                  <w:tcW w:w="1251" w:type="dxa"/>
                  <w:tcBorders>
                    <w:tl2br w:val="nil"/>
                    <w:tr2bl w:val="nil"/>
                  </w:tcBorders>
                </w:tcPr>
                <w:p>
                  <w:pPr>
                    <w:rPr>
                      <w:sz w:val="18"/>
                      <w:szCs w:val="18"/>
                    </w:rPr>
                  </w:pPr>
                  <w:r>
                    <w:rPr>
                      <w:rFonts w:hint="eastAsia"/>
                      <w:sz w:val="18"/>
                      <w:szCs w:val="18"/>
                    </w:rPr>
                    <w:t>本项目不涉及氮氧化物</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强化工业烟粉尘治理。燃煤发电机组严格执行《火电厂大气污染物排放标准》（GB13223—2011），配套高效除尘设施；水泥窑及窑磨一体机、水泥企业破碎机、磨机、包装机、烘干机、烘干磨、煤磨机、冷却机、水泥仓及其他通风设备、现役烧结（球团）设备机头、燃煤工业锅炉、工业炉窑均应安装高效除尘设备，确保颗粒物达标排放</w:t>
                  </w:r>
                </w:p>
              </w:tc>
              <w:tc>
                <w:tcPr>
                  <w:tcW w:w="1251" w:type="dxa"/>
                  <w:tcBorders>
                    <w:tl2br w:val="nil"/>
                    <w:tr2bl w:val="nil"/>
                  </w:tcBorders>
                </w:tcPr>
                <w:p>
                  <w:pPr>
                    <w:rPr>
                      <w:sz w:val="18"/>
                      <w:szCs w:val="18"/>
                    </w:rPr>
                  </w:pPr>
                  <w:r>
                    <w:rPr>
                      <w:rFonts w:hint="eastAsia"/>
                      <w:sz w:val="18"/>
                      <w:szCs w:val="18"/>
                    </w:rPr>
                    <w:t>本项目堆场采用喷雾抑尘、原料卸料过程采取洒水抑尘、破碎筛分过程采取水喷淋抑尘，可确保颗粒物达标排放</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vAlign w:val="center"/>
                </w:tcPr>
                <w:p>
                  <w:pPr>
                    <w:rPr>
                      <w:sz w:val="18"/>
                      <w:szCs w:val="18"/>
                    </w:rPr>
                  </w:pPr>
                </w:p>
              </w:tc>
              <w:tc>
                <w:tcPr>
                  <w:tcW w:w="5532" w:type="dxa"/>
                  <w:tcBorders>
                    <w:tl2br w:val="nil"/>
                    <w:tr2bl w:val="nil"/>
                  </w:tcBorders>
                </w:tcPr>
                <w:p>
                  <w:pPr>
                    <w:rPr>
                      <w:sz w:val="18"/>
                      <w:szCs w:val="18"/>
                    </w:rPr>
                  </w:pPr>
                  <w:r>
                    <w:rPr>
                      <w:rFonts w:hint="eastAsia"/>
                      <w:sz w:val="18"/>
                      <w:szCs w:val="18"/>
                    </w:rPr>
                    <w:t>推进挥发性有机物综合治理。按照国家和省的部署，在包装印刷、表面涂装、有机化工等行业实施挥发性有机物综合整治；限时完成加油站、储油库、油罐车的油气回收治理；推广使用水性涂料，鼓励生产、销售和使用低毒、低挥发性有机溶剂。</w:t>
                  </w:r>
                </w:p>
              </w:tc>
              <w:tc>
                <w:tcPr>
                  <w:tcW w:w="1251" w:type="dxa"/>
                  <w:tcBorders>
                    <w:tl2br w:val="nil"/>
                    <w:tr2bl w:val="nil"/>
                  </w:tcBorders>
                </w:tcPr>
                <w:p>
                  <w:pPr>
                    <w:rPr>
                      <w:sz w:val="18"/>
                      <w:szCs w:val="18"/>
                    </w:rPr>
                  </w:pPr>
                  <w:r>
                    <w:rPr>
                      <w:rFonts w:hint="eastAsia"/>
                      <w:sz w:val="18"/>
                      <w:szCs w:val="18"/>
                    </w:rPr>
                    <w:t>本项目不涉及挥发性有机物</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blHeader/>
              </w:trPr>
              <w:tc>
                <w:tcPr>
                  <w:tcW w:w="648" w:type="dxa"/>
                  <w:vMerge w:val="restart"/>
                  <w:tcBorders>
                    <w:tl2br w:val="nil"/>
                    <w:tr2bl w:val="nil"/>
                  </w:tcBorders>
                  <w:vAlign w:val="center"/>
                </w:tcPr>
                <w:p>
                  <w:pPr>
                    <w:rPr>
                      <w:sz w:val="18"/>
                      <w:szCs w:val="18"/>
                    </w:rPr>
                  </w:pPr>
                  <w:r>
                    <w:rPr>
                      <w:rFonts w:hint="eastAsia"/>
                      <w:sz w:val="18"/>
                      <w:szCs w:val="18"/>
                    </w:rPr>
                    <w:t>深化面源污染治理</w:t>
                  </w:r>
                </w:p>
              </w:tc>
              <w:tc>
                <w:tcPr>
                  <w:tcW w:w="5532" w:type="dxa"/>
                  <w:tcBorders>
                    <w:tl2br w:val="nil"/>
                    <w:tr2bl w:val="nil"/>
                  </w:tcBorders>
                </w:tcPr>
                <w:p>
                  <w:pPr>
                    <w:rPr>
                      <w:sz w:val="18"/>
                      <w:szCs w:val="18"/>
                    </w:rPr>
                  </w:pPr>
                  <w:r>
                    <w:rPr>
                      <w:rFonts w:hint="eastAsia"/>
                      <w:sz w:val="18"/>
                      <w:szCs w:val="18"/>
                    </w:rPr>
                    <w:t>强化施工扬尘监管。住房和城乡建设部门要加强房屋建筑和市政基础设施工程施工现场扬尘监管，积极推进绿色施工。施工现场应全封闭设置围挡，严禁敞开式作业，并采取防止扬尘措施，施工现场道路及材料加工区应进行地面硬化。</w:t>
                  </w:r>
                </w:p>
              </w:tc>
              <w:tc>
                <w:tcPr>
                  <w:tcW w:w="1251" w:type="dxa"/>
                  <w:tcBorders>
                    <w:tl2br w:val="nil"/>
                    <w:tr2bl w:val="nil"/>
                  </w:tcBorders>
                </w:tcPr>
                <w:p>
                  <w:pPr>
                    <w:rPr>
                      <w:sz w:val="18"/>
                      <w:szCs w:val="18"/>
                    </w:rPr>
                  </w:pPr>
                  <w:r>
                    <w:rPr>
                      <w:rFonts w:hint="eastAsia"/>
                      <w:sz w:val="18"/>
                      <w:szCs w:val="18"/>
                    </w:rPr>
                    <w:t>本项目施工过程中采取围挡、洒水降尘等防治措施及管理措施</w:t>
                  </w:r>
                </w:p>
              </w:tc>
              <w:tc>
                <w:tcPr>
                  <w:tcW w:w="797" w:type="dxa"/>
                  <w:tcBorders>
                    <w:tl2br w:val="nil"/>
                    <w:tr2bl w:val="nil"/>
                  </w:tcBorders>
                  <w:vAlign w:val="center"/>
                </w:tcPr>
                <w:p>
                  <w:pPr>
                    <w:rPr>
                      <w:sz w:val="18"/>
                      <w:szCs w:val="18"/>
                    </w:rPr>
                  </w:pPr>
                  <w:r>
                    <w:rPr>
                      <w:rFonts w:hint="eastAsia"/>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trPr>
              <w:tc>
                <w:tcPr>
                  <w:tcW w:w="648" w:type="dxa"/>
                  <w:vMerge w:val="continue"/>
                  <w:tcBorders>
                    <w:tl2br w:val="nil"/>
                    <w:tr2bl w:val="nil"/>
                  </w:tcBorders>
                </w:tcPr>
                <w:p>
                  <w:pPr>
                    <w:rPr>
                      <w:sz w:val="18"/>
                      <w:szCs w:val="18"/>
                    </w:rPr>
                  </w:pPr>
                </w:p>
              </w:tc>
              <w:tc>
                <w:tcPr>
                  <w:tcW w:w="5532" w:type="dxa"/>
                  <w:tcBorders>
                    <w:tl2br w:val="nil"/>
                    <w:tr2bl w:val="nil"/>
                  </w:tcBorders>
                </w:tcPr>
                <w:p>
                  <w:pPr>
                    <w:rPr>
                      <w:sz w:val="18"/>
                      <w:szCs w:val="18"/>
                    </w:rPr>
                  </w:pPr>
                  <w:r>
                    <w:rPr>
                      <w:rFonts w:hint="eastAsia"/>
                      <w:sz w:val="18"/>
                      <w:szCs w:val="18"/>
                    </w:rPr>
                    <w:t>推进堆场扬尘综合治理。加强煤堆、料堆监督管理，所有露天堆放的煤堆、料堆场2015年底前全部采取覆盖或建设自动喷淋装置等防风抑尘设施，电厂的煤堆、料堆应安装视频监控设施，并与城市扬尘视频监控平台联网。</w:t>
                  </w:r>
                </w:p>
              </w:tc>
              <w:tc>
                <w:tcPr>
                  <w:tcW w:w="1251" w:type="dxa"/>
                  <w:tcBorders>
                    <w:tl2br w:val="nil"/>
                    <w:tr2bl w:val="nil"/>
                  </w:tcBorders>
                </w:tcPr>
                <w:p>
                  <w:pPr>
                    <w:rPr>
                      <w:sz w:val="18"/>
                      <w:szCs w:val="18"/>
                    </w:rPr>
                  </w:pPr>
                  <w:r>
                    <w:rPr>
                      <w:rFonts w:hint="eastAsia"/>
                      <w:sz w:val="18"/>
                      <w:szCs w:val="18"/>
                    </w:rPr>
                    <w:t>本项目原料堆场采取喷雾抑尘</w:t>
                  </w:r>
                </w:p>
              </w:tc>
              <w:tc>
                <w:tcPr>
                  <w:tcW w:w="797" w:type="dxa"/>
                  <w:tcBorders>
                    <w:tl2br w:val="nil"/>
                    <w:tr2bl w:val="nil"/>
                  </w:tcBorders>
                  <w:vAlign w:val="center"/>
                </w:tcPr>
                <w:p>
                  <w:pPr>
                    <w:rPr>
                      <w:sz w:val="18"/>
                      <w:szCs w:val="18"/>
                    </w:rPr>
                  </w:pPr>
                  <w:r>
                    <w:rPr>
                      <w:rFonts w:hint="eastAsia"/>
                      <w:sz w:val="18"/>
                      <w:szCs w:val="18"/>
                    </w:rPr>
                    <w:t>符合</w:t>
                  </w:r>
                </w:p>
              </w:tc>
            </w:tr>
          </w:tbl>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3</w:t>
            </w:r>
            <w:r>
              <w:rPr>
                <w:rFonts w:ascii="Times New Roman" w:hAnsi="Times New Roman"/>
              </w:rPr>
              <w:t>.</w:t>
            </w:r>
            <w:r>
              <w:rPr>
                <w:rFonts w:hint="eastAsia" w:ascii="Times New Roman" w:hAnsi="Times New Roman"/>
              </w:rPr>
              <w:t>2</w:t>
            </w:r>
            <w:r>
              <w:rPr>
                <w:rFonts w:ascii="Times New Roman" w:hAnsi="Times New Roman"/>
              </w:rPr>
              <w:t>与</w:t>
            </w:r>
            <w:r>
              <w:rPr>
                <w:rFonts w:hint="eastAsia" w:ascii="Times New Roman" w:hAnsi="Times New Roman"/>
              </w:rPr>
              <w:t>三明市水污染防治行动计划</w:t>
            </w:r>
            <w:r>
              <w:rPr>
                <w:rFonts w:ascii="Times New Roman" w:hAnsi="Times New Roman"/>
              </w:rPr>
              <w:t>符合性分析</w:t>
            </w:r>
          </w:p>
          <w:p>
            <w:pPr>
              <w:spacing w:line="440" w:lineRule="exact"/>
              <w:ind w:firstLine="480" w:firstLineChars="200"/>
              <w:rPr>
                <w:rFonts w:ascii="Times New Roman" w:hAnsi="Times New Roman"/>
              </w:rPr>
            </w:pPr>
            <w:r>
              <w:rPr>
                <w:rFonts w:hint="eastAsia" w:ascii="Times New Roman" w:hAnsi="Times New Roman"/>
              </w:rPr>
              <w:t>对照《三明市水污染防治行动计划》（明政文[2016]40号），项目符合《三明市水污染防治行动计划实施细则》相关要求，符合性分析具体见下表。</w:t>
            </w:r>
          </w:p>
          <w:p>
            <w:pPr>
              <w:pStyle w:val="34"/>
              <w:spacing w:before="120"/>
              <w:ind w:firstLine="422"/>
              <w:rPr>
                <w:rFonts w:ascii="Times New Roman" w:hAnsi="Times New Roman"/>
                <w:b/>
                <w:bCs/>
                <w:sz w:val="21"/>
                <w:szCs w:val="21"/>
              </w:rPr>
            </w:pPr>
            <w:r>
              <w:rPr>
                <w:rFonts w:ascii="Times New Roman" w:hAnsi="Times New Roman"/>
                <w:b/>
                <w:bCs/>
                <w:sz w:val="21"/>
                <w:szCs w:val="21"/>
              </w:rPr>
              <w:t>表1.</w:t>
            </w:r>
            <w:r>
              <w:rPr>
                <w:rFonts w:hint="eastAsia" w:ascii="Times New Roman" w:hAnsi="Times New Roman"/>
                <w:b/>
                <w:bCs/>
                <w:sz w:val="21"/>
                <w:szCs w:val="21"/>
              </w:rPr>
              <w:t>2</w:t>
            </w:r>
            <w:r>
              <w:rPr>
                <w:rFonts w:ascii="Times New Roman" w:hAnsi="Times New Roman"/>
                <w:b/>
                <w:bCs/>
                <w:sz w:val="21"/>
                <w:szCs w:val="21"/>
              </w:rPr>
              <w:t>-</w:t>
            </w:r>
            <w:r>
              <w:rPr>
                <w:rFonts w:hint="eastAsia" w:ascii="Times New Roman" w:hAnsi="Times New Roman"/>
                <w:b/>
                <w:bCs/>
                <w:sz w:val="21"/>
                <w:szCs w:val="21"/>
              </w:rPr>
              <w:t>4</w:t>
            </w:r>
            <w:r>
              <w:rPr>
                <w:rFonts w:ascii="Times New Roman" w:hAnsi="Times New Roman"/>
                <w:b/>
                <w:bCs/>
                <w:sz w:val="21"/>
                <w:szCs w:val="21"/>
              </w:rPr>
              <w:t xml:space="preserve"> </w:t>
            </w:r>
            <w:r>
              <w:rPr>
                <w:rFonts w:hint="eastAsia" w:ascii="Times New Roman" w:hAnsi="Times New Roman"/>
                <w:b/>
                <w:bCs/>
                <w:sz w:val="21"/>
                <w:szCs w:val="21"/>
              </w:rPr>
              <w:t>与三明市水污染防治行动计划符合性分析</w:t>
            </w:r>
          </w:p>
          <w:tbl>
            <w:tblPr>
              <w:tblStyle w:val="25"/>
              <w:tblW w:w="8235"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2020"/>
              <w:gridCol w:w="7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tcPr>
                <w:p>
                  <w:pPr>
                    <w:spacing w:line="290" w:lineRule="exact"/>
                    <w:jc w:val="center"/>
                    <w:rPr>
                      <w:rFonts w:ascii="Times New Roman" w:hAnsi="Times New Roman" w:eastAsiaTheme="minorEastAsia"/>
                      <w:b/>
                      <w:bCs/>
                      <w:spacing w:val="-2"/>
                      <w:sz w:val="18"/>
                      <w:szCs w:val="18"/>
                    </w:rPr>
                  </w:pPr>
                  <w:r>
                    <w:rPr>
                      <w:rFonts w:hint="eastAsia" w:ascii="Times New Roman" w:hAnsi="Times New Roman" w:eastAsiaTheme="minorEastAsia"/>
                      <w:b/>
                      <w:bCs/>
                      <w:spacing w:val="-2"/>
                      <w:sz w:val="18"/>
                      <w:szCs w:val="18"/>
                    </w:rPr>
                    <w:t>相关</w:t>
                  </w:r>
                  <w:r>
                    <w:rPr>
                      <w:rFonts w:ascii="Times New Roman" w:hAnsi="Times New Roman" w:eastAsiaTheme="minorEastAsia"/>
                      <w:b/>
                      <w:bCs/>
                      <w:spacing w:val="-2"/>
                      <w:sz w:val="18"/>
                      <w:szCs w:val="18"/>
                    </w:rPr>
                    <w:t>要求</w:t>
                  </w:r>
                </w:p>
              </w:tc>
              <w:tc>
                <w:tcPr>
                  <w:tcW w:w="2020" w:type="dxa"/>
                  <w:vAlign w:val="center"/>
                </w:tcPr>
                <w:p>
                  <w:pPr>
                    <w:spacing w:line="29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本项目情况</w:t>
                  </w:r>
                </w:p>
              </w:tc>
              <w:tc>
                <w:tcPr>
                  <w:tcW w:w="761" w:type="dxa"/>
                  <w:vAlign w:val="center"/>
                </w:tcPr>
                <w:p>
                  <w:pPr>
                    <w:spacing w:line="290" w:lineRule="exact"/>
                    <w:jc w:val="center"/>
                    <w:rPr>
                      <w:rFonts w:ascii="Times New Roman" w:hAnsi="Times New Roman" w:eastAsiaTheme="minorEastAsia"/>
                      <w:b/>
                      <w:bCs/>
                      <w:spacing w:val="-2"/>
                      <w:sz w:val="18"/>
                      <w:szCs w:val="18"/>
                    </w:rPr>
                  </w:pPr>
                  <w:r>
                    <w:rPr>
                      <w:rFonts w:ascii="Times New Roman" w:hAnsi="Times New Roman" w:eastAsiaTheme="minorEastAsia"/>
                      <w:b/>
                      <w:bCs/>
                      <w:spacing w:val="-2"/>
                      <w:sz w:val="18"/>
                      <w:szCs w:val="18"/>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取缔“十小”企业。全面排查装备水平低、环保设施差的小型工业企业。2016年底前，按照水污染防治法律法规要求，全部取缔不符合产业政策的小型造纸、印染、染料、炼焦、炼硫、炼砷、炼油、电镀、农药等严重污染水环境的生产项目。</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本项目不属于“十小”企业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专项整治十大重点行业。推进造纸、焦化、氮肥、有色金属、印染、农副食品加工、原料药制造、农药、电镀等十大重点行业专项治理，实施清洁化改造。新建、改建、扩建十大重点行业建设项目的，实行主要污染物排放等量或减量置换。</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本项目行业类别为废弃资源综合利用业，不属于造纸、焦化、氮肥、有色金属等专项整治十大重点行业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持续整治矿山采选行业。沙溪、金溪、尤溪流域干流、一级支流、饮用水源沿岸一重山范围内禁止新设立矿业权，该区域内及流域所有无证、非法采矿予以取缔。现有建筑饰面石材集中加工区域应建成污水集中处理设施，配套污水管网和水回用系统，实现循环使用。现有零散分布的建筑饰面石材企业应严格执行环保相关要求，达标排放，并实施差别电价政策，促进零散企业尽快搬入集中区。现有国家严格控制的重金属采选企业要于2015年底前完善废水治理设施，选矿废水全部循环利用，逾期未完成的，予以关停整顿。尤溪、大田县要开展铅锌矿业污染专项整治，方案报省环保厅、市环保局备案，并于2016年底前完成整治任务。</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本项目行业类别为废弃资源综合利用业，不属于矿山采选行业</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54"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集中治理工业集聚区水污染。推进印染行业集控区水污染集中治理，新建企业必须全部进入相应行业的集控区，实施“以大带小”、“以新带老”，坚持主要污染物排放量“等量置换”或“减量置换”原则，实现主要污染物排放零增长；区内所有企业必须全面实现废水分流分治、深度处理，含重金属废水必须进行预处理，达到车间排放标准；所有集控区应同步建成污水集中处理设施并安装自动在线监控装置，否则一律不准生产。</w:t>
                  </w:r>
                </w:p>
              </w:tc>
              <w:tc>
                <w:tcPr>
                  <w:tcW w:w="2020" w:type="dxa"/>
                  <w:vAlign w:val="center"/>
                </w:tcPr>
                <w:p>
                  <w:pPr>
                    <w:spacing w:line="290" w:lineRule="exact"/>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本项目位于铸造集聚区，项目生产废水主要为铁粉仓堆干渗滤水，浓缩罐废水、压滤废水废水，主要污染因子为悬浮物和石油类，经管道收集通过“隔油池+沉淀池”处理后回用，生活污水经处理后用于周边山林地灌溉，废水均可妥善处理。</w:t>
                  </w:r>
                </w:p>
              </w:tc>
              <w:tc>
                <w:tcPr>
                  <w:tcW w:w="761" w:type="dxa"/>
                  <w:vAlign w:val="center"/>
                </w:tcPr>
                <w:p>
                  <w:pPr>
                    <w:spacing w:line="290" w:lineRule="exact"/>
                    <w:jc w:val="center"/>
                    <w:rPr>
                      <w:rFonts w:ascii="Times New Roman" w:hAnsi="Times New Roman" w:eastAsiaTheme="minorEastAsia"/>
                      <w:spacing w:val="-2"/>
                      <w:sz w:val="18"/>
                      <w:szCs w:val="18"/>
                    </w:rPr>
                  </w:pPr>
                  <w:r>
                    <w:rPr>
                      <w:rFonts w:hint="eastAsia" w:ascii="Times New Roman" w:hAnsi="Times New Roman" w:eastAsiaTheme="minorEastAsia"/>
                      <w:spacing w:val="-2"/>
                      <w:sz w:val="18"/>
                      <w:szCs w:val="18"/>
                    </w:rPr>
                    <w:t>符合</w:t>
                  </w:r>
                </w:p>
              </w:tc>
            </w:tr>
          </w:tbl>
          <w:p>
            <w:pPr>
              <w:pStyle w:val="8"/>
              <w:numPr>
                <w:ilvl w:val="0"/>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选址合理性分析</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.1与大田县</w:t>
            </w:r>
            <w:r>
              <w:rPr>
                <w:rFonts w:hint="eastAsia" w:ascii="Times New Roman" w:hAnsi="Times New Roman"/>
              </w:rPr>
              <w:t>武陵乡大石村村庄</w:t>
            </w:r>
            <w:r>
              <w:rPr>
                <w:rFonts w:ascii="Times New Roman" w:hAnsi="Times New Roman"/>
              </w:rPr>
              <w:t>规划符合性分析</w:t>
            </w:r>
          </w:p>
          <w:p>
            <w:pPr>
              <w:pStyle w:val="46"/>
              <w:rPr>
                <w:color w:val="auto"/>
              </w:rPr>
            </w:pPr>
            <w:r>
              <w:rPr>
                <w:rFonts w:hint="eastAsia"/>
                <w:color w:val="auto"/>
              </w:rPr>
              <w:t>项目厂址位于武陵乡大石村的铸造集聚区，对照《大田县武陵乡大石村村庄规划（2019-2035）》，该项目用地范围位于大石村建设用地管制区中的城镇建设用地。根据大田县自然资源局开具的《大田县武陵乡大石村村庄规划局部图》，项目用地位于城镇开发边界内，属于工业用地，不涉及永久基本农田和生态保护红线，地块为二类工业用地；符合大石村土地利用规划。</w:t>
            </w:r>
          </w:p>
          <w:p>
            <w:pPr>
              <w:pStyle w:val="46"/>
              <w:rPr>
                <w:color w:val="auto"/>
              </w:rPr>
            </w:pPr>
            <w:r>
              <w:rPr>
                <w:rFonts w:hint="eastAsia"/>
                <w:color w:val="auto"/>
              </w:rPr>
              <w:t>因此，本项目选址符合大田县武陵乡大石村村庄规划。</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.2与大田县生态功能区划的符合性分析</w:t>
            </w:r>
          </w:p>
          <w:p>
            <w:pPr>
              <w:pStyle w:val="46"/>
              <w:rPr>
                <w:color w:val="auto"/>
              </w:rPr>
            </w:pPr>
            <w:r>
              <w:rPr>
                <w:color w:val="auto"/>
              </w:rPr>
              <w:t>根据《大田县生态功能区划图》（</w:t>
            </w:r>
            <w:r>
              <w:rPr>
                <w:color w:val="auto"/>
              </w:rPr>
              <w:fldChar w:fldCharType="begin"/>
            </w:r>
            <w:r>
              <w:rPr>
                <w:color w:val="auto"/>
              </w:rPr>
              <w:instrText xml:space="preserve"> REF _Ref54351948 \r \h  \* MERGEFORMAT </w:instrText>
            </w:r>
            <w:r>
              <w:rPr>
                <w:color w:val="auto"/>
              </w:rPr>
              <w:fldChar w:fldCharType="separate"/>
            </w:r>
            <w:r>
              <w:rPr>
                <w:color w:val="auto"/>
              </w:rPr>
              <w:t>附图</w:t>
            </w:r>
            <w:r>
              <w:rPr>
                <w:rFonts w:hint="eastAsia"/>
                <w:color w:val="auto"/>
                <w:lang w:val="en-US" w:eastAsia="zh-CN"/>
              </w:rPr>
              <w:t>3</w:t>
            </w:r>
            <w:r>
              <w:rPr>
                <w:color w:val="auto"/>
              </w:rPr>
              <w:fldChar w:fldCharType="end"/>
            </w:r>
            <w:r>
              <w:rPr>
                <w:color w:val="auto"/>
              </w:rPr>
              <w:t>），项目所处区域</w:t>
            </w:r>
            <w:r>
              <w:rPr>
                <w:rFonts w:hint="eastAsia"/>
                <w:color w:val="auto"/>
              </w:rPr>
              <w:t>属于大田县南部中低山水源涵养生态功能小区（230342501）</w:t>
            </w:r>
            <w:r>
              <w:rPr>
                <w:color w:val="auto"/>
              </w:rPr>
              <w:t>，</w:t>
            </w:r>
            <w:r>
              <w:rPr>
                <w:rFonts w:hint="eastAsia"/>
                <w:color w:val="auto"/>
              </w:rPr>
              <w:t>范围为石牌镇、上京镇东南部、武陵乡、谢洋乡东部、济阳乡、屏山乡、吴山乡。</w:t>
            </w:r>
            <w:r>
              <w:rPr>
                <w:color w:val="auto"/>
              </w:rPr>
              <w:t>其主导功能</w:t>
            </w:r>
            <w:r>
              <w:rPr>
                <w:rFonts w:hint="eastAsia"/>
                <w:color w:val="auto"/>
              </w:rPr>
              <w:t>主要为水源涵养，辅助功能为水土保持、备用饮用水源。</w:t>
            </w:r>
          </w:p>
          <w:p>
            <w:pPr>
              <w:pStyle w:val="46"/>
              <w:rPr>
                <w:color w:val="auto"/>
              </w:rPr>
            </w:pPr>
            <w:r>
              <w:rPr>
                <w:color w:val="auto"/>
              </w:rPr>
              <w:t>本项目</w:t>
            </w:r>
            <w:r>
              <w:rPr>
                <w:rFonts w:hint="eastAsia"/>
                <w:color w:val="auto"/>
              </w:rPr>
              <w:t>租用岩盛公司部分闲置厂房作为生产用地，基本不涉及土石方开挖作业，不会对水源涵养、水土保持造成不利影响；项目对铸铁渣、转炉渣、钢渣等进行回收利用制备铁粉</w:t>
            </w:r>
            <w:r>
              <w:rPr>
                <w:color w:val="auto"/>
              </w:rPr>
              <w:t>，</w:t>
            </w:r>
            <w:r>
              <w:rPr>
                <w:rFonts w:hint="eastAsia"/>
                <w:color w:val="auto"/>
              </w:rPr>
              <w:t>用水主要包括球磨</w:t>
            </w:r>
            <w:r>
              <w:rPr>
                <w:color w:val="auto"/>
              </w:rPr>
              <w:t>用水</w:t>
            </w:r>
            <w:r>
              <w:rPr>
                <w:rFonts w:hint="eastAsia"/>
                <w:color w:val="auto"/>
              </w:rPr>
              <w:t>、磁选用水和破碎、筛分过程喷淋抑尘用水等，用水量小，生产废水</w:t>
            </w:r>
            <w:r>
              <w:rPr>
                <w:color w:val="auto"/>
              </w:rPr>
              <w:t>经</w:t>
            </w:r>
            <w:r>
              <w:rPr>
                <w:rFonts w:hint="eastAsia"/>
                <w:color w:val="auto"/>
              </w:rPr>
              <w:t>“隔油池+沉淀池”</w:t>
            </w:r>
            <w:r>
              <w:rPr>
                <w:color w:val="auto"/>
              </w:rPr>
              <w:t>处理后循环使用不外排，与</w:t>
            </w:r>
            <w:r>
              <w:rPr>
                <w:rFonts w:hint="eastAsia"/>
                <w:color w:val="auto"/>
              </w:rPr>
              <w:t>水源涵养的</w:t>
            </w:r>
            <w:r>
              <w:rPr>
                <w:color w:val="auto"/>
              </w:rPr>
              <w:t>主导功能</w:t>
            </w:r>
            <w:r>
              <w:rPr>
                <w:rFonts w:hint="eastAsia"/>
                <w:color w:val="auto"/>
              </w:rPr>
              <w:t>不冲突。</w:t>
            </w:r>
            <w:r>
              <w:rPr>
                <w:color w:val="auto"/>
              </w:rPr>
              <w:t>因此，项目建设与项目所在生态功能</w:t>
            </w:r>
            <w:r>
              <w:rPr>
                <w:rFonts w:hint="eastAsia"/>
                <w:color w:val="auto"/>
              </w:rPr>
              <w:t>区划</w:t>
            </w:r>
            <w:r>
              <w:rPr>
                <w:color w:val="auto"/>
              </w:rPr>
              <w:t>要求相符合。</w:t>
            </w:r>
          </w:p>
          <w:p>
            <w:pPr>
              <w:pStyle w:val="9"/>
              <w:numPr>
                <w:ilvl w:val="3"/>
                <w:numId w:val="0"/>
              </w:numPr>
              <w:spacing w:line="440" w:lineRule="exact"/>
              <w:rPr>
                <w:rFonts w:ascii="Times New Roman" w:hAnsi="Times New Roman"/>
              </w:rPr>
            </w:pPr>
            <w:r>
              <w:rPr>
                <w:rFonts w:ascii="Times New Roman" w:hAnsi="Times New Roman"/>
              </w:rPr>
              <w:t>1.2.</w:t>
            </w:r>
            <w:r>
              <w:rPr>
                <w:rFonts w:hint="eastAsia" w:ascii="Times New Roman" w:hAnsi="Times New Roman"/>
              </w:rPr>
              <w:t>4</w:t>
            </w:r>
            <w:r>
              <w:rPr>
                <w:rFonts w:ascii="Times New Roman" w:hAnsi="Times New Roman"/>
              </w:rPr>
              <w:t>.3周边环境相容性分析</w:t>
            </w:r>
          </w:p>
          <w:p>
            <w:pPr>
              <w:pStyle w:val="46"/>
              <w:rPr>
                <w:color w:val="auto"/>
              </w:rPr>
            </w:pPr>
            <w:r>
              <w:rPr>
                <w:color w:val="auto"/>
              </w:rPr>
              <w:t>项目位于三明市大田县</w:t>
            </w:r>
            <w:r>
              <w:rPr>
                <w:rFonts w:hint="eastAsia"/>
                <w:color w:val="auto"/>
              </w:rPr>
              <w:t>武陵乡的铸造集聚区</w:t>
            </w:r>
            <w:r>
              <w:rPr>
                <w:color w:val="auto"/>
              </w:rPr>
              <w:t>，</w:t>
            </w:r>
            <w:r>
              <w:rPr>
                <w:rFonts w:hint="eastAsia"/>
                <w:color w:val="auto"/>
              </w:rPr>
              <w:t>租用岩盛公司部分闲置厂房，项目西侧为山林地，北侧为山林地，东南侧为岩盛公司遗留的烧结设备</w:t>
            </w:r>
            <w:r>
              <w:rPr>
                <w:color w:val="auto"/>
              </w:rPr>
              <w:t>，</w:t>
            </w:r>
            <w:r>
              <w:rPr>
                <w:rFonts w:hint="eastAsia"/>
                <w:color w:val="auto"/>
              </w:rPr>
              <w:t>南侧为山林地及岩盛公司铸造项目区域，</w:t>
            </w:r>
            <w:r>
              <w:rPr>
                <w:color w:val="auto"/>
              </w:rPr>
              <w:t>距离项目最近的环境保护目标为项目</w:t>
            </w:r>
            <w:r>
              <w:rPr>
                <w:rFonts w:hint="eastAsia"/>
                <w:color w:val="auto"/>
              </w:rPr>
              <w:t>西北</w:t>
            </w:r>
            <w:r>
              <w:rPr>
                <w:color w:val="auto"/>
              </w:rPr>
              <w:t>侧距离约</w:t>
            </w:r>
            <w:r>
              <w:rPr>
                <w:rFonts w:hint="eastAsia"/>
                <w:color w:val="auto"/>
              </w:rPr>
              <w:t>240m</w:t>
            </w:r>
            <w:r>
              <w:rPr>
                <w:color w:val="auto"/>
              </w:rPr>
              <w:t>的</w:t>
            </w:r>
            <w:r>
              <w:rPr>
                <w:rFonts w:hint="eastAsia"/>
                <w:color w:val="auto"/>
              </w:rPr>
              <w:t>大石村零散</w:t>
            </w:r>
            <w:r>
              <w:rPr>
                <w:color w:val="auto"/>
              </w:rPr>
              <w:t>居民点（见附图</w:t>
            </w:r>
            <w:r>
              <w:rPr>
                <w:rFonts w:hint="eastAsia"/>
                <w:color w:val="auto"/>
                <w:lang w:val="en-US" w:eastAsia="zh-CN"/>
              </w:rPr>
              <w:t>6</w:t>
            </w:r>
            <w:r>
              <w:rPr>
                <w:color w:val="auto"/>
              </w:rPr>
              <w:t>），与本项目厂房之间有山体</w:t>
            </w:r>
            <w:r>
              <w:rPr>
                <w:rFonts w:hint="eastAsia"/>
                <w:color w:val="auto"/>
              </w:rPr>
              <w:t>相隔</w:t>
            </w:r>
            <w:r>
              <w:rPr>
                <w:color w:val="auto"/>
              </w:rPr>
              <w:t>。</w:t>
            </w:r>
          </w:p>
          <w:p>
            <w:pPr>
              <w:pStyle w:val="46"/>
              <w:rPr>
                <w:color w:val="auto"/>
              </w:rPr>
            </w:pPr>
            <w:r>
              <w:rPr>
                <w:color w:val="auto"/>
              </w:rPr>
              <w:t>项目废气主要为粉尘，</w:t>
            </w:r>
            <w:r>
              <w:rPr>
                <w:rFonts w:hint="eastAsia"/>
                <w:color w:val="auto"/>
              </w:rPr>
              <w:t>原料卸料采取洒水抑尘，原料堆场</w:t>
            </w:r>
            <w:r>
              <w:rPr>
                <w:color w:val="auto"/>
              </w:rPr>
              <w:t>配备</w:t>
            </w:r>
            <w:r>
              <w:rPr>
                <w:rFonts w:hint="eastAsia"/>
                <w:color w:val="auto"/>
              </w:rPr>
              <w:t>喷雾</w:t>
            </w:r>
            <w:r>
              <w:rPr>
                <w:color w:val="auto"/>
              </w:rPr>
              <w:t>降尘措施，</w:t>
            </w:r>
            <w:r>
              <w:rPr>
                <w:rFonts w:hint="eastAsia"/>
                <w:color w:val="auto"/>
              </w:rPr>
              <w:t>破碎、筛分等工序采取水喷淋抑尘，车辆运输采取洒水抑尘，</w:t>
            </w:r>
            <w:r>
              <w:rPr>
                <w:color w:val="auto"/>
              </w:rPr>
              <w:t>粉尘排放对周围环境影响较小</w:t>
            </w:r>
            <w:r>
              <w:rPr>
                <w:rFonts w:hint="eastAsia"/>
                <w:color w:val="auto"/>
              </w:rPr>
              <w:t>，</w:t>
            </w:r>
            <w:r>
              <w:rPr>
                <w:color w:val="auto"/>
                <w:kern w:val="0"/>
                <w:shd w:val="clear" w:color="auto" w:fill="FFFFFF"/>
              </w:rPr>
              <w:t>项目</w:t>
            </w:r>
            <w:r>
              <w:rPr>
                <w:rFonts w:hint="eastAsia"/>
                <w:color w:val="auto"/>
                <w:kern w:val="0"/>
                <w:shd w:val="clear" w:color="auto" w:fill="FFFFFF"/>
              </w:rPr>
              <w:t>大气</w:t>
            </w:r>
            <w:r>
              <w:rPr>
                <w:color w:val="auto"/>
                <w:kern w:val="0"/>
                <w:shd w:val="clear" w:color="auto" w:fill="FFFFFF"/>
              </w:rPr>
              <w:t>环境防护</w:t>
            </w:r>
            <w:r>
              <w:rPr>
                <w:rFonts w:hint="eastAsia"/>
                <w:color w:val="auto"/>
                <w:kern w:val="0"/>
                <w:shd w:val="clear" w:color="auto" w:fill="FFFFFF"/>
              </w:rPr>
              <w:t>距离为</w:t>
            </w:r>
            <w:r>
              <w:rPr>
                <w:rFonts w:hint="eastAsia"/>
                <w:color w:val="auto"/>
              </w:rPr>
              <w:t>原料堆场、尾渣堆场及破碎、筛分区外延100m、50m、50m，</w:t>
            </w:r>
            <w:r>
              <w:rPr>
                <w:rFonts w:hint="eastAsia"/>
                <w:color w:val="auto"/>
                <w:shd w:val="clear" w:color="auto" w:fill="FFFFFF"/>
                <w:lang w:bidi="ar"/>
              </w:rPr>
              <w:t>防护距离内不涉及居民住宅、学校、医院等敏感目标</w:t>
            </w:r>
            <w:r>
              <w:rPr>
                <w:color w:val="auto"/>
              </w:rPr>
              <w:t>；</w:t>
            </w:r>
            <w:r>
              <w:rPr>
                <w:rFonts w:hint="eastAsia"/>
                <w:color w:val="auto"/>
              </w:rPr>
              <w:t>生产废水</w:t>
            </w:r>
            <w:r>
              <w:rPr>
                <w:color w:val="auto"/>
              </w:rPr>
              <w:t>经</w:t>
            </w:r>
            <w:r>
              <w:rPr>
                <w:rFonts w:hint="eastAsia"/>
                <w:color w:val="auto"/>
              </w:rPr>
              <w:t>“隔油池+沉淀池”</w:t>
            </w:r>
            <w:r>
              <w:rPr>
                <w:color w:val="auto"/>
              </w:rPr>
              <w:t>处理后循环使用不外排，生活污水</w:t>
            </w:r>
            <w:r>
              <w:rPr>
                <w:rFonts w:hint="eastAsia"/>
                <w:color w:val="auto"/>
              </w:rPr>
              <w:t>经</w:t>
            </w:r>
            <w:r>
              <w:rPr>
                <w:color w:val="auto"/>
              </w:rPr>
              <w:t>处理后用于周边山林地</w:t>
            </w:r>
            <w:r>
              <w:rPr>
                <w:rFonts w:hint="eastAsia"/>
                <w:color w:val="auto"/>
              </w:rPr>
              <w:t>灌溉。</w:t>
            </w:r>
            <w:r>
              <w:rPr>
                <w:color w:val="auto"/>
              </w:rPr>
              <w:t>项目</w:t>
            </w:r>
            <w:r>
              <w:rPr>
                <w:rFonts w:hint="eastAsia"/>
                <w:color w:val="auto"/>
              </w:rPr>
              <w:t>位于铸造产业集聚区</w:t>
            </w:r>
            <w:r>
              <w:rPr>
                <w:color w:val="auto"/>
              </w:rPr>
              <w:t>，</w:t>
            </w:r>
            <w:r>
              <w:rPr>
                <w:rFonts w:hint="eastAsia"/>
                <w:color w:val="auto"/>
              </w:rPr>
              <w:t>与项目最近的环境敏感目标为西北侧240m的大石村零散居民点，与本项目之间有山体</w:t>
            </w:r>
            <w:r>
              <w:rPr>
                <w:color w:val="auto"/>
              </w:rPr>
              <w:t>阻隔，</w:t>
            </w:r>
            <w:r>
              <w:rPr>
                <w:rFonts w:hint="eastAsia"/>
                <w:color w:val="auto"/>
              </w:rPr>
              <w:t>噪声</w:t>
            </w:r>
            <w:r>
              <w:rPr>
                <w:color w:val="auto"/>
              </w:rPr>
              <w:t>对周围的环境影响较小；固废均综合利用或妥善处置</w:t>
            </w:r>
            <w:r>
              <w:rPr>
                <w:rFonts w:hint="eastAsia"/>
                <w:color w:val="auto"/>
              </w:rPr>
              <w:t>，</w:t>
            </w:r>
            <w:r>
              <w:rPr>
                <w:color w:val="auto"/>
              </w:rPr>
              <w:t>不会产生二次污染。</w:t>
            </w:r>
          </w:p>
          <w:p>
            <w:pPr>
              <w:pStyle w:val="46"/>
            </w:pPr>
            <w:r>
              <w:rPr>
                <w:color w:val="auto"/>
              </w:rPr>
              <w:t>综上，通过采取</w:t>
            </w:r>
            <w:r>
              <w:rPr>
                <w:rFonts w:hint="eastAsia"/>
                <w:color w:val="auto"/>
              </w:rPr>
              <w:t>有效</w:t>
            </w:r>
            <w:r>
              <w:rPr>
                <w:color w:val="auto"/>
              </w:rPr>
              <w:t>的污染防治措施，各项污染物均可达标排放，对周围环境响较小。本项目与周围环境相容。</w:t>
            </w:r>
          </w:p>
        </w:tc>
      </w:tr>
    </w:tbl>
    <w:p>
      <w:pPr>
        <w:spacing w:line="360" w:lineRule="auto"/>
        <w:ind w:firstLine="600"/>
        <w:outlineLvl w:val="0"/>
        <w:rPr>
          <w:rFonts w:ascii="Times New Roman" w:hAnsi="Times New Roman" w:eastAsia="黑体"/>
          <w:sz w:val="30"/>
        </w:rPr>
        <w:sectPr>
          <w:footerReference r:id="rId6" w:type="default"/>
          <w:pgSz w:w="11906" w:h="16838"/>
          <w:pgMar w:top="1701" w:right="1531" w:bottom="1701" w:left="1531" w:header="851" w:footer="1077" w:gutter="0"/>
          <w:pgNumType w:start="1"/>
          <w:cols w:space="720" w:num="1"/>
          <w:docGrid w:linePitch="312" w:charSpace="0"/>
        </w:sectPr>
      </w:pPr>
    </w:p>
    <w:p>
      <w:pPr>
        <w:pStyle w:val="23"/>
        <w:numPr>
          <w:ilvl w:val="0"/>
          <w:numId w:val="6"/>
        </w:numPr>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建设项目工程分析</w:t>
      </w:r>
    </w:p>
    <w:tbl>
      <w:tblPr>
        <w:tblStyle w:val="25"/>
        <w:tblW w:w="503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04" w:hRule="atLeast"/>
          <w:jc w:val="center"/>
        </w:trPr>
        <w:tc>
          <w:tcPr>
            <w:tcW w:w="462" w:type="pct"/>
            <w:tcBorders>
              <w:bottom w:val="single" w:color="auto" w:sz="4" w:space="0"/>
            </w:tcBorders>
            <w:vAlign w:val="center"/>
          </w:tcPr>
          <w:p>
            <w:pPr>
              <w:pStyle w:val="23"/>
              <w:adjustRightInd w:val="0"/>
              <w:snapToGrid w:val="0"/>
              <w:spacing w:before="0" w:beforeAutospacing="0" w:after="0" w:afterAutospacing="0"/>
              <w:jc w:val="center"/>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4537" w:type="pct"/>
            <w:vMerge w:val="restart"/>
          </w:tcPr>
          <w:p>
            <w:pPr>
              <w:pStyle w:val="6"/>
              <w:ind w:left="311"/>
              <w:rPr>
                <w:rFonts w:hint="default" w:ascii="Times New Roman" w:hAnsi="Times New Roman" w:cs="Times New Roman"/>
                <w:color w:val="auto"/>
              </w:rPr>
            </w:pPr>
            <w:r>
              <w:rPr>
                <w:rFonts w:hint="default" w:ascii="Times New Roman" w:hAnsi="Times New Roman" w:cs="Times New Roman"/>
                <w:color w:val="auto"/>
              </w:rPr>
              <w:t>2.1项目由来</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福建卓阳达再生资源有限公司（以下简称卓阳达公司）成立于2023年4月，位于福建省三明市大田县大石村249号，厂区占地面积为4201m</w:t>
            </w:r>
            <w:r>
              <w:rPr>
                <w:rFonts w:hint="default" w:ascii="Times New Roman" w:hAnsi="Times New Roman" w:cs="Times New Roman"/>
                <w:vertAlign w:val="superscript"/>
              </w:rPr>
              <w:t>2</w:t>
            </w:r>
            <w:r>
              <w:rPr>
                <w:rFonts w:hint="default" w:ascii="Times New Roman" w:hAnsi="Times New Roman" w:cs="Times New Roman"/>
              </w:rPr>
              <w:t>，主要从事铸铁渣、铸造砂、转炉渣、钢渣等废弃资源的回收处理，统一社会信用代码：91350425MACFKF5JXL（详见附件三）。</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2023年4月26日，大田卓阳达再生资源综合利用建设项目通过大田县发展和改革局备案（闽发改备[2023]G120070号），详见附件二。</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2023年6月1日，卓阳达公司租用岩盛公司原低品位矿堆场及破碎车间作为项目的生产用地，租用车间为钢结构厂房，设置了顶棚，地面采取了硬化处理，处于闲置状态（租赁合同详见附件四）。本项目建设内容主要包括原料堆场、生产区、尾渣堆场等，设计生产规模为年回收处理10万吨固体废物。</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根据《中华人民共和国环境保护法》《中华人民共和国环境影响评价法》等法律、法规的要求，项目建设需进行环境影响评价。</w:t>
            </w:r>
          </w:p>
          <w:p>
            <w:pPr>
              <w:adjustRightInd w:val="0"/>
              <w:snapToGrid w:val="0"/>
              <w:spacing w:line="440" w:lineRule="exact"/>
              <w:ind w:firstLine="480" w:firstLineChars="200"/>
              <w:jc w:val="left"/>
              <w:rPr>
                <w:rFonts w:hint="default" w:ascii="Times New Roman" w:hAnsi="Times New Roman" w:cs="Times New Roman"/>
              </w:rPr>
            </w:pPr>
            <w:r>
              <w:rPr>
                <w:rFonts w:hint="default" w:ascii="Times New Roman" w:hAnsi="Times New Roman" w:cs="Times New Roman"/>
              </w:rPr>
              <w:t>2024年1月，福建卓阳达再生资源有限公司委托我单位承担</w:t>
            </w:r>
            <w:r>
              <w:rPr>
                <w:rFonts w:hint="default" w:ascii="Times New Roman" w:hAnsi="Times New Roman" w:cs="Times New Roman"/>
                <w:lang w:eastAsia="zh-CN"/>
              </w:rPr>
              <w:t>“</w:t>
            </w:r>
            <w:r>
              <w:rPr>
                <w:rFonts w:hint="default" w:ascii="Times New Roman" w:hAnsi="Times New Roman" w:cs="Times New Roman"/>
              </w:rPr>
              <w:t>大田卓阳达再生资源综合利用建设项目</w:t>
            </w:r>
            <w:r>
              <w:rPr>
                <w:rFonts w:hint="default" w:ascii="Times New Roman" w:hAnsi="Times New Roman" w:cs="Times New Roman"/>
                <w:lang w:eastAsia="zh-CN"/>
              </w:rPr>
              <w:t>”</w:t>
            </w:r>
            <w:r>
              <w:rPr>
                <w:rFonts w:hint="default" w:ascii="Times New Roman" w:hAnsi="Times New Roman" w:cs="Times New Roman"/>
              </w:rPr>
              <w:t>环境影响评价工作（见附件1）。对照《建设项目环境影响评价分类管理名录》（2021年版）（见下表），本项目属于三十九、废弃资源综合利用业，金属废料和碎屑加工处理421-金属和金属化合物矿灰及残渣加工处理，项目环评类别为报告表。</w:t>
            </w:r>
          </w:p>
          <w:p>
            <w:pPr>
              <w:pStyle w:val="34"/>
              <w:spacing w:before="120"/>
              <w:ind w:firstLine="422"/>
              <w:rPr>
                <w:rFonts w:hint="default" w:ascii="Times New Roman" w:hAnsi="Times New Roman" w:cs="Times New Roman"/>
                <w:b/>
                <w:bCs/>
                <w:color w:val="FF0000"/>
                <w:sz w:val="21"/>
                <w:szCs w:val="21"/>
              </w:rPr>
            </w:pPr>
            <w:r>
              <w:rPr>
                <w:rFonts w:hint="default" w:ascii="Times New Roman" w:hAnsi="Times New Roman" w:cs="Times New Roman"/>
                <w:b/>
                <w:bCs/>
                <w:sz w:val="21"/>
                <w:szCs w:val="21"/>
              </w:rPr>
              <w:t>表2.1-1建设环境影响评价分类管理名录(摘录)</w:t>
            </w:r>
          </w:p>
          <w:tbl>
            <w:tblPr>
              <w:tblStyle w:val="25"/>
              <w:tblW w:w="7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956"/>
              <w:gridCol w:w="3837"/>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90" w:type="dxa"/>
                  <w:tcBorders>
                    <w:top w:val="single" w:color="auto" w:sz="12" w:space="0"/>
                    <w:left w:val="nil"/>
                    <w:tl2br w:val="single" w:color="auto" w:sz="4" w:space="0"/>
                  </w:tcBorders>
                </w:tcPr>
                <w:p>
                  <w:pPr>
                    <w:spacing w:line="260" w:lineRule="exact"/>
                    <w:ind w:firstLine="414"/>
                    <w:jc w:val="righ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环评类别</w:t>
                  </w:r>
                </w:p>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项目类别</w:t>
                  </w:r>
                </w:p>
              </w:tc>
              <w:tc>
                <w:tcPr>
                  <w:tcW w:w="956" w:type="dxa"/>
                  <w:tcBorders>
                    <w:top w:val="single" w:color="auto" w:sz="12" w:space="0"/>
                  </w:tcBorders>
                  <w:vAlign w:val="center"/>
                </w:tcPr>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报告书</w:t>
                  </w:r>
                </w:p>
              </w:tc>
              <w:tc>
                <w:tcPr>
                  <w:tcW w:w="3837" w:type="dxa"/>
                  <w:tcBorders>
                    <w:top w:val="single" w:color="auto" w:sz="12" w:space="0"/>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报告表</w:t>
                  </w:r>
                </w:p>
              </w:tc>
              <w:tc>
                <w:tcPr>
                  <w:tcW w:w="903" w:type="dxa"/>
                  <w:tcBorders>
                    <w:top w:val="single" w:color="auto" w:sz="12" w:space="0"/>
                    <w:right w:val="nil"/>
                  </w:tcBorders>
                  <w:vAlign w:val="center"/>
                </w:tcPr>
                <w:p>
                  <w:pPr>
                    <w:spacing w:line="260" w:lineRule="exact"/>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86" w:type="dxa"/>
                  <w:gridSpan w:val="4"/>
                  <w:tcBorders>
                    <w:left w:val="nil"/>
                    <w:right w:val="nil"/>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三十九、废弃资源综合利用业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90" w:type="dxa"/>
                  <w:tcBorders>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金属废料和碎屑加工处理421；非金属废料和碎屑加工处理422(421和422均不含原料为危险废物的，均不含仅分拣、破碎的）</w:t>
                  </w:r>
                </w:p>
              </w:tc>
              <w:tc>
                <w:tcPr>
                  <w:tcW w:w="95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textAlignment w:val="auto"/>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废电池、废油加工处理</w:t>
                  </w:r>
                </w:p>
              </w:tc>
              <w:tc>
                <w:tcPr>
                  <w:tcW w:w="383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jc w:val="left"/>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spacing w:val="-2"/>
                      <w:sz w:val="21"/>
                      <w:szCs w:val="21"/>
                    </w:rPr>
                    <w:t>废弃电器电子产品、废机动车、废电机、废电线电缆、废钢、废铁、</w:t>
                  </w:r>
                  <w:r>
                    <w:rPr>
                      <w:rFonts w:hint="default" w:ascii="Times New Roman" w:hAnsi="Times New Roman" w:cs="Times New Roman" w:eastAsiaTheme="minorEastAsia"/>
                      <w:b/>
                      <w:bCs/>
                      <w:spacing w:val="-2"/>
                      <w:sz w:val="21"/>
                      <w:szCs w:val="21"/>
                    </w:rPr>
                    <w:t>金属和金属化合物矿灰及残渣</w:t>
                  </w:r>
                  <w:r>
                    <w:rPr>
                      <w:rFonts w:hint="default" w:ascii="Times New Roman" w:hAnsi="Times New Roman" w:cs="Times New Roman" w:eastAsiaTheme="minorEastAsia"/>
                      <w:spacing w:val="-2"/>
                      <w:sz w:val="21"/>
                      <w:szCs w:val="21"/>
                    </w:rPr>
                    <w:t>、有色金属废料与碎屑、废塑料、废轮胎、废船、含水洗工艺的其他废料和碎屑加工处理(农业生产产生的废旧秧盘、薄膜破碎和清洗工艺的除外)</w:t>
                  </w:r>
                </w:p>
              </w:tc>
              <w:tc>
                <w:tcPr>
                  <w:tcW w:w="903" w:type="dxa"/>
                  <w:tcBorders>
                    <w:bottom w:val="single" w:color="auto" w:sz="12" w:space="0"/>
                    <w:right w:val="nil"/>
                  </w:tcBorders>
                  <w:vAlign w:val="center"/>
                </w:tcPr>
                <w:p>
                  <w:pPr>
                    <w:spacing w:line="260" w:lineRule="exact"/>
                    <w:ind w:firstLine="414"/>
                    <w:jc w:val="center"/>
                    <w:rPr>
                      <w:rFonts w:hint="default" w:ascii="Times New Roman" w:hAnsi="Times New Roman" w:cs="Times New Roman" w:eastAsiaTheme="minorEastAsia"/>
                      <w:spacing w:val="-2"/>
                      <w:sz w:val="21"/>
                      <w:szCs w:val="21"/>
                    </w:rPr>
                  </w:pPr>
                  <w:r>
                    <w:rPr>
                      <w:rFonts w:hint="default" w:ascii="Times New Roman" w:hAnsi="Times New Roman" w:cs="Times New Roman" w:eastAsiaTheme="minorEastAsia"/>
                      <w:spacing w:val="-2"/>
                      <w:sz w:val="21"/>
                      <w:szCs w:val="21"/>
                    </w:rPr>
                    <w:t>/</w:t>
                  </w:r>
                </w:p>
              </w:tc>
            </w:tr>
          </w:tbl>
          <w:p>
            <w:pPr>
              <w:pStyle w:val="6"/>
              <w:ind w:left="311"/>
              <w:rPr>
                <w:rFonts w:hint="default" w:ascii="Times New Roman" w:hAnsi="Times New Roman" w:cs="Times New Roman"/>
                <w:color w:val="auto"/>
              </w:rPr>
            </w:pPr>
          </w:p>
          <w:p>
            <w:pPr>
              <w:pStyle w:val="6"/>
              <w:ind w:left="311"/>
              <w:rPr>
                <w:rFonts w:hint="default" w:ascii="Times New Roman" w:hAnsi="Times New Roman" w:cs="Times New Roman"/>
                <w:color w:val="auto"/>
              </w:rPr>
            </w:pPr>
            <w:r>
              <w:rPr>
                <w:rFonts w:hint="default" w:ascii="Times New Roman" w:hAnsi="Times New Roman" w:cs="Times New Roman"/>
                <w:color w:val="auto"/>
              </w:rPr>
              <w:t>2.2本项目概况</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2.2.1项目基本情况</w:t>
            </w:r>
          </w:p>
          <w:p>
            <w:pPr>
              <w:spacing w:line="400" w:lineRule="exact"/>
              <w:ind w:firstLine="480" w:firstLineChars="200"/>
              <w:rPr>
                <w:rFonts w:hint="default" w:ascii="Times New Roman" w:hAnsi="Times New Roman" w:cs="Times New Roman"/>
                <w:b/>
                <w:bCs/>
              </w:rPr>
            </w:pPr>
            <w:r>
              <w:rPr>
                <w:rFonts w:hint="default" w:ascii="Times New Roman" w:hAnsi="Times New Roman" w:cs="Times New Roman"/>
              </w:rPr>
              <w:t>项目名称：大田卓阳达再生资源综合利用建设项目</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建设单位：福建卓阳达再生资源有限公司</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建设地点：福建省三明市大田县武陵乡大石村249号</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总投资：11360万元</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生产规模：年回收处理10万吨固体废物（铸铁渣、铸造砂、转炉渣及钢渣）</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建设规模：占地面积4201m</w:t>
            </w:r>
            <w:r>
              <w:rPr>
                <w:rFonts w:hint="default" w:ascii="Times New Roman" w:hAnsi="Times New Roman" w:cs="Times New Roman"/>
                <w:vertAlign w:val="superscript"/>
              </w:rPr>
              <w:t>2</w:t>
            </w:r>
            <w:r>
              <w:rPr>
                <w:rFonts w:hint="default" w:ascii="Times New Roman" w:hAnsi="Times New Roman" w:cs="Times New Roman"/>
              </w:rPr>
              <w:t>，建筑面积9000m</w:t>
            </w:r>
            <w:r>
              <w:rPr>
                <w:rFonts w:hint="default" w:ascii="Times New Roman" w:hAnsi="Times New Roman" w:cs="Times New Roman"/>
                <w:vertAlign w:val="superscript"/>
              </w:rPr>
              <w:t>2</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职工人数：职工10人，均不在厂区内食宿</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工作时间：年工作天数</w:t>
            </w:r>
            <w:bookmarkStart w:id="5" w:name="年工作天数"/>
            <w:r>
              <w:rPr>
                <w:rFonts w:hint="default" w:ascii="Times New Roman" w:hAnsi="Times New Roman" w:cs="Times New Roman"/>
              </w:rPr>
              <w:t>300</w:t>
            </w:r>
            <w:bookmarkEnd w:id="5"/>
            <w:r>
              <w:rPr>
                <w:rFonts w:hint="default" w:ascii="Times New Roman" w:hAnsi="Times New Roman" w:cs="Times New Roman"/>
              </w:rPr>
              <w:t>天，每天昼间10小时。</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2.2.2生产规模</w:t>
            </w:r>
          </w:p>
          <w:p>
            <w:pPr>
              <w:spacing w:line="400" w:lineRule="exact"/>
              <w:ind w:firstLine="480" w:firstLineChars="200"/>
              <w:rPr>
                <w:rFonts w:hint="default" w:ascii="Times New Roman" w:hAnsi="Times New Roman" w:cs="Times New Roman"/>
              </w:rPr>
            </w:pPr>
            <w:r>
              <w:rPr>
                <w:rFonts w:hint="default" w:ascii="Times New Roman" w:hAnsi="Times New Roman" w:cs="Times New Roman"/>
              </w:rPr>
              <w:t>本项目年回收处理10万吨固体废物，得到3万吨铁粉（产品）及7.28万吨尾渣（一般固废），具体见下表。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表2.2-1固废回收处理规模及产品方案一览表</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439"/>
              <w:gridCol w:w="2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20"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处理规模</w:t>
                  </w: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产品或固废</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产量（万吨/年）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19" w:type="pct"/>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年回收处理10万吨固体废物</w:t>
                  </w: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铁粉（产品）</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exact"/>
                <w:jc w:val="center"/>
              </w:trPr>
              <w:tc>
                <w:tcPr>
                  <w:tcW w:w="1819" w:type="pct"/>
                  <w:vMerge w:val="continue"/>
                  <w:vAlign w:val="center"/>
                </w:tcPr>
                <w:p>
                  <w:pPr>
                    <w:widowControl/>
                    <w:jc w:val="center"/>
                    <w:rPr>
                      <w:rFonts w:hint="default" w:ascii="Times New Roman" w:hAnsi="Times New Roman" w:cs="Times New Roman"/>
                      <w:kern w:val="0"/>
                      <w:sz w:val="18"/>
                      <w:szCs w:val="18"/>
                    </w:rPr>
                  </w:pPr>
                </w:p>
              </w:tc>
              <w:tc>
                <w:tcPr>
                  <w:tcW w:w="1513"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尾渣（一般固废）</w:t>
                  </w:r>
                </w:p>
              </w:tc>
              <w:tc>
                <w:tcPr>
                  <w:tcW w:w="1667" w:type="pc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7.28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1" w:type="pct"/>
                  <w:gridSpan w:val="3"/>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备注：项目年回收处理10万吨固体废物（铸铁渣、铸造砂、转炉渣及钢渣），原料处理后得到的产品、尾渣含水率比原料高，所以产品和尾渣的产量略</w:t>
                  </w:r>
                  <w:r>
                    <w:rPr>
                      <w:rFonts w:hint="default" w:ascii="Times New Roman" w:hAnsi="Times New Roman" w:cs="Times New Roman"/>
                      <w:kern w:val="0"/>
                      <w:sz w:val="18"/>
                      <w:szCs w:val="18"/>
                      <w:highlight w:val="none"/>
                    </w:rPr>
                    <w:t>大于10万吨，具</w:t>
                  </w:r>
                  <w:r>
                    <w:rPr>
                      <w:rFonts w:hint="default" w:ascii="Times New Roman" w:hAnsi="Times New Roman" w:cs="Times New Roman"/>
                      <w:kern w:val="0"/>
                      <w:sz w:val="18"/>
                      <w:szCs w:val="18"/>
                    </w:rPr>
                    <w:t>体见2.2-5 项目物料平衡表</w:t>
                  </w:r>
                </w:p>
              </w:tc>
            </w:tr>
          </w:tbl>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2.2.3项目组成</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表2.2-2项目组成内容一览表</w:t>
            </w:r>
          </w:p>
          <w:tbl>
            <w:tblPr>
              <w:tblStyle w:val="25"/>
              <w:tblW w:w="7996" w:type="dxa"/>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609"/>
              <w:gridCol w:w="396"/>
              <w:gridCol w:w="33"/>
              <w:gridCol w:w="658"/>
              <w:gridCol w:w="5247"/>
              <w:gridCol w:w="1053"/>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05" w:hRule="atLeast"/>
              </w:trPr>
              <w:tc>
                <w:tcPr>
                  <w:tcW w:w="1696" w:type="dxa"/>
                  <w:gridSpan w:val="4"/>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项  目  名  称</w:t>
                  </w:r>
                </w:p>
              </w:tc>
              <w:tc>
                <w:tcPr>
                  <w:tcW w:w="5247" w:type="dxa"/>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建  设  规  模</w:t>
                  </w:r>
                </w:p>
              </w:tc>
              <w:tc>
                <w:tcPr>
                  <w:tcW w:w="1053" w:type="dxa"/>
                  <w:vAlign w:val="center"/>
                </w:tcPr>
                <w:p>
                  <w:pPr>
                    <w:widowControl/>
                    <w:jc w:val="center"/>
                    <w:rPr>
                      <w:rFonts w:hint="default" w:ascii="Times New Roman" w:hAnsi="Times New Roman" w:cs="Times New Roman"/>
                      <w:bCs/>
                      <w:kern w:val="0"/>
                      <w:sz w:val="18"/>
                      <w:szCs w:val="18"/>
                    </w:rPr>
                  </w:pPr>
                  <w:r>
                    <w:rPr>
                      <w:rFonts w:hint="default" w:ascii="Times New Roman" w:hAnsi="Times New Roman" w:cs="Times New Roman"/>
                      <w:bCs/>
                      <w:kern w:val="0"/>
                      <w:sz w:val="18"/>
                      <w:szCs w:val="18"/>
                    </w:rPr>
                    <w:t>备注</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520" w:hRule="atLeast"/>
              </w:trPr>
              <w:tc>
                <w:tcPr>
                  <w:tcW w:w="609"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主体工程</w:t>
                  </w:r>
                </w:p>
              </w:tc>
              <w:tc>
                <w:tcPr>
                  <w:tcW w:w="1087" w:type="dxa"/>
                  <w:gridSpan w:val="3"/>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pacing w:val="-1"/>
                      <w:sz w:val="18"/>
                      <w:szCs w:val="18"/>
                    </w:rPr>
                    <w:t>生产车间</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单层钢结构厂房，地面硬化，建筑面积约3500m</w:t>
                  </w:r>
                  <w:r>
                    <w:rPr>
                      <w:rFonts w:hint="default" w:ascii="Times New Roman" w:hAnsi="Times New Roman" w:cs="Times New Roman"/>
                      <w:kern w:val="0"/>
                      <w:sz w:val="18"/>
                      <w:szCs w:val="18"/>
                      <w:vertAlign w:val="superscript"/>
                    </w:rPr>
                    <w:t>2</w:t>
                  </w:r>
                  <w:r>
                    <w:rPr>
                      <w:rFonts w:hint="default" w:ascii="Times New Roman" w:hAnsi="Times New Roman" w:cs="Times New Roman"/>
                      <w:kern w:val="0"/>
                      <w:sz w:val="18"/>
                      <w:szCs w:val="18"/>
                    </w:rPr>
                    <w:t>，建设1条10万吨/年固体废物生产线</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利用出租方已建厂房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92" w:hRule="atLeast"/>
              </w:trPr>
              <w:tc>
                <w:tcPr>
                  <w:tcW w:w="609" w:type="dxa"/>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储运工程</w:t>
                  </w:r>
                </w:p>
              </w:tc>
              <w:tc>
                <w:tcPr>
                  <w:tcW w:w="1087" w:type="dxa"/>
                  <w:gridSpan w:val="3"/>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原料堆场</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利用出租方原低品位矿堆场作为原料堆场，该堆场地面采取了硬化，周边围挡，顶棚搭盖，占地面积约700m</w:t>
                  </w:r>
                  <w:r>
                    <w:rPr>
                      <w:rFonts w:hint="default" w:ascii="Times New Roman" w:hAnsi="Times New Roman" w:cs="Times New Roman"/>
                      <w:kern w:val="0"/>
                      <w:sz w:val="18"/>
                      <w:szCs w:val="18"/>
                      <w:vertAlign w:val="superscript"/>
                    </w:rPr>
                    <w:t>2</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利用出租方堆场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429" w:type="dxa"/>
                  <w:gridSpan w:val="2"/>
                  <w:vMerge w:val="restart"/>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pacing w:val="-1"/>
                      <w:sz w:val="18"/>
                      <w:szCs w:val="18"/>
                    </w:rPr>
                    <w:t>成品堆放场</w:t>
                  </w:r>
                </w:p>
              </w:tc>
              <w:tc>
                <w:tcPr>
                  <w:tcW w:w="658" w:type="dxa"/>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铁粉仓</w:t>
                  </w:r>
                </w:p>
              </w:tc>
              <w:tc>
                <w:tcPr>
                  <w:tcW w:w="5247" w:type="dxa"/>
                  <w:vAlign w:val="center"/>
                </w:tcPr>
                <w:p>
                  <w:pPr>
                    <w:widowControl/>
                    <w:jc w:val="left"/>
                    <w:rPr>
                      <w:rFonts w:hint="default" w:ascii="Times New Roman" w:hAnsi="Times New Roman" w:cs="Times New Roman"/>
                      <w:kern w:val="0"/>
                      <w:sz w:val="18"/>
                      <w:szCs w:val="18"/>
                      <w:highlight w:val="yellow"/>
                    </w:rPr>
                  </w:pPr>
                  <w:r>
                    <w:rPr>
                      <w:rFonts w:hint="default" w:ascii="Times New Roman" w:hAnsi="Times New Roman" w:cs="Times New Roman"/>
                      <w:kern w:val="0"/>
                      <w:sz w:val="18"/>
                      <w:szCs w:val="18"/>
                    </w:rPr>
                    <w:t>铁粉仓，使用防渗混凝土建造，占地面积100m</w:t>
                  </w:r>
                  <w:r>
                    <w:rPr>
                      <w:rFonts w:hint="default" w:ascii="Times New Roman" w:hAnsi="Times New Roman" w:cs="Times New Roman"/>
                      <w:kern w:val="0"/>
                      <w:sz w:val="18"/>
                      <w:szCs w:val="18"/>
                      <w:vertAlign w:val="superscript"/>
                    </w:rPr>
                    <w:t>2</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85" w:hRule="atLeast"/>
              </w:trPr>
              <w:tc>
                <w:tcPr>
                  <w:tcW w:w="609" w:type="dxa"/>
                  <w:vMerge w:val="continue"/>
                  <w:vAlign w:val="center"/>
                </w:tcPr>
                <w:p>
                  <w:pPr>
                    <w:pStyle w:val="72"/>
                    <w:jc w:val="center"/>
                    <w:rPr>
                      <w:rFonts w:hint="default" w:ascii="Times New Roman" w:hAnsi="Times New Roman" w:cs="Times New Roman"/>
                      <w:sz w:val="18"/>
                      <w:szCs w:val="18"/>
                    </w:rPr>
                  </w:pPr>
                </w:p>
              </w:tc>
              <w:tc>
                <w:tcPr>
                  <w:tcW w:w="429" w:type="dxa"/>
                  <w:gridSpan w:val="2"/>
                  <w:vMerge w:val="continue"/>
                  <w:vAlign w:val="center"/>
                </w:tcPr>
                <w:p>
                  <w:pPr>
                    <w:pStyle w:val="72"/>
                    <w:jc w:val="center"/>
                    <w:rPr>
                      <w:rFonts w:hint="default" w:ascii="Times New Roman" w:hAnsi="Times New Roman" w:cs="Times New Roman"/>
                      <w:sz w:val="18"/>
                      <w:szCs w:val="18"/>
                    </w:rPr>
                  </w:pPr>
                </w:p>
              </w:tc>
              <w:tc>
                <w:tcPr>
                  <w:tcW w:w="658" w:type="dxa"/>
                  <w:vAlign w:val="center"/>
                </w:tcPr>
                <w:p>
                  <w:pPr>
                    <w:pStyle w:val="72"/>
                    <w:jc w:val="center"/>
                    <w:rPr>
                      <w:rFonts w:hint="default" w:ascii="Times New Roman" w:hAnsi="Times New Roman" w:cs="Times New Roman"/>
                      <w:spacing w:val="-1"/>
                      <w:sz w:val="18"/>
                      <w:szCs w:val="18"/>
                    </w:rPr>
                  </w:pPr>
                  <w:r>
                    <w:rPr>
                      <w:rFonts w:hint="default" w:ascii="Times New Roman" w:hAnsi="Times New Roman" w:cs="Times New Roman"/>
                      <w:spacing w:val="-1"/>
                      <w:sz w:val="18"/>
                      <w:szCs w:val="18"/>
                    </w:rPr>
                    <w:t>尾渣堆场</w:t>
                  </w:r>
                </w:p>
              </w:tc>
              <w:tc>
                <w:tcPr>
                  <w:tcW w:w="5247" w:type="dxa"/>
                  <w:vAlign w:val="center"/>
                </w:tcPr>
                <w:p>
                  <w:pPr>
                    <w:pStyle w:val="72"/>
                    <w:rPr>
                      <w:rFonts w:hint="default" w:ascii="Times New Roman" w:hAnsi="Times New Roman" w:cs="Times New Roman"/>
                      <w:spacing w:val="-1"/>
                      <w:sz w:val="18"/>
                      <w:szCs w:val="18"/>
                    </w:rPr>
                  </w:pPr>
                  <w:r>
                    <w:rPr>
                      <w:rFonts w:hint="default" w:ascii="Times New Roman" w:hAnsi="Times New Roman" w:cs="Times New Roman"/>
                      <w:sz w:val="18"/>
                      <w:szCs w:val="18"/>
                    </w:rPr>
                    <w:t>单层钢结构厂房，地面硬化，顶棚搭盖，半封闭厂房，占地面积350m</w:t>
                  </w:r>
                  <w:r>
                    <w:rPr>
                      <w:rFonts w:hint="default" w:ascii="Times New Roman" w:hAnsi="Times New Roman" w:cs="Times New Roman"/>
                      <w:sz w:val="18"/>
                      <w:szCs w:val="18"/>
                      <w:vertAlign w:val="superscript"/>
                    </w:rPr>
                    <w:t>2</w:t>
                  </w:r>
                </w:p>
              </w:tc>
              <w:tc>
                <w:tcPr>
                  <w:tcW w:w="1053" w:type="dxa"/>
                  <w:vAlign w:val="center"/>
                </w:tcPr>
                <w:p>
                  <w:pPr>
                    <w:pStyle w:val="72"/>
                    <w:jc w:val="center"/>
                    <w:rPr>
                      <w:rFonts w:hint="default" w:ascii="Times New Roman" w:hAnsi="Times New Roman" w:cs="Times New Roman"/>
                      <w:sz w:val="18"/>
                      <w:szCs w:val="18"/>
                    </w:rPr>
                  </w:pPr>
                  <w:r>
                    <w:rPr>
                      <w:rFonts w:hint="default" w:ascii="Times New Roman" w:hAnsi="Times New Roman" w:cs="Times New Roman"/>
                      <w:sz w:val="18"/>
                      <w:szCs w:val="18"/>
                    </w:rPr>
                    <w:t>利用出租方闲置厂房</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609" w:type="dxa"/>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公用工程</w:t>
                  </w: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供水</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sz w:val="18"/>
                      <w:szCs w:val="18"/>
                    </w:rPr>
                    <w:t>取自山泉水，用水量为20.26</w:t>
                  </w:r>
                  <w:r>
                    <w:rPr>
                      <w:rFonts w:hint="default" w:ascii="Times New Roman" w:hAnsi="Times New Roman" w:cs="Times New Roman"/>
                      <w:sz w:val="18"/>
                      <w:szCs w:val="18"/>
                      <w:lang w:val="en-US" w:eastAsia="zh-CN"/>
                    </w:rPr>
                    <w:t>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rPr>
                    <w:t>/d</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81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排水</w:t>
                  </w:r>
                </w:p>
              </w:tc>
              <w:tc>
                <w:tcPr>
                  <w:tcW w:w="5247" w:type="dxa"/>
                  <w:vAlign w:val="center"/>
                </w:tcPr>
                <w:p>
                  <w:pPr>
                    <w:widowControl/>
                    <w:rPr>
                      <w:rFonts w:hint="default" w:ascii="Times New Roman" w:hAnsi="Times New Roman" w:cs="Times New Roman"/>
                      <w:sz w:val="18"/>
                      <w:szCs w:val="18"/>
                    </w:rPr>
                  </w:pPr>
                  <w:r>
                    <w:rPr>
                      <w:rFonts w:hint="default" w:ascii="Times New Roman" w:hAnsi="Times New Roman" w:cs="Times New Roman"/>
                      <w:sz w:val="18"/>
                      <w:szCs w:val="18"/>
                    </w:rPr>
                    <w:t>废水主要为铁粉仓堆干渗滤水、浓缩罐废水、板框压滤废水、初期雨水和职工生活污水，</w:t>
                  </w:r>
                  <w:r>
                    <w:rPr>
                      <w:rFonts w:hint="default" w:ascii="Times New Roman" w:hAnsi="Times New Roman" w:cs="Times New Roman"/>
                      <w:spacing w:val="1"/>
                      <w:sz w:val="18"/>
                      <w:szCs w:val="18"/>
                    </w:rPr>
                    <w:t>废水经</w:t>
                  </w:r>
                  <w:r>
                    <w:rPr>
                      <w:rFonts w:hint="default" w:ascii="Times New Roman" w:hAnsi="Times New Roman" w:cs="Times New Roman"/>
                      <w:sz w:val="18"/>
                      <w:szCs w:val="18"/>
                    </w:rPr>
                    <w:t>“隔油池+沉淀池”处</w:t>
                  </w:r>
                  <w:r>
                    <w:rPr>
                      <w:rFonts w:hint="default" w:ascii="Times New Roman" w:hAnsi="Times New Roman" w:cs="Times New Roman"/>
                      <w:spacing w:val="1"/>
                      <w:sz w:val="18"/>
                      <w:szCs w:val="18"/>
                    </w:rPr>
                    <w:t>理后循环使用，不外排；初期雨水经沉淀后泵入回用水池，回用于球磨等；</w:t>
                  </w:r>
                  <w:r>
                    <w:rPr>
                      <w:rFonts w:hint="default" w:ascii="Times New Roman" w:hAnsi="Times New Roman" w:cs="Times New Roman"/>
                      <w:sz w:val="18"/>
                      <w:szCs w:val="18"/>
                      <w:lang w:val="en-GB"/>
                    </w:rPr>
                    <w:t>少量的生活污水经</w:t>
                  </w:r>
                  <w:r>
                    <w:rPr>
                      <w:rFonts w:hint="default" w:ascii="Times New Roman" w:hAnsi="Times New Roman" w:cs="Times New Roman"/>
                      <w:sz w:val="18"/>
                      <w:szCs w:val="18"/>
                    </w:rPr>
                    <w:t>地埋式生活污水处理设施处理后用于周边山林地灌溉</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1087" w:type="dxa"/>
                  <w:gridSpan w:val="3"/>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供电</w:t>
                  </w:r>
                </w:p>
              </w:tc>
              <w:tc>
                <w:tcPr>
                  <w:tcW w:w="5247" w:type="dxa"/>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市政供电，用电量为25万kwh/a</w:t>
                  </w:r>
                </w:p>
              </w:tc>
              <w:tc>
                <w:tcPr>
                  <w:tcW w:w="1053" w:type="dxa"/>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609" w:type="dxa"/>
                  <w:vMerge w:val="restart"/>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环保工程</w:t>
                  </w:r>
                </w:p>
              </w:tc>
              <w:tc>
                <w:tcPr>
                  <w:tcW w:w="396" w:type="dxa"/>
                  <w:vMerge w:val="restart"/>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治理</w:t>
                  </w:r>
                </w:p>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设施</w:t>
                  </w:r>
                </w:p>
              </w:tc>
              <w:tc>
                <w:tcPr>
                  <w:tcW w:w="691" w:type="dxa"/>
                  <w:gridSpan w:val="2"/>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废气</w:t>
                  </w:r>
                </w:p>
              </w:tc>
              <w:tc>
                <w:tcPr>
                  <w:tcW w:w="5247"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原料堆场采取喷雾抑尘措施；原料卸料过程采取洒水抑尘；破碎、筛分、输送过程采用水喷淋抑尘；原料及尾渣堆场半围挡</w:t>
                  </w:r>
                </w:p>
              </w:tc>
              <w:tc>
                <w:tcPr>
                  <w:tcW w:w="105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10"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jc w:val="center"/>
                    <w:rPr>
                      <w:rFonts w:hint="default" w:ascii="Times New Roman" w:hAnsi="Times New Roman" w:cs="Times New Roman"/>
                      <w:kern w:val="0"/>
                      <w:sz w:val="18"/>
                      <w:szCs w:val="18"/>
                    </w:rPr>
                  </w:pPr>
                </w:p>
              </w:tc>
              <w:tc>
                <w:tcPr>
                  <w:tcW w:w="691" w:type="dxa"/>
                  <w:gridSpan w:val="2"/>
                  <w:vAlign w:val="center"/>
                </w:tcPr>
                <w:p>
                  <w:pPr>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废水</w:t>
                  </w:r>
                </w:p>
              </w:tc>
              <w:tc>
                <w:tcPr>
                  <w:tcW w:w="5247"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一套“隔油池+沉淀池”生产废水处理设施，处理能力250</w:t>
                  </w:r>
                  <w:r>
                    <w:rPr>
                      <w:rFonts w:hint="default" w:ascii="Times New Roman" w:hAnsi="Times New Roman" w:cs="Times New Roman"/>
                      <w:sz w:val="18"/>
                      <w:szCs w:val="18"/>
                      <w:lang w:val="en-US" w:eastAsia="zh-CN"/>
                    </w:rPr>
                    <w:t>m</w:t>
                  </w:r>
                  <w:r>
                    <w:rPr>
                      <w:rFonts w:hint="default" w:ascii="Times New Roman" w:hAnsi="Times New Roman" w:cs="Times New Roman"/>
                      <w:sz w:val="18"/>
                      <w:szCs w:val="18"/>
                      <w:vertAlign w:val="superscript"/>
                      <w:lang w:val="en-US" w:eastAsia="zh-CN"/>
                    </w:rPr>
                    <w:t>3</w:t>
                  </w:r>
                  <w:r>
                    <w:rPr>
                      <w:rFonts w:hint="default" w:ascii="Times New Roman" w:hAnsi="Times New Roman" w:cs="Times New Roman"/>
                      <w:sz w:val="18"/>
                      <w:szCs w:val="18"/>
                    </w:rPr>
                    <w:t>/d；</w:t>
                  </w:r>
                </w:p>
                <w:p>
                  <w:pPr>
                    <w:rPr>
                      <w:rFonts w:hint="default" w:ascii="Times New Roman" w:hAnsi="Times New Roman" w:cs="Times New Roman"/>
                      <w:kern w:val="0"/>
                      <w:sz w:val="18"/>
                      <w:szCs w:val="18"/>
                    </w:rPr>
                  </w:pPr>
                  <w:r>
                    <w:rPr>
                      <w:rFonts w:hint="default" w:ascii="Times New Roman" w:hAnsi="Times New Roman" w:cs="Times New Roman"/>
                      <w:sz w:val="18"/>
                      <w:szCs w:val="18"/>
                    </w:rPr>
                    <w:t>一个9m</w:t>
                  </w:r>
                  <w:r>
                    <w:rPr>
                      <w:rFonts w:hint="default" w:ascii="Times New Roman" w:hAnsi="Times New Roman" w:cs="Times New Roman"/>
                      <w:sz w:val="18"/>
                      <w:szCs w:val="18"/>
                      <w:vertAlign w:val="superscript"/>
                    </w:rPr>
                    <w:t>3</w:t>
                  </w:r>
                  <w:r>
                    <w:rPr>
                      <w:rFonts w:hint="default" w:ascii="Times New Roman" w:hAnsi="Times New Roman" w:cs="Times New Roman"/>
                      <w:sz w:val="18"/>
                      <w:szCs w:val="18"/>
                    </w:rPr>
                    <w:t>初期雨水沉淀池</w:t>
                  </w:r>
                </w:p>
              </w:tc>
              <w:tc>
                <w:tcPr>
                  <w:tcW w:w="1053"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457"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噪声</w:t>
                  </w:r>
                </w:p>
              </w:tc>
              <w:tc>
                <w:tcPr>
                  <w:tcW w:w="5247" w:type="dxa"/>
                  <w:vAlign w:val="center"/>
                </w:tcPr>
                <w:p>
                  <w:pPr>
                    <w:widowControl/>
                    <w:rPr>
                      <w:rFonts w:hint="default" w:ascii="Times New Roman" w:hAnsi="Times New Roman" w:cs="Times New Roman"/>
                      <w:kern w:val="0"/>
                      <w:sz w:val="18"/>
                      <w:szCs w:val="18"/>
                    </w:rPr>
                  </w:pPr>
                  <w:r>
                    <w:rPr>
                      <w:rFonts w:hint="default" w:ascii="Times New Roman" w:hAnsi="Times New Roman" w:cs="Times New Roman"/>
                      <w:sz w:val="18"/>
                      <w:szCs w:val="18"/>
                    </w:rPr>
                    <w:t>选用低噪声设备，设备采取隔振垫降噪等措施。</w:t>
                  </w:r>
                </w:p>
              </w:tc>
              <w:tc>
                <w:tcPr>
                  <w:tcW w:w="1053" w:type="dxa"/>
                  <w:vAlign w:val="center"/>
                </w:tcPr>
                <w:p>
                  <w:pPr>
                    <w:widowControl/>
                    <w:jc w:val="center"/>
                    <w:rPr>
                      <w:rFonts w:hint="default" w:ascii="Times New Roman" w:hAnsi="Times New Roman" w:cs="Times New Roman"/>
                      <w:sz w:val="18"/>
                      <w:szCs w:val="18"/>
                    </w:rPr>
                  </w:pPr>
                  <w:r>
                    <w:rPr>
                      <w:rFonts w:hint="default" w:ascii="Times New Roman" w:hAnsi="Times New Roman" w:cs="Times New Roman"/>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Merge w:val="restart"/>
                  <w:vAlign w:val="center"/>
                </w:tcPr>
                <w:p>
                  <w:pPr>
                    <w:widowControl/>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固废</w:t>
                  </w:r>
                </w:p>
              </w:tc>
              <w:tc>
                <w:tcPr>
                  <w:tcW w:w="5247" w:type="dxa"/>
                  <w:vAlign w:val="center"/>
                </w:tcPr>
                <w:p>
                  <w:pPr>
                    <w:widowControl/>
                    <w:rPr>
                      <w:rFonts w:hint="default" w:ascii="Times New Roman" w:hAnsi="Times New Roman" w:cs="Times New Roman"/>
                      <w:bCs/>
                      <w:sz w:val="18"/>
                      <w:szCs w:val="18"/>
                    </w:rPr>
                  </w:pPr>
                  <w:r>
                    <w:rPr>
                      <w:rFonts w:hint="default" w:ascii="Times New Roman" w:hAnsi="Times New Roman" w:cs="Times New Roman"/>
                      <w:bCs/>
                      <w:sz w:val="18"/>
                      <w:szCs w:val="18"/>
                    </w:rPr>
                    <w:t>一般固废暂存场；10m</w:t>
                  </w:r>
                  <w:r>
                    <w:rPr>
                      <w:rFonts w:hint="default" w:ascii="Times New Roman" w:hAnsi="Times New Roman" w:cs="Times New Roman"/>
                      <w:bCs/>
                      <w:sz w:val="18"/>
                      <w:szCs w:val="18"/>
                      <w:vertAlign w:val="superscript"/>
                    </w:rPr>
                    <w:t>2</w:t>
                  </w:r>
                </w:p>
              </w:tc>
              <w:tc>
                <w:tcPr>
                  <w:tcW w:w="1053" w:type="dxa"/>
                  <w:vAlign w:val="center"/>
                </w:tcPr>
                <w:p>
                  <w:pPr>
                    <w:widowControl/>
                    <w:jc w:val="center"/>
                    <w:rPr>
                      <w:rFonts w:hint="default" w:ascii="Times New Roman" w:hAnsi="Times New Roman" w:cs="Times New Roman"/>
                      <w:bCs/>
                      <w:sz w:val="18"/>
                      <w:szCs w:val="18"/>
                    </w:rPr>
                  </w:pPr>
                  <w:r>
                    <w:rPr>
                      <w:rFonts w:hint="default" w:ascii="Times New Roman" w:hAnsi="Times New Roman" w:cs="Times New Roman"/>
                      <w:bCs/>
                      <w:sz w:val="18"/>
                      <w:szCs w:val="18"/>
                    </w:rPr>
                    <w:t>新建</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165" w:hRule="atLeast"/>
              </w:trPr>
              <w:tc>
                <w:tcPr>
                  <w:tcW w:w="609" w:type="dxa"/>
                  <w:vMerge w:val="continue"/>
                  <w:vAlign w:val="center"/>
                </w:tcPr>
                <w:p>
                  <w:pPr>
                    <w:widowControl/>
                    <w:jc w:val="center"/>
                    <w:rPr>
                      <w:rFonts w:hint="default" w:ascii="Times New Roman" w:hAnsi="Times New Roman" w:cs="Times New Roman"/>
                      <w:kern w:val="0"/>
                      <w:sz w:val="18"/>
                      <w:szCs w:val="18"/>
                    </w:rPr>
                  </w:pPr>
                </w:p>
              </w:tc>
              <w:tc>
                <w:tcPr>
                  <w:tcW w:w="396" w:type="dxa"/>
                  <w:vMerge w:val="continue"/>
                  <w:vAlign w:val="center"/>
                </w:tcPr>
                <w:p>
                  <w:pPr>
                    <w:widowControl/>
                    <w:jc w:val="center"/>
                    <w:rPr>
                      <w:rFonts w:hint="default" w:ascii="Times New Roman" w:hAnsi="Times New Roman" w:cs="Times New Roman"/>
                      <w:kern w:val="0"/>
                      <w:sz w:val="18"/>
                      <w:szCs w:val="18"/>
                    </w:rPr>
                  </w:pPr>
                </w:p>
              </w:tc>
              <w:tc>
                <w:tcPr>
                  <w:tcW w:w="691" w:type="dxa"/>
                  <w:gridSpan w:val="2"/>
                  <w:vMerge w:val="continue"/>
                  <w:vAlign w:val="center"/>
                </w:tcPr>
                <w:p>
                  <w:pPr>
                    <w:widowControl/>
                    <w:jc w:val="center"/>
                    <w:rPr>
                      <w:rFonts w:hint="default" w:ascii="Times New Roman" w:hAnsi="Times New Roman" w:cs="Times New Roman"/>
                      <w:kern w:val="0"/>
                      <w:sz w:val="18"/>
                      <w:szCs w:val="18"/>
                    </w:rPr>
                  </w:pPr>
                </w:p>
              </w:tc>
              <w:tc>
                <w:tcPr>
                  <w:tcW w:w="5247" w:type="dxa"/>
                  <w:vAlign w:val="center"/>
                </w:tcPr>
                <w:p>
                  <w:pPr>
                    <w:widowControl/>
                    <w:rPr>
                      <w:rFonts w:hint="default" w:ascii="Times New Roman" w:hAnsi="Times New Roman" w:cs="Times New Roman"/>
                      <w:bCs/>
                      <w:sz w:val="18"/>
                      <w:szCs w:val="18"/>
                    </w:rPr>
                  </w:pPr>
                  <w:r>
                    <w:rPr>
                      <w:rFonts w:hint="default" w:ascii="Times New Roman" w:hAnsi="Times New Roman" w:cs="Times New Roman"/>
                      <w:bCs/>
                      <w:sz w:val="18"/>
                      <w:szCs w:val="18"/>
                    </w:rPr>
                    <w:t>危废储存间，面积15m</w:t>
                  </w:r>
                  <w:r>
                    <w:rPr>
                      <w:rFonts w:hint="default" w:ascii="Times New Roman" w:hAnsi="Times New Roman" w:cs="Times New Roman"/>
                      <w:bCs/>
                      <w:sz w:val="18"/>
                      <w:szCs w:val="18"/>
                      <w:vertAlign w:val="superscript"/>
                    </w:rPr>
                    <w:t>2</w:t>
                  </w:r>
                  <w:r>
                    <w:rPr>
                      <w:rFonts w:hint="default" w:ascii="Times New Roman" w:hAnsi="Times New Roman" w:cs="Times New Roman"/>
                      <w:bCs/>
                      <w:sz w:val="18"/>
                      <w:szCs w:val="18"/>
                    </w:rPr>
                    <w:t>，采用“防渗混凝土+环氧树脂地坪漆”防渗</w:t>
                  </w:r>
                </w:p>
              </w:tc>
              <w:tc>
                <w:tcPr>
                  <w:tcW w:w="1053" w:type="dxa"/>
                  <w:vAlign w:val="center"/>
                </w:tcPr>
                <w:p>
                  <w:pPr>
                    <w:widowControl/>
                    <w:jc w:val="center"/>
                    <w:rPr>
                      <w:rFonts w:hint="default" w:ascii="Times New Roman" w:hAnsi="Times New Roman" w:cs="Times New Roman"/>
                      <w:bCs/>
                      <w:sz w:val="18"/>
                      <w:szCs w:val="18"/>
                    </w:rPr>
                  </w:pPr>
                  <w:r>
                    <w:rPr>
                      <w:rFonts w:hint="default" w:ascii="Times New Roman" w:hAnsi="Times New Roman" w:cs="Times New Roman"/>
                      <w:bCs/>
                      <w:sz w:val="18"/>
                      <w:szCs w:val="18"/>
                    </w:rPr>
                    <w:t>新建</w:t>
                  </w:r>
                </w:p>
              </w:tc>
            </w:tr>
          </w:tbl>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2.2.4出租方介绍</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（1）出租方情况</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2023年6月1日，卓阳达公司租用大田县武陵乡大石村249号岩盛公司部分闲置厂房作为本项目的生产用地（详见附件四）。</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根据现场调研及企业提供资料，岩盛公司成立于2008年，主要从事于铸铁件、铸钢件等制造，厂区原建有1座100m</w:t>
            </w:r>
            <w:r>
              <w:rPr>
                <w:rFonts w:hint="default" w:ascii="Times New Roman" w:hAnsi="Times New Roman" w:cs="Times New Roman"/>
                <w:vertAlign w:val="superscript"/>
              </w:rPr>
              <w:t>3</w:t>
            </w:r>
            <w:r>
              <w:rPr>
                <w:rFonts w:hint="default" w:ascii="Times New Roman" w:hAnsi="Times New Roman" w:cs="Times New Roman"/>
              </w:rPr>
              <w:t>的铁矿冶炼炉、1座100m</w:t>
            </w:r>
            <w:r>
              <w:rPr>
                <w:rFonts w:hint="default" w:ascii="Times New Roman" w:hAnsi="Times New Roman" w:cs="Times New Roman"/>
                <w:vertAlign w:val="superscript"/>
              </w:rPr>
              <w:t>3</w:t>
            </w:r>
            <w:r>
              <w:rPr>
                <w:rFonts w:hint="default" w:ascii="Times New Roman" w:hAnsi="Times New Roman" w:cs="Times New Roman"/>
              </w:rPr>
              <w:t>的低品位矿烧结炉及原料堆场、破碎车间等，占地面积共约18000m</w:t>
            </w:r>
            <w:r>
              <w:rPr>
                <w:rFonts w:hint="default" w:ascii="Times New Roman" w:hAnsi="Times New Roman" w:cs="Times New Roman"/>
                <w:vertAlign w:val="superscript"/>
              </w:rPr>
              <w:t>2</w:t>
            </w:r>
            <w:r>
              <w:rPr>
                <w:rFonts w:hint="default" w:ascii="Times New Roman" w:hAnsi="Times New Roman" w:cs="Times New Roman"/>
              </w:rPr>
              <w:t>，因未办理环评审批手续，2017年被责令整改（田政办</w:t>
            </w:r>
            <w:r>
              <w:rPr>
                <w:rFonts w:hint="default" w:ascii="Times New Roman" w:hAnsi="Times New Roman" w:cs="Times New Roman"/>
                <w:lang w:val="en-US" w:eastAsia="zh-CN"/>
              </w:rPr>
              <w:t>[</w:t>
            </w:r>
            <w:r>
              <w:rPr>
                <w:rFonts w:hint="default" w:ascii="Times New Roman" w:hAnsi="Times New Roman" w:cs="Times New Roman"/>
              </w:rPr>
              <w:t>2017</w:t>
            </w:r>
            <w:r>
              <w:rPr>
                <w:rFonts w:hint="default" w:ascii="Times New Roman" w:hAnsi="Times New Roman" w:cs="Times New Roman"/>
                <w:lang w:val="en-US" w:eastAsia="zh-CN"/>
              </w:rPr>
              <w:t>]</w:t>
            </w:r>
            <w:r>
              <w:rPr>
                <w:rFonts w:hint="default" w:ascii="Times New Roman" w:hAnsi="Times New Roman" w:cs="Times New Roman"/>
              </w:rPr>
              <w:t>55号）。2018年，岩盛公司申办了年产</w:t>
            </w:r>
            <w:r>
              <w:rPr>
                <w:rFonts w:hint="default" w:ascii="Times New Roman" w:hAnsi="Times New Roman" w:cs="Times New Roman"/>
                <w:lang w:eastAsia="zh-CN"/>
              </w:rPr>
              <w:t>“</w:t>
            </w:r>
            <w:r>
              <w:rPr>
                <w:rFonts w:hint="default" w:ascii="Times New Roman" w:hAnsi="Times New Roman" w:cs="Times New Roman"/>
              </w:rPr>
              <w:t>15000吨铸件生产线技改项目</w:t>
            </w:r>
            <w:r>
              <w:rPr>
                <w:rFonts w:hint="default" w:ascii="Times New Roman" w:hAnsi="Times New Roman" w:cs="Times New Roman"/>
                <w:lang w:eastAsia="zh-CN"/>
              </w:rPr>
              <w:t>”</w:t>
            </w:r>
            <w:r>
              <w:rPr>
                <w:rFonts w:hint="default" w:ascii="Times New Roman" w:hAnsi="Times New Roman" w:cs="Times New Roman"/>
              </w:rPr>
              <w:t>，用地面积为10000m</w:t>
            </w:r>
            <w:r>
              <w:rPr>
                <w:rFonts w:hint="default" w:ascii="Times New Roman" w:hAnsi="Times New Roman" w:cs="Times New Roman"/>
                <w:vertAlign w:val="superscript"/>
              </w:rPr>
              <w:t>2</w:t>
            </w:r>
            <w:r>
              <w:rPr>
                <w:rFonts w:hint="default" w:ascii="Times New Roman" w:hAnsi="Times New Roman" w:cs="Times New Roman"/>
              </w:rPr>
              <w:t>（岩盛铸造项目用地范围图见附图</w:t>
            </w:r>
            <w:r>
              <w:rPr>
                <w:rFonts w:hint="default" w:ascii="Times New Roman" w:hAnsi="Times New Roman" w:cs="Times New Roman"/>
                <w:lang w:val="en-US" w:eastAsia="zh-CN"/>
              </w:rPr>
              <w:t>7</w:t>
            </w:r>
            <w:r>
              <w:rPr>
                <w:rFonts w:hint="default" w:ascii="Times New Roman" w:hAnsi="Times New Roman" w:cs="Times New Roman"/>
              </w:rPr>
              <w:t>），并通过原大田县环保局审批（田环批字[2018]38号），主要生产工程机械配件、市政工程配件、消防配件等铸件产品，营业执照见附件六。目前，岩盛公司年产15000吨铸件生产线技改项目处于正常运行状态。</w:t>
            </w:r>
          </w:p>
          <w:p>
            <w:pPr>
              <w:spacing w:line="440" w:lineRule="exact"/>
              <w:ind w:left="480" w:leftChars="200"/>
              <w:rPr>
                <w:rFonts w:hint="default" w:ascii="Times New Roman" w:hAnsi="Times New Roman" w:cs="Times New Roman"/>
              </w:rPr>
            </w:pPr>
            <w:r>
              <w:rPr>
                <w:rFonts w:hint="default" w:ascii="Times New Roman" w:hAnsi="Times New Roman" w:cs="Times New Roman"/>
              </w:rPr>
              <w:t>（2）原有场地环境问题调查</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本项目租用岩盛公司闲置的原低品位矿烧结炉配套的原料堆场、破碎车间作为生产用地（相对位置关系见附图</w:t>
            </w:r>
            <w:r>
              <w:rPr>
                <w:rFonts w:hint="default" w:ascii="Times New Roman" w:hAnsi="Times New Roman" w:cs="Times New Roman"/>
                <w:lang w:val="en-US" w:eastAsia="zh-CN"/>
              </w:rPr>
              <w:t>6</w:t>
            </w:r>
            <w:r>
              <w:rPr>
                <w:rFonts w:hint="default" w:ascii="Times New Roman" w:hAnsi="Times New Roman" w:cs="Times New Roman"/>
              </w:rPr>
              <w:t>），用地面积4201m</w:t>
            </w:r>
            <w:r>
              <w:rPr>
                <w:rFonts w:hint="default" w:ascii="Times New Roman" w:hAnsi="Times New Roman" w:cs="Times New Roman"/>
                <w:vertAlign w:val="superscript"/>
              </w:rPr>
              <w:t>2</w:t>
            </w:r>
            <w:r>
              <w:rPr>
                <w:rFonts w:hint="default" w:ascii="Times New Roman" w:hAnsi="Times New Roman" w:cs="Times New Roman"/>
              </w:rPr>
              <w:t>。</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岩盛公司原低品位矿烧结炉配套的原料堆场、破碎车间为钢结构厂房，设置了顶棚，地面采取了硬化处理。租用的原料堆场、破碎车间涉及的物料为低品位铁矿，租用车间内物料已清运处置，地面无污水、固废等残留，没有发现场地污染的迹象。</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2.2.5主要生产设备</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本项目主要生产设备情况如下。</w:t>
            </w:r>
          </w:p>
          <w:p>
            <w:pPr>
              <w:pStyle w:val="2"/>
              <w:rPr>
                <w:rFonts w:hint="default" w:ascii="Times New Roman" w:hAnsi="Times New Roman" w:cs="Times New Roman"/>
              </w:rPr>
            </w:pPr>
          </w:p>
          <w:p>
            <w:pPr>
              <w:pStyle w:val="3"/>
              <w:ind w:right="-120" w:firstLine="24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表2.2-3项目主要生产设备一览表</w:t>
            </w:r>
          </w:p>
          <w:tbl>
            <w:tblPr>
              <w:tblStyle w:val="25"/>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81"/>
              <w:gridCol w:w="1941"/>
              <w:gridCol w:w="2737"/>
              <w:gridCol w:w="1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79" w:type="dxa"/>
                  <w:vAlign w:val="center"/>
                </w:tcPr>
                <w:p>
                  <w:pPr>
                    <w:pStyle w:val="34"/>
                    <w:spacing w:before="0" w:beforeLine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w:t>
                  </w:r>
                </w:p>
              </w:tc>
              <w:tc>
                <w:tcPr>
                  <w:tcW w:w="781" w:type="dxa"/>
                  <w:vAlign w:val="center"/>
                </w:tcPr>
                <w:p>
                  <w:pPr>
                    <w:pStyle w:val="34"/>
                    <w:spacing w:before="0" w:beforeLines="0"/>
                    <w:rPr>
                      <w:rFonts w:hint="default" w:ascii="Times New Roman" w:hAnsi="Times New Roman" w:cs="Times New Roman"/>
                      <w:b/>
                      <w:bCs/>
                      <w:sz w:val="21"/>
                      <w:szCs w:val="21"/>
                    </w:rPr>
                  </w:pPr>
                  <w:r>
                    <w:rPr>
                      <w:rFonts w:hint="default" w:ascii="Times New Roman" w:hAnsi="Times New Roman" w:eastAsia="宋体" w:cs="Times New Roman"/>
                      <w:b/>
                      <w:bCs/>
                      <w:sz w:val="21"/>
                      <w:szCs w:val="21"/>
                    </w:rPr>
                    <w:t>序号</w:t>
                  </w:r>
                </w:p>
              </w:tc>
              <w:tc>
                <w:tcPr>
                  <w:tcW w:w="1941" w:type="dxa"/>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设备名称</w:t>
                  </w:r>
                </w:p>
              </w:tc>
              <w:tc>
                <w:tcPr>
                  <w:tcW w:w="2737" w:type="dxa"/>
                  <w:vAlign w:val="center"/>
                </w:tcPr>
                <w:p>
                  <w:pPr>
                    <w:jc w:val="center"/>
                    <w:rPr>
                      <w:rFonts w:hint="default" w:ascii="Times New Roman" w:hAnsi="Times New Roman" w:cs="Times New Roman"/>
                      <w:b/>
                      <w:bCs/>
                      <w:sz w:val="21"/>
                      <w:szCs w:val="21"/>
                    </w:rPr>
                  </w:pPr>
                  <w:r>
                    <w:rPr>
                      <w:rFonts w:hint="default" w:ascii="Times New Roman" w:hAnsi="Times New Roman" w:cs="Times New Roman"/>
                      <w:b/>
                      <w:bCs/>
                      <w:sz w:val="21"/>
                      <w:szCs w:val="21"/>
                    </w:rPr>
                    <w:t>设备参数</w:t>
                  </w:r>
                </w:p>
              </w:tc>
              <w:tc>
                <w:tcPr>
                  <w:tcW w:w="1358" w:type="dxa"/>
                  <w:vAlign w:val="center"/>
                </w:tcPr>
                <w:p>
                  <w:pPr>
                    <w:pStyle w:val="34"/>
                    <w:spacing w:before="0" w:beforeLine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exact"/>
                <w:jc w:val="center"/>
              </w:trPr>
              <w:tc>
                <w:tcPr>
                  <w:tcW w:w="1179"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年回收利用10万</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固体废物项目</w:t>
                  </w: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94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喂料机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尺寸：3m×3m</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941"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破碎机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振动筛</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干式磁选机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圆盘给料机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湿式球磨机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分级机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：30-35t/h</w:t>
                  </w:r>
                </w:p>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79" w:type="dxa"/>
                  <w:vMerge w:val="continue"/>
                  <w:vAlign w:val="center"/>
                </w:tcPr>
                <w:p>
                  <w:pPr>
                    <w:pStyle w:val="34"/>
                    <w:spacing w:before="0" w:beforeLines="0"/>
                    <w:rPr>
                      <w:rFonts w:hint="default" w:ascii="Times New Roman" w:hAnsi="Times New Roman" w:eastAsia="宋体" w:cs="Times New Roman"/>
                      <w:sz w:val="21"/>
                      <w:szCs w:val="21"/>
                    </w:rPr>
                  </w:pPr>
                </w:p>
              </w:tc>
              <w:tc>
                <w:tcPr>
                  <w:tcW w:w="781"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1941"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湿式磁选机</w:t>
                  </w:r>
                </w:p>
              </w:tc>
              <w:tc>
                <w:tcPr>
                  <w:tcW w:w="2737" w:type="dxa"/>
                  <w:vAlign w:val="center"/>
                </w:tcPr>
                <w:p>
                  <w:pPr>
                    <w:jc w:val="center"/>
                    <w:rPr>
                      <w:rFonts w:hint="default" w:ascii="Times New Roman" w:hAnsi="Times New Roman" w:cs="Times New Roman"/>
                      <w:kern w:val="0"/>
                      <w:sz w:val="21"/>
                      <w:szCs w:val="21"/>
                    </w:rPr>
                  </w:pPr>
                  <w:r>
                    <w:rPr>
                      <w:rFonts w:hint="default" w:ascii="Times New Roman" w:hAnsi="Times New Roman" w:cs="Times New Roman"/>
                      <w:sz w:val="21"/>
                      <w:szCs w:val="21"/>
                    </w:rPr>
                    <w:t>台时产量</w:t>
                  </w:r>
                  <w:r>
                    <w:rPr>
                      <w:rFonts w:hint="default" w:ascii="Times New Roman" w:hAnsi="Times New Roman" w:cs="Times New Roman"/>
                      <w:kern w:val="0"/>
                      <w:sz w:val="21"/>
                      <w:szCs w:val="21"/>
                    </w:rPr>
                    <w:t>：30-40t/h</w:t>
                  </w:r>
                </w:p>
              </w:tc>
              <w:tc>
                <w:tcPr>
                  <w:tcW w:w="1358" w:type="dxa"/>
                  <w:vAlign w:val="center"/>
                </w:tcPr>
                <w:p>
                  <w:pPr>
                    <w:widowControl/>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r>
          </w:tbl>
          <w:p>
            <w:pPr>
              <w:spacing w:line="440" w:lineRule="exact"/>
              <w:ind w:firstLine="480" w:firstLineChars="200"/>
              <w:rPr>
                <w:rFonts w:hint="default" w:ascii="Times New Roman" w:hAnsi="Times New Roman" w:cs="Times New Roman"/>
              </w:rPr>
            </w:pPr>
            <w:r>
              <w:rPr>
                <w:rFonts w:hint="default" w:ascii="Times New Roman" w:hAnsi="Times New Roman" w:cs="Times New Roman"/>
              </w:rPr>
              <w:t>设备设施与产能的适配性分析：项目产能由破碎机、振动筛、干式磁选机、湿式球磨机、分级机、湿式磁选机等设备决定，根据上表，破碎机、振动筛、分级机设备的台时产量最小，为30~35t/h，对应的产能为9万~10.5万t/年，与备案规模（10万t/年）基本匹配。</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2.2.6主要原辅材料</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2.2.6.1主要原辅材料及用量</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本项目原料的主要来源为大田县及周边县市生产企业产生的一般固体废物（铸铁渣、铸造砂、转炉渣及钢渣），运输过程中车辆采取覆盖措施防止扬尘。原料方案见下表。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表2.2-4原料方案一览表</w:t>
            </w:r>
          </w:p>
          <w:tbl>
            <w:tblPr>
              <w:tblStyle w:val="25"/>
              <w:tblW w:w="799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2136"/>
              <w:gridCol w:w="33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5"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原材料名称</w:t>
                  </w:r>
                </w:p>
              </w:tc>
              <w:tc>
                <w:tcPr>
                  <w:tcW w:w="2136"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原材料用量</w:t>
                  </w:r>
                </w:p>
              </w:tc>
              <w:tc>
                <w:tcPr>
                  <w:tcW w:w="3305" w:type="dxa"/>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原料来源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trPr>
              <w:tc>
                <w:tcPr>
                  <w:tcW w:w="2555"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（铸铁渣、铸造砂、转炉渣及钢渣）</w:t>
                  </w:r>
                </w:p>
              </w:tc>
              <w:tc>
                <w:tcPr>
                  <w:tcW w:w="2136" w:type="dxa"/>
                  <w:vMerge w:val="restart"/>
                  <w:vAlign w:val="center"/>
                </w:tcPr>
                <w:p>
                  <w:pPr>
                    <w:pStyle w:val="34"/>
                    <w:spacing w:before="0" w:beforeLine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10万吨/年</w:t>
                  </w:r>
                </w:p>
              </w:tc>
              <w:tc>
                <w:tcPr>
                  <w:tcW w:w="3305" w:type="dxa"/>
                  <w:vAlign w:val="center"/>
                </w:tcPr>
                <w:p>
                  <w:pPr>
                    <w:pStyle w:val="34"/>
                    <w:spacing w:before="0" w:beforeLine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铸铁渣、铸造砂：大田县周边县市的铸造企业产生的固体废物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555" w:type="dxa"/>
                  <w:vMerge w:val="continue"/>
                  <w:vAlign w:val="center"/>
                </w:tcPr>
                <w:p>
                  <w:pPr>
                    <w:pStyle w:val="34"/>
                    <w:spacing w:before="0" w:beforeLines="0"/>
                    <w:rPr>
                      <w:rFonts w:hint="default" w:ascii="Times New Roman" w:hAnsi="Times New Roman" w:eastAsia="宋体" w:cs="Times New Roman"/>
                      <w:sz w:val="21"/>
                      <w:szCs w:val="21"/>
                    </w:rPr>
                  </w:pPr>
                </w:p>
              </w:tc>
              <w:tc>
                <w:tcPr>
                  <w:tcW w:w="2136" w:type="dxa"/>
                  <w:vMerge w:val="continue"/>
                  <w:vAlign w:val="center"/>
                </w:tcPr>
                <w:p>
                  <w:pPr>
                    <w:pStyle w:val="34"/>
                    <w:spacing w:before="0" w:beforeLines="0"/>
                    <w:rPr>
                      <w:rFonts w:hint="default" w:ascii="Times New Roman" w:hAnsi="Times New Roman" w:eastAsia="宋体" w:cs="Times New Roman"/>
                      <w:sz w:val="21"/>
                      <w:szCs w:val="21"/>
                    </w:rPr>
                  </w:pPr>
                </w:p>
              </w:tc>
              <w:tc>
                <w:tcPr>
                  <w:tcW w:w="3305" w:type="dxa"/>
                  <w:vAlign w:val="center"/>
                </w:tcPr>
                <w:p>
                  <w:pPr>
                    <w:pStyle w:val="34"/>
                    <w:spacing w:before="0" w:beforeLine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转炉渣、钢渣：福建三钢闽光股份有限公司等企业在生产过程中产生的固体废物</w:t>
                  </w:r>
                </w:p>
              </w:tc>
            </w:tr>
          </w:tbl>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2.2.6.2主要原辅材料性质</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（1）铸铁渣、铸造砂</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本项目铸铁渣、铸造砂主要来源于大田县周边县市铸造企业，主要成分为铁、钙、镁等金属氧化物，属于《一般固体废物分类与代码》（GB/T39198-2020）中的“金属氧化物废物”类别，为一般固体废物。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参照岩盛公司《年产15000吨铸件生产线技改项目环境影响报告表》（田环批字[2018]38号），其铸造过程中产生</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val="en-US" w:eastAsia="zh-CN"/>
              </w:rPr>
              <w:t>铸造砂</w:t>
            </w:r>
            <w:r>
              <w:rPr>
                <w:rFonts w:hint="default" w:ascii="Times New Roman" w:hAnsi="Times New Roman" w:cs="Times New Roman"/>
                <w:color w:val="auto"/>
                <w:highlight w:val="none"/>
              </w:rPr>
              <w:t>为一般</w:t>
            </w:r>
            <w:r>
              <w:rPr>
                <w:rFonts w:hint="default" w:ascii="Times New Roman" w:hAnsi="Times New Roman" w:cs="Times New Roman"/>
              </w:rPr>
              <w:t>固体废物，主要成分为铁、钙、镁等金属氧化物。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（2）转炉渣、钢渣</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本项目转炉渣、钢渣主要来源于福建三钢闽光股份有限公司等企业在生产过程中产生的固体废物，属于《一般固体废物分类与代码》（GB/T39198-2020）中的“钢渣”类别，为一般固体废物。</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根据《三钢闽光产能置换（泉州闽光部分）炼钢项目环境影响报告书》（泉环评</w:t>
            </w:r>
            <w:r>
              <w:rPr>
                <w:rFonts w:hint="default" w:ascii="Times New Roman" w:hAnsi="Times New Roman" w:cs="Times New Roman"/>
                <w:lang w:val="en-US" w:eastAsia="zh-CN"/>
              </w:rPr>
              <w:t>[</w:t>
            </w:r>
            <w:r>
              <w:rPr>
                <w:rFonts w:hint="default" w:ascii="Times New Roman" w:hAnsi="Times New Roman" w:cs="Times New Roman"/>
              </w:rPr>
              <w:t>2022</w:t>
            </w:r>
            <w:r>
              <w:rPr>
                <w:rFonts w:hint="default" w:ascii="Times New Roman" w:hAnsi="Times New Roman" w:cs="Times New Roman"/>
                <w:lang w:val="en-US" w:eastAsia="zh-CN"/>
              </w:rPr>
              <w:t>]</w:t>
            </w:r>
            <w:r>
              <w:rPr>
                <w:rFonts w:hint="default" w:ascii="Times New Roman" w:hAnsi="Times New Roman" w:cs="Times New Roman"/>
              </w:rPr>
              <w:t>书22号），闽光公司</w:t>
            </w:r>
            <w:r>
              <w:rPr>
                <w:rFonts w:hint="default" w:ascii="Times New Roman" w:hAnsi="Times New Roman" w:cs="Times New Roman"/>
                <w:highlight w:val="none"/>
              </w:rPr>
              <w:t>生产过程中产生的钢渣、转炉渣</w:t>
            </w:r>
            <w:r>
              <w:rPr>
                <w:rFonts w:hint="default" w:ascii="Times New Roman" w:hAnsi="Times New Roman" w:cs="Times New Roman"/>
              </w:rPr>
              <w:t>属于一般固体废物</w:t>
            </w:r>
            <w:r>
              <w:rPr>
                <w:rFonts w:hint="default" w:ascii="Times New Roman" w:hAnsi="Times New Roman" w:cs="Times New Roman"/>
                <w:snapToGrid w:val="0"/>
              </w:rPr>
              <w:t>；钢渣的主要成分为CaO、SiO</w:t>
            </w:r>
            <w:r>
              <w:rPr>
                <w:rFonts w:hint="default" w:ascii="Times New Roman" w:hAnsi="Times New Roman" w:cs="Times New Roman"/>
                <w:snapToGrid w:val="0"/>
                <w:vertAlign w:val="subscript"/>
              </w:rPr>
              <w:t>2</w:t>
            </w:r>
            <w:r>
              <w:rPr>
                <w:rFonts w:hint="default" w:ascii="Times New Roman" w:hAnsi="Times New Roman" w:cs="Times New Roman"/>
                <w:snapToGrid w:val="0"/>
              </w:rPr>
              <w:t>、FeO和TFe，转炉渣主要成分为CaO、SiO</w:t>
            </w:r>
            <w:r>
              <w:rPr>
                <w:rFonts w:hint="default" w:ascii="Times New Roman" w:hAnsi="Times New Roman" w:cs="Times New Roman"/>
                <w:snapToGrid w:val="0"/>
                <w:vertAlign w:val="subscript"/>
              </w:rPr>
              <w:t>2</w:t>
            </w:r>
            <w:r>
              <w:rPr>
                <w:rFonts w:hint="default" w:ascii="Times New Roman" w:hAnsi="Times New Roman" w:cs="Times New Roman"/>
                <w:snapToGrid w:val="0"/>
              </w:rPr>
              <w:t>和Al</w:t>
            </w:r>
            <w:r>
              <w:rPr>
                <w:rFonts w:hint="default" w:ascii="Times New Roman" w:hAnsi="Times New Roman" w:cs="Times New Roman"/>
                <w:snapToGrid w:val="0"/>
                <w:vertAlign w:val="subscript"/>
              </w:rPr>
              <w:t>2</w:t>
            </w:r>
            <w:r>
              <w:rPr>
                <w:rFonts w:hint="default" w:ascii="Times New Roman" w:hAnsi="Times New Roman" w:cs="Times New Roman"/>
                <w:snapToGrid w:val="0"/>
              </w:rPr>
              <w:t>O</w:t>
            </w:r>
            <w:r>
              <w:rPr>
                <w:rFonts w:hint="default" w:ascii="Times New Roman" w:hAnsi="Times New Roman" w:cs="Times New Roman"/>
                <w:snapToGrid w:val="0"/>
                <w:vertAlign w:val="subscript"/>
              </w:rPr>
              <w:t>3</w:t>
            </w:r>
            <w:r>
              <w:rPr>
                <w:rFonts w:hint="default" w:ascii="Times New Roman" w:hAnsi="Times New Roman" w:cs="Times New Roman"/>
                <w:snapToGrid w:val="0"/>
              </w:rPr>
              <w:t>。</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因此，本项目铁渣、铸造砂、转炉渣、钢渣等原辅材料属于一般工业固废</w:t>
            </w:r>
            <w:r>
              <w:rPr>
                <w:rStyle w:val="32"/>
                <w:rFonts w:hint="default" w:ascii="Times New Roman" w:hAnsi="Times New Roman" w:cs="Times New Roman"/>
                <w:kern w:val="0"/>
                <w:szCs w:val="20"/>
              </w:rPr>
              <w:t>。</w:t>
            </w:r>
          </w:p>
          <w:p>
            <w:pPr>
              <w:spacing w:line="460" w:lineRule="exact"/>
              <w:rPr>
                <w:rFonts w:hint="default" w:ascii="Times New Roman" w:hAnsi="Times New Roman" w:eastAsia="黑体" w:cs="Times New Roman"/>
                <w:b/>
                <w:bCs/>
              </w:rPr>
            </w:pPr>
            <w:r>
              <w:rPr>
                <w:rFonts w:hint="default" w:ascii="Times New Roman" w:hAnsi="Times New Roman" w:eastAsia="黑体" w:cs="Times New Roman"/>
                <w:b/>
                <w:bCs/>
              </w:rPr>
              <w:t>2.2.7物料平衡</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本项目物料平衡如下：</w:t>
            </w: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表2.2-5项目物料平衡表</w:t>
            </w:r>
          </w:p>
          <w:tbl>
            <w:tblPr>
              <w:tblStyle w:val="26"/>
              <w:tblW w:w="799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413"/>
              <w:gridCol w:w="779"/>
              <w:gridCol w:w="693"/>
              <w:gridCol w:w="1523"/>
              <w:gridCol w:w="18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121"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输入</w:t>
                  </w:r>
                </w:p>
              </w:tc>
              <w:tc>
                <w:tcPr>
                  <w:tcW w:w="4877" w:type="dxa"/>
                  <w:gridSpan w:val="4"/>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输出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原料种类</w:t>
                  </w:r>
                </w:p>
              </w:tc>
              <w:tc>
                <w:tcPr>
                  <w:tcW w:w="1413"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投入量（t/a）</w:t>
                  </w: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名称</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产出量（t/a）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铸铁渣、铸造砂、转炉渣、钢渣</w:t>
                  </w:r>
                </w:p>
                <w:p>
                  <w:pPr>
                    <w:jc w:val="center"/>
                    <w:rPr>
                      <w:rFonts w:hint="default" w:ascii="Times New Roman" w:hAnsi="Times New Roman" w:cs="Times New Roman"/>
                      <w:sz w:val="18"/>
                      <w:szCs w:val="18"/>
                    </w:rPr>
                  </w:pPr>
                  <w:r>
                    <w:rPr>
                      <w:rFonts w:hint="default" w:ascii="Times New Roman" w:hAnsi="Times New Roman" w:cs="Times New Roman"/>
                      <w:sz w:val="18"/>
                      <w:szCs w:val="18"/>
                    </w:rPr>
                    <w:t>（含水率8%）</w:t>
                  </w:r>
                </w:p>
              </w:tc>
              <w:tc>
                <w:tcPr>
                  <w:tcW w:w="1413"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100000）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c>
                <w:tcPr>
                  <w:tcW w:w="779"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产品</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铁粉（含水率10%）</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30000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（固含量：27000）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废气</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颗粒物</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kern w:val="0"/>
                      <w:sz w:val="18"/>
                      <w:szCs w:val="18"/>
                    </w:rPr>
                    <w:t>4.31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vMerge w:val="restart"/>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固废</w:t>
                  </w: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干选尾渣（含水率8%）</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40000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（固含量：36800）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08"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水（含初期雨水）</w:t>
                  </w:r>
                </w:p>
              </w:tc>
              <w:tc>
                <w:tcPr>
                  <w:tcW w:w="1413"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kern w:val="2"/>
                      <w:sz w:val="18"/>
                      <w:szCs w:val="18"/>
                    </w:rPr>
                    <w:t>6278.31</w:t>
                  </w:r>
                </w:p>
              </w:tc>
              <w:tc>
                <w:tcPr>
                  <w:tcW w:w="779"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693" w:type="dxa"/>
                  <w:vMerge w:val="restart"/>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磁选尾渣</w:t>
                  </w:r>
                </w:p>
              </w:tc>
              <w:tc>
                <w:tcPr>
                  <w:tcW w:w="1523"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粗渣（含水率12%）</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15000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（固含量：13200）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708"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1413"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779"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693" w:type="dxa"/>
                  <w:vMerge w:val="continue"/>
                  <w:tcBorders>
                    <w:tl2br w:val="nil"/>
                    <w:tr2bl w:val="nil"/>
                  </w:tcBorders>
                  <w:vAlign w:val="center"/>
                </w:tcPr>
                <w:p>
                  <w:pPr>
                    <w:pStyle w:val="39"/>
                    <w:jc w:val="center"/>
                    <w:rPr>
                      <w:rFonts w:hint="default" w:ascii="Times New Roman" w:hAnsi="Times New Roman" w:cs="Times New Roman"/>
                      <w:color w:val="auto"/>
                      <w:sz w:val="18"/>
                      <w:szCs w:val="18"/>
                    </w:rPr>
                  </w:pPr>
                </w:p>
              </w:tc>
              <w:tc>
                <w:tcPr>
                  <w:tcW w:w="1523"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细渣（含水率15-17%）</w:t>
                  </w:r>
                </w:p>
              </w:tc>
              <w:tc>
                <w:tcPr>
                  <w:tcW w:w="1882" w:type="dxa"/>
                  <w:tcBorders>
                    <w:tl2br w:val="nil"/>
                    <w:tr2bl w:val="nil"/>
                  </w:tcBorders>
                  <w:vAlign w:val="center"/>
                </w:tcPr>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17800</w:t>
                  </w:r>
                </w:p>
                <w:p>
                  <w:pPr>
                    <w:pStyle w:val="39"/>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（固含量14971.69）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779" w:type="dxa"/>
                  <w:vMerge w:val="continue"/>
                  <w:tcBorders>
                    <w:tl2br w:val="nil"/>
                    <w:tr2bl w:val="nil"/>
                  </w:tcBorders>
                  <w:vAlign w:val="center"/>
                </w:tcPr>
                <w:p>
                  <w:pPr>
                    <w:jc w:val="center"/>
                    <w:rPr>
                      <w:rFonts w:hint="default" w:ascii="Times New Roman" w:hAnsi="Times New Roman" w:cs="Times New Roman"/>
                      <w:sz w:val="18"/>
                      <w:szCs w:val="18"/>
                    </w:rPr>
                  </w:pPr>
                </w:p>
              </w:tc>
              <w:tc>
                <w:tcPr>
                  <w:tcW w:w="2216" w:type="dxa"/>
                  <w:gridSpan w:val="2"/>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沉淀池污泥</w:t>
                  </w:r>
                </w:p>
                <w:p>
                  <w:pPr>
                    <w:jc w:val="center"/>
                    <w:rPr>
                      <w:rFonts w:hint="default" w:ascii="Times New Roman" w:hAnsi="Times New Roman" w:cs="Times New Roman"/>
                      <w:sz w:val="18"/>
                      <w:szCs w:val="18"/>
                    </w:rPr>
                  </w:pPr>
                  <w:r>
                    <w:rPr>
                      <w:rFonts w:hint="default" w:ascii="Times New Roman" w:hAnsi="Times New Roman" w:cs="Times New Roman"/>
                      <w:sz w:val="18"/>
                      <w:szCs w:val="18"/>
                    </w:rPr>
                    <w:t>（含水率20%）</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30</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708" w:type="dxa"/>
                  <w:vMerge w:val="continue"/>
                  <w:tcBorders>
                    <w:tl2br w:val="nil"/>
                    <w:tr2bl w:val="nil"/>
                  </w:tcBorders>
                  <w:vAlign w:val="center"/>
                </w:tcPr>
                <w:p>
                  <w:pPr>
                    <w:jc w:val="center"/>
                    <w:rPr>
                      <w:rFonts w:hint="default" w:ascii="Times New Roman" w:hAnsi="Times New Roman" w:cs="Times New Roman"/>
                      <w:sz w:val="18"/>
                      <w:szCs w:val="18"/>
                    </w:rPr>
                  </w:pPr>
                </w:p>
              </w:tc>
              <w:tc>
                <w:tcPr>
                  <w:tcW w:w="1413" w:type="dxa"/>
                  <w:vMerge w:val="continue"/>
                  <w:tcBorders>
                    <w:tl2br w:val="nil"/>
                    <w:tr2bl w:val="nil"/>
                  </w:tcBorders>
                  <w:vAlign w:val="center"/>
                </w:tcPr>
                <w:p>
                  <w:pPr>
                    <w:jc w:val="center"/>
                    <w:rPr>
                      <w:rFonts w:hint="default" w:ascii="Times New Roman" w:hAnsi="Times New Roman" w:cs="Times New Roman"/>
                      <w:sz w:val="18"/>
                      <w:szCs w:val="18"/>
                    </w:rPr>
                  </w:pP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水蒸发损耗</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3444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708"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413"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106278.31</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c>
                <w:tcPr>
                  <w:tcW w:w="2995" w:type="dxa"/>
                  <w:gridSpan w:val="3"/>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1882" w:type="dxa"/>
                  <w:tcBorders>
                    <w:tl2br w:val="nil"/>
                    <w:tr2bl w:val="nil"/>
                  </w:tcBorders>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106278.31</w:t>
                  </w:r>
                </w:p>
                <w:p>
                  <w:pPr>
                    <w:jc w:val="center"/>
                    <w:rPr>
                      <w:rFonts w:hint="default" w:ascii="Times New Roman" w:hAnsi="Times New Roman" w:cs="Times New Roman"/>
                      <w:sz w:val="18"/>
                      <w:szCs w:val="18"/>
                    </w:rPr>
                  </w:pPr>
                  <w:r>
                    <w:rPr>
                      <w:rFonts w:hint="default" w:ascii="Times New Roman" w:hAnsi="Times New Roman" w:cs="Times New Roman"/>
                      <w:sz w:val="18"/>
                      <w:szCs w:val="18"/>
                    </w:rPr>
                    <w:t>（固含量：92000）</w:t>
                  </w:r>
                </w:p>
              </w:tc>
            </w:tr>
          </w:tbl>
          <w:p>
            <w:pPr>
              <w:spacing w:line="440" w:lineRule="exact"/>
              <w:rPr>
                <w:rFonts w:hint="default" w:ascii="Times New Roman" w:hAnsi="Times New Roman" w:cs="Times New Roman"/>
              </w:rPr>
            </w:pPr>
            <w:r>
              <w:rPr>
                <w:rFonts w:hint="default" w:ascii="Times New Roman" w:hAnsi="Times New Roman" w:eastAsia="黑体" w:cs="Times New Roman"/>
                <w:b/>
                <w:bCs/>
              </w:rPr>
              <w:t>2.2.8</w:t>
            </w:r>
            <w:r>
              <w:rPr>
                <w:rFonts w:hint="default" w:ascii="Times New Roman" w:hAnsi="Times New Roman" w:cs="Times New Roman"/>
                <w:b/>
                <w:bCs/>
              </w:rPr>
              <w:t>供排水工程</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2.2.8.1供水系统</w:t>
            </w:r>
          </w:p>
          <w:p>
            <w:pPr>
              <w:pStyle w:val="3"/>
              <w:spacing w:line="440" w:lineRule="exact"/>
              <w:ind w:right="-120" w:firstLine="480" w:firstLineChars="200"/>
              <w:jc w:val="left"/>
              <w:rPr>
                <w:rFonts w:hint="default" w:ascii="Times New Roman" w:hAnsi="Times New Roman" w:cs="Times New Roman"/>
              </w:rPr>
            </w:pPr>
            <w:r>
              <w:rPr>
                <w:rFonts w:hint="default" w:ascii="Times New Roman" w:hAnsi="Times New Roman" w:cs="Times New Roman"/>
              </w:rPr>
              <w:t>项目用水取自山泉水，全厂新鲜用水量为</w:t>
            </w:r>
            <w:r>
              <w:rPr>
                <w:rFonts w:hint="default" w:ascii="Times New Roman" w:hAnsi="Times New Roman" w:cs="Times New Roman"/>
                <w:highlight w:val="none"/>
              </w:rPr>
              <w:t>20.26</w:t>
            </w:r>
            <w:r>
              <w:rPr>
                <w:rFonts w:hint="default" w:ascii="Times New Roman" w:hAnsi="Times New Roman" w:cs="Times New Roman"/>
                <w:highlight w:val="none"/>
                <w:lang w:val="en-US" w:eastAsia="zh-CN"/>
              </w:rPr>
              <w:t>m</w:t>
            </w:r>
            <w:r>
              <w:rPr>
                <w:rFonts w:hint="default" w:ascii="Times New Roman" w:hAnsi="Times New Roman" w:cs="Times New Roman"/>
                <w:highlight w:val="none"/>
                <w:vertAlign w:val="superscript"/>
                <w:lang w:val="en-US" w:eastAsia="zh-CN"/>
              </w:rPr>
              <w:t>3</w:t>
            </w:r>
            <w:r>
              <w:rPr>
                <w:rFonts w:hint="default" w:ascii="Times New Roman" w:hAnsi="Times New Roman" w:cs="Times New Roman"/>
                <w:highlight w:val="none"/>
              </w:rPr>
              <w:t>/d。山泉</w:t>
            </w:r>
            <w:r>
              <w:rPr>
                <w:rFonts w:hint="default" w:ascii="Times New Roman" w:hAnsi="Times New Roman" w:cs="Times New Roman"/>
              </w:rPr>
              <w:t>水通过管道引至蓄水池储存后，通过水泵及水管用于本项目生产用水。项目用水量较小，不会对当地农业、工业、生态及环境用水等造成影响。</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2.2.8.2排水系统</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用水主要包括球磨、磁选等生产用水，原料堆场、生产设备、道路等抑尘用水和绿化用水、生活用水。生产废水经“隔油池+沉淀池”处理后全部回用，不外排；道路浇洒用水全部挥发损耗；绿化用水被植物吸收。生活污水经地埋式生活污水处理设施处理后用于周边山林地灌溉。</w:t>
            </w:r>
          </w:p>
          <w:p>
            <w:pPr>
              <w:adjustRightInd w:val="0"/>
              <w:snapToGrid w:val="0"/>
              <w:spacing w:line="440" w:lineRule="exact"/>
              <w:rPr>
                <w:rFonts w:hint="default" w:ascii="Times New Roman" w:hAnsi="Times New Roman" w:eastAsia="黑体" w:cs="Times New Roman"/>
                <w:b/>
                <w:bCs/>
              </w:rPr>
            </w:pPr>
            <w:r>
              <w:rPr>
                <w:rFonts w:hint="default" w:ascii="Times New Roman" w:hAnsi="Times New Roman" w:eastAsia="黑体" w:cs="Times New Roman"/>
                <w:b/>
                <w:bCs/>
              </w:rPr>
              <w:t>2.2.8.3供排水平衡</w:t>
            </w:r>
          </w:p>
          <w:p>
            <w:pPr>
              <w:spacing w:line="440" w:lineRule="exact"/>
              <w:ind w:firstLine="480"/>
              <w:rPr>
                <w:rFonts w:hint="default" w:ascii="Times New Roman" w:hAnsi="Times New Roman" w:cs="Times New Roman"/>
              </w:rPr>
            </w:pPr>
            <w:r>
              <w:rPr>
                <w:rFonts w:hint="default" w:ascii="Times New Roman" w:hAnsi="Times New Roman" w:cs="Times New Roman"/>
              </w:rPr>
              <w:t>本项目用水包括生产用水、道路抑尘用水、生活用水和绿化用水。项目厂内给排水情况如下：</w:t>
            </w:r>
          </w:p>
          <w:p>
            <w:pPr>
              <w:pStyle w:val="73"/>
              <w:numPr>
                <w:ilvl w:val="0"/>
                <w:numId w:val="7"/>
              </w:numPr>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生产用水、排水</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①原料堆场</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原料堆场采用喷雾装置抑尘，在堆场四周设置10个喷嘴，确保喷雾可以覆盖整个原料堆场。抑尘用水见下表。</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表2.2-6原料堆场抑尘用水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0"/>
              <w:gridCol w:w="1865"/>
              <w:gridCol w:w="1537"/>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产尘点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抑尘方式</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喷水强度</w:t>
                  </w:r>
                </w:p>
                <w:p>
                  <w:pPr>
                    <w:jc w:val="center"/>
                    <w:rPr>
                      <w:rFonts w:hint="default" w:ascii="Times New Roman" w:hAnsi="Times New Roman" w:cs="Times New Roman"/>
                      <w:sz w:val="21"/>
                      <w:szCs w:val="21"/>
                    </w:rPr>
                  </w:pPr>
                  <w:r>
                    <w:rPr>
                      <w:rFonts w:hint="default" w:ascii="Times New Roman" w:hAnsi="Times New Roman" w:cs="Times New Roman"/>
                      <w:sz w:val="21"/>
                      <w:szCs w:val="21"/>
                    </w:rPr>
                    <w:t>（L/min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个）</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喷水时间</w:t>
                  </w:r>
                </w:p>
                <w:p>
                  <w:pPr>
                    <w:jc w:val="center"/>
                    <w:rPr>
                      <w:rFonts w:hint="default" w:ascii="Times New Roman" w:hAnsi="Times New Roman" w:cs="Times New Roman"/>
                      <w:sz w:val="21"/>
                      <w:szCs w:val="21"/>
                    </w:rPr>
                  </w:pPr>
                  <w:r>
                    <w:rPr>
                      <w:rFonts w:hint="default" w:ascii="Times New Roman" w:hAnsi="Times New Roman" w:cs="Times New Roman"/>
                      <w:sz w:val="21"/>
                      <w:szCs w:val="21"/>
                    </w:rPr>
                    <w:t>（h/d）</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喷水量</w:t>
                  </w:r>
                </w:p>
                <w:p>
                  <w:pPr>
                    <w:jc w:val="center"/>
                    <w:rPr>
                      <w:rFonts w:hint="default" w:ascii="Times New Roman" w:hAnsi="Times New Roman" w:cs="Times New Roman"/>
                      <w:sz w:val="21"/>
                      <w:szCs w:val="21"/>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原料堆场（卸料点）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干雾喷嘴</w:t>
                  </w:r>
                </w:p>
                <w:p>
                  <w:pPr>
                    <w:jc w:val="center"/>
                    <w:rPr>
                      <w:rFonts w:hint="default" w:ascii="Times New Roman" w:hAnsi="Times New Roman" w:cs="Times New Roman"/>
                      <w:sz w:val="21"/>
                      <w:szCs w:val="21"/>
                    </w:rPr>
                  </w:pPr>
                  <w:r>
                    <w:rPr>
                      <w:rFonts w:hint="default" w:ascii="Times New Roman" w:hAnsi="Times New Roman" w:cs="Times New Roman"/>
                      <w:sz w:val="21"/>
                      <w:szCs w:val="21"/>
                    </w:rPr>
                    <w:t>（10个）</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0.5L/min</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个</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w:t>
                  </w:r>
                </w:p>
              </w:tc>
            </w:tr>
          </w:tbl>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由上表可知，项目用于原料堆场抑尘的用水量为3m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/d，其中损耗量按10%计，即损耗0.3m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②破碎、筛分</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本项目在破碎、筛分工序采用喷水抑尘，初破、筛分、二破均采取喷淋抑尘措施，在破碎机进料口上方、设备内和振动筛上方分别设置喷淋水管。</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原料含水率为8%，为了有效抑制在破碎、筛分过程产生的粉尘，</w:t>
            </w:r>
            <w:r>
              <w:rPr>
                <w:rFonts w:hint="default" w:ascii="Times New Roman" w:hAnsi="Times New Roman" w:cs="Times New Roman"/>
                <w:sz w:val="24"/>
              </w:rPr>
              <w:t>物料应浇湿，使其</w:t>
            </w:r>
            <w:r>
              <w:rPr>
                <w:rFonts w:hint="default" w:ascii="Times New Roman" w:hAnsi="Times New Roman" w:cs="Times New Roman"/>
                <w:sz w:val="24"/>
                <w:lang w:val="en-US" w:eastAsia="zh-CN"/>
              </w:rPr>
              <w:t>表面含水率</w:t>
            </w:r>
            <w:r>
              <w:rPr>
                <w:rFonts w:hint="default" w:ascii="Times New Roman" w:hAnsi="Times New Roman" w:cs="Times New Roman"/>
                <w:sz w:val="24"/>
              </w:rPr>
              <w:t>达到10%以上</w:t>
            </w:r>
            <w:r>
              <w:rPr>
                <w:rFonts w:hint="default" w:ascii="Times New Roman" w:hAnsi="Times New Roman" w:cs="Times New Roman"/>
                <w:color w:val="auto"/>
                <w:sz w:val="24"/>
              </w:rPr>
              <w:t>。参考《逸散性工业粉尘控制技术》第十八章粒料加工控制技术，本项目初破工序喷淋用水量为0.02m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/t物料；初破工序物料喷淋浇湿后，筛分及二破的物料含水率较高，喷淋用水量可大幅减少，喷淋水量分别取0.002m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/t物料和0.001m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/t物料。初破、筛分物料处理量各为10万t/a，二破物料处理量为4万t/a，则初破喷淋用水量为2000m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/a（6.67m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/d），筛分和二破喷淋用水量分别为200m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/a（0.67m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/a（0.13m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/d），总喷淋用水量合计为2240m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/a（7.47m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p>
          <w:p>
            <w:pPr>
              <w:pStyle w:val="73"/>
              <w:spacing w:after="0" w:line="440" w:lineRule="exact"/>
              <w:ind w:right="-120" w:firstLine="480"/>
              <w:rPr>
                <w:rFonts w:hint="default" w:ascii="Times New Roman" w:hAnsi="Times New Roman" w:cs="Times New Roman"/>
                <w:color w:val="auto"/>
                <w:sz w:val="24"/>
              </w:rPr>
            </w:pPr>
            <w:r>
              <w:rPr>
                <w:rFonts w:hint="default" w:ascii="Times New Roman" w:hAnsi="Times New Roman" w:cs="Times New Roman"/>
                <w:color w:val="auto"/>
                <w:sz w:val="24"/>
              </w:rPr>
              <w:t>破碎筛分总用水量为36.84m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/d（原料带入水29.37m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/d，喷淋用水7.47m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/d），用水量部分损耗，部分进入产品，损耗量按水量的10%计算，则破碎、筛分用水损耗量为3.68m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/d，其余33.16m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/d随物料进入后续生产工序。</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③干式磁选</w:t>
            </w:r>
          </w:p>
          <w:p>
            <w:pPr>
              <w:spacing w:line="440" w:lineRule="exact"/>
              <w:ind w:firstLine="480"/>
              <w:rPr>
                <w:rFonts w:hint="default" w:ascii="Times New Roman" w:hAnsi="Times New Roman" w:cs="Times New Roman"/>
              </w:rPr>
            </w:pPr>
            <w:r>
              <w:rPr>
                <w:rFonts w:hint="default" w:ascii="Times New Roman" w:hAnsi="Times New Roman" w:cs="Times New Roman"/>
              </w:rPr>
              <w:t>干式磁选工序不需用水。物料经干式磁选后产生非磁性物料和磁性物料，磁性物料进入下一工序；非磁性物料作为尾渣出售，带走水量约10.67m</w:t>
            </w:r>
            <w:r>
              <w:rPr>
                <w:rFonts w:hint="default" w:ascii="Times New Roman" w:hAnsi="Times New Roman" w:cs="Times New Roman"/>
                <w:vertAlign w:val="superscript"/>
              </w:rPr>
              <w:t>3</w:t>
            </w:r>
            <w:r>
              <w:rPr>
                <w:rFonts w:hint="default" w:ascii="Times New Roman" w:hAnsi="Times New Roman" w:cs="Times New Roman"/>
              </w:rPr>
              <w:t>/d。</w:t>
            </w: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表2.2-7干式磁选尾渣带走水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1680"/>
              <w:gridCol w:w="1995"/>
              <w:gridCol w:w="18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47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产品</w:t>
                  </w:r>
                </w:p>
              </w:tc>
              <w:tc>
                <w:tcPr>
                  <w:tcW w:w="168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产量（</w:t>
                  </w:r>
                  <w:r>
                    <w:rPr>
                      <w:rFonts w:hint="default" w:ascii="Times New Roman" w:hAnsi="Times New Roman" w:cs="Times New Roman"/>
                    </w:rPr>
                    <w:t>t</w:t>
                  </w:r>
                  <w:r>
                    <w:rPr>
                      <w:rFonts w:hint="default" w:ascii="Times New Roman" w:hAnsi="Times New Roman" w:cs="Times New Roman"/>
                      <w:sz w:val="21"/>
                      <w:szCs w:val="21"/>
                    </w:rPr>
                    <w:t>）</w:t>
                  </w:r>
                </w:p>
              </w:tc>
              <w:tc>
                <w:tcPr>
                  <w:tcW w:w="199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物料含水率（%）</w:t>
                  </w:r>
                </w:p>
              </w:tc>
              <w:tc>
                <w:tcPr>
                  <w:tcW w:w="184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带走水（m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47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干选尾渣</w:t>
                  </w:r>
                </w:p>
              </w:tc>
              <w:tc>
                <w:tcPr>
                  <w:tcW w:w="168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40000</w:t>
                  </w:r>
                </w:p>
              </w:tc>
              <w:tc>
                <w:tcPr>
                  <w:tcW w:w="199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846"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10.67</w:t>
                  </w:r>
                </w:p>
              </w:tc>
            </w:tr>
          </w:tbl>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④湿式球磨、分级</w:t>
            </w:r>
          </w:p>
          <w:p>
            <w:pPr>
              <w:spacing w:line="440" w:lineRule="exact"/>
              <w:ind w:firstLine="480"/>
              <w:rPr>
                <w:rFonts w:hint="default" w:ascii="Times New Roman" w:hAnsi="Times New Roman" w:cs="Times New Roman"/>
              </w:rPr>
            </w:pPr>
            <w:r>
              <w:rPr>
                <w:rFonts w:hint="default" w:ascii="Times New Roman" w:hAnsi="Times New Roman" w:cs="Times New Roman"/>
              </w:rPr>
              <w:t>干式磁选后的磁性物料进入球磨机，加水进行球磨；球磨后的物料与水一并进入螺旋分级机，螺旋分级机不需补充水，螺旋分级机的细粉料与水进入湿式磁选机，粗粉料返回球磨工序再次球磨后进入湿式磁选机。球磨用水量约为物料的30%。球磨机物料处理量33.33t/h，用水量为10m</w:t>
            </w:r>
            <w:r>
              <w:rPr>
                <w:rFonts w:hint="default" w:ascii="Times New Roman" w:hAnsi="Times New Roman" w:cs="Times New Roman"/>
                <w:vertAlign w:val="superscript"/>
              </w:rPr>
              <w:t>3</w:t>
            </w:r>
            <w:r>
              <w:rPr>
                <w:rFonts w:hint="default" w:ascii="Times New Roman" w:hAnsi="Times New Roman" w:cs="Times New Roman"/>
              </w:rPr>
              <w:t>/h（100m</w:t>
            </w:r>
            <w:r>
              <w:rPr>
                <w:rFonts w:hint="default" w:ascii="Times New Roman" w:hAnsi="Times New Roman" w:cs="Times New Roman"/>
                <w:vertAlign w:val="superscript"/>
              </w:rPr>
              <w:t>3</w:t>
            </w:r>
            <w:r>
              <w:rPr>
                <w:rFonts w:hint="default" w:ascii="Times New Roman" w:hAnsi="Times New Roman" w:cs="Times New Roman"/>
              </w:rPr>
              <w:t>/d），其中物料带入水22.49m</w:t>
            </w:r>
            <w:r>
              <w:rPr>
                <w:rFonts w:hint="default" w:ascii="Times New Roman" w:hAnsi="Times New Roman" w:cs="Times New Roman"/>
                <w:vertAlign w:val="superscript"/>
              </w:rPr>
              <w:t>3</w:t>
            </w:r>
            <w:r>
              <w:rPr>
                <w:rFonts w:hint="default" w:ascii="Times New Roman" w:hAnsi="Times New Roman" w:cs="Times New Roman"/>
              </w:rPr>
              <w:t>/d，回用水72m</w:t>
            </w:r>
            <w:r>
              <w:rPr>
                <w:rFonts w:hint="default" w:ascii="Times New Roman" w:hAnsi="Times New Roman" w:cs="Times New Roman"/>
                <w:vertAlign w:val="superscript"/>
              </w:rPr>
              <w:t>3</w:t>
            </w:r>
            <w:r>
              <w:rPr>
                <w:rFonts w:hint="default" w:ascii="Times New Roman" w:hAnsi="Times New Roman" w:cs="Times New Roman"/>
              </w:rPr>
              <w:t>/d，补充新鲜水5.51m</w:t>
            </w:r>
            <w:r>
              <w:rPr>
                <w:rFonts w:hint="default" w:ascii="Times New Roman" w:hAnsi="Times New Roman" w:cs="Times New Roman"/>
                <w:vertAlign w:val="superscript"/>
              </w:rPr>
              <w:t>3</w:t>
            </w:r>
            <w:r>
              <w:rPr>
                <w:rFonts w:hint="default" w:ascii="Times New Roman" w:hAnsi="Times New Roman" w:cs="Times New Roman"/>
              </w:rPr>
              <w:t>/d，损耗水量按用水量3%计，即损耗水量为3m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rPr>
                <w:rFonts w:hint="default" w:ascii="Times New Roman" w:hAnsi="Times New Roman" w:cs="Times New Roman"/>
              </w:rPr>
            </w:pPr>
            <w:r>
              <w:rPr>
                <w:rFonts w:hint="default" w:ascii="Times New Roman" w:hAnsi="Times New Roman" w:cs="Times New Roman"/>
              </w:rPr>
              <w:t>⑤湿式磁选、浓缩、压滤</w:t>
            </w:r>
          </w:p>
          <w:p>
            <w:pPr>
              <w:spacing w:line="440" w:lineRule="exact"/>
              <w:ind w:firstLine="480"/>
              <w:rPr>
                <w:rFonts w:hint="default" w:ascii="Times New Roman" w:hAnsi="Times New Roman" w:cs="Times New Roman"/>
              </w:rPr>
            </w:pPr>
            <w:r>
              <w:rPr>
                <w:rFonts w:hint="default" w:ascii="Times New Roman" w:hAnsi="Times New Roman" w:cs="Times New Roman"/>
              </w:rPr>
              <w:t>经球磨、分级后的物料与水进入湿式磁选机。湿式磁选工序用水量为15m</w:t>
            </w:r>
            <w:r>
              <w:rPr>
                <w:rFonts w:hint="default" w:ascii="Times New Roman" w:hAnsi="Times New Roman" w:cs="Times New Roman"/>
                <w:vertAlign w:val="superscript"/>
              </w:rPr>
              <w:t>3</w:t>
            </w:r>
            <w:r>
              <w:rPr>
                <w:rFonts w:hint="default" w:ascii="Times New Roman" w:hAnsi="Times New Roman" w:cs="Times New Roman"/>
              </w:rPr>
              <w:t>/h（150m</w:t>
            </w:r>
            <w:r>
              <w:rPr>
                <w:rFonts w:hint="default" w:ascii="Times New Roman" w:hAnsi="Times New Roman" w:cs="Times New Roman"/>
                <w:vertAlign w:val="superscript"/>
              </w:rPr>
              <w:t>3</w:t>
            </w:r>
            <w:r>
              <w:rPr>
                <w:rFonts w:hint="default" w:ascii="Times New Roman" w:hAnsi="Times New Roman" w:cs="Times New Roman"/>
              </w:rPr>
              <w:t>/d），其中分级机物料带入水97m</w:t>
            </w:r>
            <w:r>
              <w:rPr>
                <w:rFonts w:hint="default" w:ascii="Times New Roman" w:hAnsi="Times New Roman" w:cs="Times New Roman"/>
                <w:vertAlign w:val="superscript"/>
              </w:rPr>
              <w:t>3</w:t>
            </w:r>
            <w:r>
              <w:rPr>
                <w:rFonts w:hint="default" w:ascii="Times New Roman" w:hAnsi="Times New Roman" w:cs="Times New Roman"/>
              </w:rPr>
              <w:t>/d，回用水</w:t>
            </w:r>
            <w:r>
              <w:rPr>
                <w:rFonts w:hint="eastAsia" w:ascii="Times New Roman" w:hAnsi="Times New Roman" w:cs="Times New Roman"/>
                <w:lang w:val="en-US" w:eastAsia="zh-CN"/>
              </w:rPr>
              <w:t xml:space="preserve">   </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/d，补充新鲜水1.94m</w:t>
            </w:r>
            <w:r>
              <w:rPr>
                <w:rFonts w:hint="default" w:ascii="Times New Roman" w:hAnsi="Times New Roman" w:cs="Times New Roman"/>
                <w:vertAlign w:val="superscript"/>
              </w:rPr>
              <w:t>3</w:t>
            </w:r>
            <w:r>
              <w:rPr>
                <w:rFonts w:hint="default" w:ascii="Times New Roman" w:hAnsi="Times New Roman" w:cs="Times New Roman"/>
              </w:rPr>
              <w:t>/d。损耗水量按用水量3%计，即损耗水量为4.5m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rPr>
                <w:rFonts w:hint="default" w:ascii="Times New Roman" w:hAnsi="Times New Roman" w:cs="Times New Roman"/>
              </w:rPr>
            </w:pPr>
            <w:r>
              <w:rPr>
                <w:rFonts w:hint="default" w:ascii="Times New Roman" w:hAnsi="Times New Roman" w:cs="Times New Roman"/>
              </w:rPr>
              <w:t>经湿式磁选机磁选后的物料分为铁粉（含水）及磁选尾渣（含水）。铁粉通过管道运至铁粉仓，铁粉堆干过程产生的渗滤水通过收集沟收集至“隔油池+沉淀池”处理后回用，渗滤水产生量为61.3m</w:t>
            </w:r>
            <w:r>
              <w:rPr>
                <w:rFonts w:hint="default" w:ascii="Times New Roman" w:hAnsi="Times New Roman" w:cs="Times New Roman"/>
                <w:vertAlign w:val="superscript"/>
              </w:rPr>
              <w:t>3</w:t>
            </w:r>
            <w:r>
              <w:rPr>
                <w:rFonts w:hint="default" w:ascii="Times New Roman" w:hAnsi="Times New Roman" w:cs="Times New Roman"/>
              </w:rPr>
              <w:t>/d；磁选尾渣（含水）通过磁选尾渣管道运至暂存池，经脱水筛脱水后物料分为粗磁选尾渣和细磁选尾渣，粗磁选尾渣直接外售，细磁选尾渣（含水）再经浓缩罐、板框压滤机脱水后外售，浓缩罐浓缩过程产生的废水为55.81m</w:t>
            </w:r>
            <w:r>
              <w:rPr>
                <w:rFonts w:hint="default" w:ascii="Times New Roman" w:hAnsi="Times New Roman" w:cs="Times New Roman"/>
                <w:vertAlign w:val="superscript"/>
              </w:rPr>
              <w:t>3</w:t>
            </w:r>
            <w:r>
              <w:rPr>
                <w:rFonts w:hint="default" w:ascii="Times New Roman" w:hAnsi="Times New Roman" w:cs="Times New Roman"/>
              </w:rPr>
              <w:t>/d，经板框压滤产生的压滤废水为2.97m</w:t>
            </w:r>
            <w:r>
              <w:rPr>
                <w:rFonts w:hint="default" w:ascii="Times New Roman" w:hAnsi="Times New Roman" w:cs="Times New Roman"/>
                <w:vertAlign w:val="superscript"/>
              </w:rPr>
              <w:t>3</w:t>
            </w:r>
            <w:r>
              <w:rPr>
                <w:rFonts w:hint="default" w:ascii="Times New Roman" w:hAnsi="Times New Roman" w:cs="Times New Roman"/>
              </w:rPr>
              <w:t>/d，废水产生量合计120.08m</w:t>
            </w:r>
            <w:r>
              <w:rPr>
                <w:rFonts w:hint="default" w:ascii="Times New Roman" w:hAnsi="Times New Roman" w:cs="Times New Roman"/>
                <w:vertAlign w:val="superscript"/>
              </w:rPr>
              <w:t>3</w:t>
            </w:r>
            <w:r>
              <w:rPr>
                <w:rFonts w:hint="default" w:ascii="Times New Roman" w:hAnsi="Times New Roman" w:cs="Times New Roman"/>
              </w:rPr>
              <w:t>/d，经收集至“隔油池+沉淀池”处理后回用，其中污泥带走水量为0.02m</w:t>
            </w:r>
            <w:r>
              <w:rPr>
                <w:rFonts w:hint="default" w:ascii="Times New Roman" w:hAnsi="Times New Roman" w:cs="Times New Roman"/>
                <w:vertAlign w:val="superscript"/>
              </w:rPr>
              <w:t>3</w:t>
            </w:r>
            <w:r>
              <w:rPr>
                <w:rFonts w:hint="default" w:ascii="Times New Roman" w:hAnsi="Times New Roman" w:cs="Times New Roman"/>
              </w:rPr>
              <w:t>/d。</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⑥小结</w:t>
            </w:r>
          </w:p>
          <w:p>
            <w:pPr>
              <w:spacing w:line="440" w:lineRule="exact"/>
              <w:ind w:firstLine="480"/>
              <w:rPr>
                <w:rFonts w:hint="default" w:ascii="Times New Roman" w:hAnsi="Times New Roman" w:cs="Times New Roman"/>
              </w:rPr>
            </w:pPr>
            <w:r>
              <w:rPr>
                <w:rFonts w:hint="default" w:ascii="Times New Roman" w:hAnsi="Times New Roman" w:cs="Times New Roman"/>
              </w:rPr>
              <w:t>项目生产过程中物料用水包括原料带入水、原料堆场喷淋抑尘用水和球磨、湿式磁选用水，用水量共167.65m</w:t>
            </w:r>
            <w:r>
              <w:rPr>
                <w:rFonts w:hint="default" w:ascii="Times New Roman" w:hAnsi="Times New Roman" w:cs="Times New Roman"/>
                <w:vertAlign w:val="superscript"/>
              </w:rPr>
              <w:t>3</w:t>
            </w:r>
            <w:r>
              <w:rPr>
                <w:rFonts w:hint="default" w:ascii="Times New Roman" w:hAnsi="Times New Roman" w:cs="Times New Roman"/>
              </w:rPr>
              <w:t>/d（原料带入水26.67m</w:t>
            </w:r>
            <w:r>
              <w:rPr>
                <w:rFonts w:hint="default" w:ascii="Times New Roman" w:hAnsi="Times New Roman" w:cs="Times New Roman"/>
                <w:vertAlign w:val="superscript"/>
              </w:rPr>
              <w:t>3</w:t>
            </w:r>
            <w:r>
              <w:rPr>
                <w:rFonts w:hint="default" w:ascii="Times New Roman" w:hAnsi="Times New Roman" w:cs="Times New Roman"/>
              </w:rPr>
              <w:t>/d、回用水123.06m</w:t>
            </w:r>
            <w:r>
              <w:rPr>
                <w:rFonts w:hint="default" w:ascii="Times New Roman" w:hAnsi="Times New Roman" w:cs="Times New Roman"/>
                <w:vertAlign w:val="superscript"/>
              </w:rPr>
              <w:t>3</w:t>
            </w:r>
            <w:r>
              <w:rPr>
                <w:rFonts w:hint="default" w:ascii="Times New Roman" w:hAnsi="Times New Roman" w:cs="Times New Roman"/>
              </w:rPr>
              <w:t>/d、新鲜水17.92m</w:t>
            </w:r>
            <w:r>
              <w:rPr>
                <w:rFonts w:hint="default" w:ascii="Times New Roman" w:hAnsi="Times New Roman" w:cs="Times New Roman"/>
                <w:vertAlign w:val="superscript"/>
              </w:rPr>
              <w:t>3</w:t>
            </w:r>
            <w:r>
              <w:rPr>
                <w:rFonts w:hint="default" w:ascii="Times New Roman" w:hAnsi="Times New Roman" w:cs="Times New Roman"/>
              </w:rPr>
              <w:t>/d）；生产中用水损耗量47.59m</w:t>
            </w:r>
            <w:r>
              <w:rPr>
                <w:rFonts w:hint="default" w:ascii="Times New Roman" w:hAnsi="Times New Roman" w:cs="Times New Roman"/>
                <w:vertAlign w:val="superscript"/>
              </w:rPr>
              <w:t>3</w:t>
            </w:r>
            <w:r>
              <w:rPr>
                <w:rFonts w:hint="default" w:ascii="Times New Roman" w:hAnsi="Times New Roman" w:cs="Times New Roman"/>
              </w:rPr>
              <w:t>/d（其中生产过程蒸发损耗11.48m</w:t>
            </w:r>
            <w:r>
              <w:rPr>
                <w:rFonts w:hint="default" w:ascii="Times New Roman" w:hAnsi="Times New Roman" w:cs="Times New Roman"/>
                <w:vertAlign w:val="superscript"/>
              </w:rPr>
              <w:t>3</w:t>
            </w:r>
            <w:r>
              <w:rPr>
                <w:rFonts w:hint="default" w:ascii="Times New Roman" w:hAnsi="Times New Roman" w:cs="Times New Roman"/>
              </w:rPr>
              <w:t>/d，产品、尾渣、污泥带走36.11m</w:t>
            </w:r>
            <w:r>
              <w:rPr>
                <w:rFonts w:hint="default" w:ascii="Times New Roman" w:hAnsi="Times New Roman" w:cs="Times New Roman"/>
                <w:vertAlign w:val="superscript"/>
              </w:rPr>
              <w:t>3</w:t>
            </w:r>
            <w:r>
              <w:rPr>
                <w:rFonts w:hint="default" w:ascii="Times New Roman" w:hAnsi="Times New Roman" w:cs="Times New Roman"/>
              </w:rPr>
              <w:t>/d）、生产废水产生量约123.06m</w:t>
            </w:r>
            <w:r>
              <w:rPr>
                <w:rFonts w:hint="default" w:ascii="Times New Roman" w:hAnsi="Times New Roman" w:cs="Times New Roman"/>
                <w:vertAlign w:val="superscript"/>
              </w:rPr>
              <w:t>3</w:t>
            </w:r>
            <w:r>
              <w:rPr>
                <w:rFonts w:hint="default" w:ascii="Times New Roman" w:hAnsi="Times New Roman" w:cs="Times New Roman"/>
              </w:rPr>
              <w:t>/d（含初期雨水3m</w:t>
            </w:r>
            <w:r>
              <w:rPr>
                <w:rFonts w:hint="default" w:ascii="Times New Roman" w:hAnsi="Times New Roman" w:cs="Times New Roman"/>
                <w:vertAlign w:val="superscript"/>
              </w:rPr>
              <w:t>3</w:t>
            </w:r>
            <w:r>
              <w:rPr>
                <w:rFonts w:hint="default" w:ascii="Times New Roman" w:hAnsi="Times New Roman" w:cs="Times New Roman"/>
              </w:rPr>
              <w:t>/d），处理后全部回用。生产用水排水水平衡见下图：</w:t>
            </w:r>
          </w:p>
          <w:p>
            <w:pPr>
              <w:pStyle w:val="2"/>
              <w:rPr>
                <w:rFonts w:hint="eastAsia" w:ascii="Times New Roman" w:hAnsi="Times New Roman" w:eastAsia="黑体" w:cs="Times New Roman"/>
                <w:lang w:eastAsia="zh-CN"/>
              </w:rPr>
            </w:pPr>
            <w:r>
              <w:rPr>
                <w:rFonts w:hint="eastAsia" w:ascii="Times New Roman" w:hAnsi="Times New Roman" w:eastAsia="黑体" w:cs="Times New Roman"/>
                <w:lang w:eastAsia="zh-CN"/>
              </w:rPr>
              <w:drawing>
                <wp:inline distT="0" distB="0" distL="114300" distR="114300">
                  <wp:extent cx="5254625" cy="4645025"/>
                  <wp:effectExtent l="0" t="0" r="3175" b="3175"/>
                  <wp:docPr id="104" name="图片 104" descr="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水平衡图"/>
                          <pic:cNvPicPr>
                            <a:picLocks noChangeAspect="1"/>
                          </pic:cNvPicPr>
                        </pic:nvPicPr>
                        <pic:blipFill>
                          <a:blip r:embed="rId10"/>
                          <a:srcRect l="13564" t="4515" r="13440" b="4164"/>
                          <a:stretch>
                            <a:fillRect/>
                          </a:stretch>
                        </pic:blipFill>
                        <pic:spPr>
                          <a:xfrm>
                            <a:off x="0" y="0"/>
                            <a:ext cx="5254625" cy="4645025"/>
                          </a:xfrm>
                          <a:prstGeom prst="rect">
                            <a:avLst/>
                          </a:prstGeom>
                        </pic:spPr>
                      </pic:pic>
                    </a:graphicData>
                  </a:graphic>
                </wp:inline>
              </w:drawing>
            </w:r>
          </w:p>
          <w:p>
            <w:pPr>
              <w:pStyle w:val="2"/>
              <w:rPr>
                <w:rFonts w:hint="default" w:ascii="Times New Roman" w:hAnsi="Times New Roman" w:cs="Times New Roman"/>
                <w:color w:val="auto"/>
              </w:rPr>
            </w:pPr>
            <w:r>
              <w:rPr>
                <w:rFonts w:hint="default" w:ascii="Times New Roman" w:hAnsi="Times New Roman" w:cs="Times New Roman"/>
                <w:color w:val="auto"/>
              </w:rPr>
              <w:t>图2.2-1项目生产用水水平衡示意图（单位：m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（2）车辆冲洗水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周边道路均水泥硬化，且道路通过洒水抑尘，车辆出入带尘量少，因此本项目可不考虑运输车辆冲洗水，仅考虑厂区道路抑尘用水。厂区道路抑尘浇洒用水见下。</w:t>
            </w:r>
          </w:p>
          <w:p>
            <w:pPr>
              <w:pStyle w:val="73"/>
              <w:spacing w:after="0" w:line="440" w:lineRule="exact"/>
              <w:ind w:left="480" w:leftChars="200" w:right="-120" w:firstLine="0" w:firstLineChars="0"/>
              <w:rPr>
                <w:rFonts w:hint="default" w:ascii="Times New Roman" w:hAnsi="Times New Roman" w:cs="Times New Roman"/>
                <w:color w:val="auto"/>
                <w:sz w:val="24"/>
              </w:rPr>
            </w:pPr>
            <w:r>
              <w:rPr>
                <w:rFonts w:hint="default" w:ascii="Times New Roman" w:hAnsi="Times New Roman" w:cs="Times New Roman"/>
                <w:color w:val="auto"/>
                <w:sz w:val="24"/>
              </w:rPr>
              <w:t>（3）道路抑尘浇洒</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本项目原料通过厂区北侧道路利用落差卸料，原料运输无需经过厂区内道路。厂内道路长度约100m，宽度约2m，产品及尾渣运输车辆要经过厂区道路，道路采取洒水抑尘，用水量约为0.9m</w:t>
            </w:r>
            <w:r>
              <w:rPr>
                <w:rFonts w:hint="default" w:ascii="Times New Roman" w:hAnsi="Times New Roman" w:cs="Times New Roman"/>
                <w:vertAlign w:val="superscript"/>
              </w:rPr>
              <w:t>3</w:t>
            </w:r>
            <w:r>
              <w:rPr>
                <w:rFonts w:hint="default" w:ascii="Times New Roman" w:hAnsi="Times New Roman" w:cs="Times New Roman"/>
              </w:rPr>
              <w:t>/d，具体分析见下表：</w:t>
            </w:r>
          </w:p>
          <w:p>
            <w:pPr>
              <w:pStyle w:val="34"/>
              <w:spacing w:before="120"/>
              <w:ind w:firstLine="422"/>
              <w:rPr>
                <w:rFonts w:hint="default" w:ascii="Times New Roman" w:hAnsi="Times New Roman" w:cs="Times New Roman"/>
                <w:b/>
                <w:bCs/>
                <w:sz w:val="21"/>
                <w:szCs w:val="21"/>
              </w:rPr>
            </w:pPr>
          </w:p>
          <w:p>
            <w:pPr>
              <w:pStyle w:val="34"/>
              <w:spacing w:before="120"/>
              <w:ind w:firstLine="422"/>
              <w:rPr>
                <w:rFonts w:hint="default" w:ascii="Times New Roman" w:hAnsi="Times New Roman" w:cs="Times New Roman"/>
              </w:rPr>
            </w:pPr>
            <w:r>
              <w:rPr>
                <w:rFonts w:hint="default" w:ascii="Times New Roman" w:hAnsi="Times New Roman" w:cs="Times New Roman"/>
                <w:b/>
                <w:bCs/>
                <w:sz w:val="21"/>
                <w:szCs w:val="21"/>
              </w:rPr>
              <w:t>表2.2-8厂区道路抑尘用水</w:t>
            </w:r>
          </w:p>
          <w:tbl>
            <w:tblPr>
              <w:tblStyle w:val="26"/>
              <w:tblW w:w="79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520"/>
              <w:gridCol w:w="1865"/>
              <w:gridCol w:w="1537"/>
              <w:gridCol w:w="15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产尘点</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抑尘方式</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数量（面积）</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单位用水量</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用水量</w:t>
                  </w:r>
                </w:p>
                <w:p>
                  <w:pPr>
                    <w:jc w:val="center"/>
                    <w:rPr>
                      <w:rFonts w:hint="default" w:ascii="Times New Roman" w:hAnsi="Times New Roman" w:cs="Times New Roman"/>
                      <w:sz w:val="21"/>
                      <w:szCs w:val="21"/>
                    </w:rPr>
                  </w:pP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厂区道路</w:t>
                  </w:r>
                </w:p>
              </w:tc>
              <w:tc>
                <w:tcPr>
                  <w:tcW w:w="1520"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洒水抑尘</w:t>
                  </w:r>
                </w:p>
              </w:tc>
              <w:tc>
                <w:tcPr>
                  <w:tcW w:w="186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3次（200m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p>
              </w:tc>
              <w:tc>
                <w:tcPr>
                  <w:tcW w:w="153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1.5L/m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·次</w:t>
                  </w:r>
                </w:p>
              </w:tc>
              <w:tc>
                <w:tcPr>
                  <w:tcW w:w="15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0.9</w:t>
                  </w:r>
                </w:p>
              </w:tc>
            </w:tr>
          </w:tbl>
          <w:p>
            <w:pPr>
              <w:spacing w:line="440" w:lineRule="exact"/>
              <w:ind w:firstLine="480" w:firstLineChars="200"/>
              <w:rPr>
                <w:rFonts w:hint="default" w:ascii="Times New Roman" w:hAnsi="Times New Roman" w:cs="Times New Roman"/>
              </w:rPr>
            </w:pPr>
            <w:r>
              <w:rPr>
                <w:rFonts w:hint="default" w:ascii="Times New Roman" w:hAnsi="Times New Roman" w:cs="Times New Roman"/>
              </w:rPr>
              <w:t>（4）生活用水、排水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项目职工定员10人，均不住厂，参照《室外给水设计标准》（GB50013-2018）及《建筑给排水设计标准》（GB50015-2019）等有关规定，不住厂职工生活用水量定额取50L/d·人，那么项目生活用水量约为0.5m</w:t>
            </w:r>
            <w:r>
              <w:rPr>
                <w:rFonts w:hint="default" w:ascii="Times New Roman" w:hAnsi="Times New Roman" w:cs="Times New Roman"/>
                <w:vertAlign w:val="superscript"/>
              </w:rPr>
              <w:t>3</w:t>
            </w:r>
            <w:r>
              <w:rPr>
                <w:rFonts w:hint="default" w:ascii="Times New Roman" w:hAnsi="Times New Roman" w:cs="Times New Roman"/>
              </w:rPr>
              <w:t>/d，按年工作300天计，则生活用水量为150m</w:t>
            </w:r>
            <w:r>
              <w:rPr>
                <w:rFonts w:hint="default" w:ascii="Times New Roman" w:hAnsi="Times New Roman" w:cs="Times New Roman"/>
                <w:vertAlign w:val="superscript"/>
              </w:rPr>
              <w:t>3</w:t>
            </w:r>
            <w:r>
              <w:rPr>
                <w:rFonts w:hint="default" w:ascii="Times New Roman" w:hAnsi="Times New Roman" w:cs="Times New Roman"/>
              </w:rPr>
              <w:t>/a。产污系数取0.9，则项目生活污水产生量约为135m</w:t>
            </w:r>
            <w:r>
              <w:rPr>
                <w:rFonts w:hint="default" w:ascii="Times New Roman" w:hAnsi="Times New Roman" w:cs="Times New Roman"/>
                <w:vertAlign w:val="superscript"/>
              </w:rPr>
              <w:t>3</w:t>
            </w:r>
            <w:r>
              <w:rPr>
                <w:rFonts w:hint="default" w:ascii="Times New Roman" w:hAnsi="Times New Roman" w:cs="Times New Roman"/>
              </w:rPr>
              <w:t>/a（0.45m</w:t>
            </w:r>
            <w:r>
              <w:rPr>
                <w:rFonts w:hint="default" w:ascii="Times New Roman" w:hAnsi="Times New Roman" w:cs="Times New Roman"/>
                <w:vertAlign w:val="superscript"/>
              </w:rPr>
              <w:t>3</w:t>
            </w:r>
            <w:r>
              <w:rPr>
                <w:rFonts w:hint="default" w:ascii="Times New Roman" w:hAnsi="Times New Roman" w:cs="Times New Roman"/>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（5）绿化用水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根据《建筑给水排水设计标准》（GB50015-2019），绿化用水量定额可按浇灌面积取值1~3L/m</w:t>
            </w:r>
            <w:r>
              <w:rPr>
                <w:rFonts w:hint="default" w:ascii="Times New Roman" w:hAnsi="Times New Roman" w:cs="Times New Roman"/>
                <w:vertAlign w:val="superscript"/>
              </w:rPr>
              <w:t>2</w:t>
            </w:r>
            <w:r>
              <w:rPr>
                <w:rFonts w:hint="default" w:ascii="Times New Roman" w:hAnsi="Times New Roman" w:cs="Times New Roman"/>
              </w:rPr>
              <w:t>·d，本项目按2L/m</w:t>
            </w:r>
            <w:r>
              <w:rPr>
                <w:rFonts w:hint="default" w:ascii="Times New Roman" w:hAnsi="Times New Roman" w:cs="Times New Roman"/>
                <w:vertAlign w:val="superscript"/>
              </w:rPr>
              <w:t>2</w:t>
            </w:r>
            <w:r>
              <w:rPr>
                <w:rFonts w:hint="default" w:ascii="Times New Roman" w:hAnsi="Times New Roman" w:cs="Times New Roman"/>
              </w:rPr>
              <w:t>·d计。项目的绿化面积约为470m</w:t>
            </w:r>
            <w:r>
              <w:rPr>
                <w:rFonts w:hint="default" w:ascii="Times New Roman" w:hAnsi="Times New Roman" w:cs="Times New Roman"/>
                <w:vertAlign w:val="superscript"/>
              </w:rPr>
              <w:t>2</w:t>
            </w:r>
            <w:r>
              <w:rPr>
                <w:rFonts w:hint="default" w:ascii="Times New Roman" w:hAnsi="Times New Roman" w:cs="Times New Roman"/>
              </w:rPr>
              <w:t>，则绿化用水量为0.94m</w:t>
            </w:r>
            <w:r>
              <w:rPr>
                <w:rFonts w:hint="default" w:ascii="Times New Roman" w:hAnsi="Times New Roman" w:cs="Times New Roman"/>
                <w:vertAlign w:val="superscript"/>
              </w:rPr>
              <w:t>3</w:t>
            </w:r>
            <w:r>
              <w:rPr>
                <w:rFonts w:hint="default" w:ascii="Times New Roman" w:hAnsi="Times New Roman" w:cs="Times New Roman"/>
              </w:rPr>
              <w:t>/d，绿化水通过植物吸收、蒸发。</w:t>
            </w:r>
          </w:p>
          <w:p>
            <w:pPr>
              <w:spacing w:line="440" w:lineRule="exact"/>
              <w:ind w:left="480" w:leftChars="200"/>
              <w:rPr>
                <w:rFonts w:hint="default" w:ascii="Times New Roman" w:hAnsi="Times New Roman" w:cs="Times New Roman"/>
                <w:szCs w:val="22"/>
              </w:rPr>
            </w:pPr>
            <w:r>
              <w:rPr>
                <w:rFonts w:hint="default" w:ascii="Times New Roman" w:hAnsi="Times New Roman" w:cs="Times New Roman"/>
                <w:szCs w:val="22"/>
              </w:rPr>
              <w:t>（6）初期雨水</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厂区原料堆场、生产车间、尾渣堆场均设置顶棚，顶棚设置雨水收集管道；下雨期间，原料堆场的顶棚水进入雨水沟，与厂内道路雨水一起排至厂区东侧门口；生产车间、尾渣堆场雨水管道接至厂区外，雨水通过管道直接排入厂区东侧的武陵溪。</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原料运输车辆在厂区外西侧运输至原料堆场卸料，不经过厂区；厂内铲车会在厂区北部原料堆场和尾渣堆场区域之间的道路行驶；成品、尾渣运输车辆在厂区大门至尾渣堆场之间的道路行驶。车辆运输过程中会撒落很少量的物料，在雨季，厂区内道路会产生污染雨水，应进行收集处理，初期雨水汇水区域为原料堆场及厂区内道路。</w:t>
            </w:r>
          </w:p>
          <w:p>
            <w:pPr>
              <w:spacing w:line="420" w:lineRule="atLeast"/>
              <w:ind w:firstLine="480" w:firstLineChars="200"/>
              <w:rPr>
                <w:rFonts w:hint="default" w:ascii="Times New Roman" w:hAnsi="Times New Roman" w:cs="Times New Roman"/>
              </w:rPr>
            </w:pPr>
            <w:r>
              <w:rPr>
                <w:rFonts w:hint="default" w:ascii="Times New Roman" w:hAnsi="Times New Roman" w:cs="Times New Roman"/>
                <w:bCs/>
              </w:rPr>
              <w:t>初期雨水是在旱季后的首次降雨过程，经雨水冲洗的含有少量污染物的地面排水。</w:t>
            </w:r>
            <w:r>
              <w:rPr>
                <w:rFonts w:hint="default" w:ascii="Times New Roman" w:hAnsi="Times New Roman" w:cs="Times New Roman"/>
              </w:rPr>
              <w:t>参考《化学工业污水处理与回用设计规范》（GB50684—2011），初期雨污水的核算方式采用降雨深度与污染区面积的乘积法，污染雨水量按降水量10mm~30mm与污染区面积的乘积来计算。本项目原料运输车辆不经过厂区，原料堆场、生产车间、尾渣堆场均设置顶棚，生产设施均采取了喷淋除尘措施，最大程度减少粉尘无组织排放。降雨初期产生污染雨水量按降水量10mm与污染区面积的乘积来计算。</w:t>
            </w:r>
          </w:p>
          <w:p>
            <w:pPr>
              <w:spacing w:line="420" w:lineRule="atLeast"/>
              <w:ind w:firstLine="480" w:firstLineChars="200"/>
              <w:rPr>
                <w:rFonts w:hint="default" w:ascii="Times New Roman" w:hAnsi="Times New Roman" w:cs="Times New Roman"/>
              </w:rPr>
            </w:pPr>
            <w:r>
              <w:rPr>
                <w:rFonts w:hint="default" w:ascii="Times New Roman" w:hAnsi="Times New Roman" w:cs="Times New Roman"/>
              </w:rPr>
              <w:t>本项目生产车间、尾渣堆场雨水管道接至厂区外，原料堆场的顶棚水进入雨水沟，与厂内道路雨水一起排至厂区东侧门口。因此，污染区面积按原料堆场和厂区道路面积核算，约为900m</w:t>
            </w:r>
            <w:r>
              <w:rPr>
                <w:rFonts w:hint="default" w:ascii="Times New Roman" w:hAnsi="Times New Roman" w:cs="Times New Roman"/>
                <w:vertAlign w:val="superscript"/>
              </w:rPr>
              <w:t>2</w:t>
            </w:r>
            <w:r>
              <w:rPr>
                <w:rFonts w:hint="default" w:ascii="Times New Roman" w:hAnsi="Times New Roman" w:cs="Times New Roman"/>
              </w:rPr>
              <w:t>（</w:t>
            </w:r>
            <w:r>
              <w:rPr>
                <w:rFonts w:hint="default" w:ascii="Times New Roman" w:hAnsi="Times New Roman" w:cs="Times New Roman"/>
                <w:bCs/>
              </w:rPr>
              <w:t>初期雨水汇水区域见附图1</w:t>
            </w:r>
            <w:r>
              <w:rPr>
                <w:rFonts w:hint="default" w:ascii="Times New Roman" w:hAnsi="Times New Roman" w:cs="Times New Roman"/>
                <w:bCs/>
                <w:lang w:val="en-US" w:eastAsia="zh-CN"/>
              </w:rPr>
              <w:t>2</w:t>
            </w:r>
            <w:r>
              <w:rPr>
                <w:rFonts w:hint="default" w:ascii="Times New Roman" w:hAnsi="Times New Roman" w:cs="Times New Roman"/>
              </w:rPr>
              <w:t>）。经计算，初期雨水产生量约为9m</w:t>
            </w:r>
            <w:r>
              <w:rPr>
                <w:rFonts w:hint="default" w:ascii="Times New Roman" w:hAnsi="Times New Roman" w:cs="Times New Roman"/>
                <w:vertAlign w:val="superscript"/>
              </w:rPr>
              <w:t>3</w:t>
            </w:r>
            <w:r>
              <w:rPr>
                <w:rFonts w:hint="default" w:ascii="Times New Roman" w:hAnsi="Times New Roman" w:cs="Times New Roman"/>
              </w:rPr>
              <w:t>。</w:t>
            </w:r>
          </w:p>
          <w:p>
            <w:pPr>
              <w:spacing w:line="440" w:lineRule="exact"/>
              <w:ind w:firstLine="480" w:firstLineChars="200"/>
              <w:rPr>
                <w:rFonts w:hint="default" w:ascii="Times New Roman" w:hAnsi="Times New Roman" w:cs="Times New Roman"/>
                <w:bCs/>
              </w:rPr>
            </w:pPr>
            <w:r>
              <w:rPr>
                <w:rFonts w:hint="default" w:ascii="Times New Roman" w:hAnsi="Times New Roman" w:cs="Times New Roman"/>
                <w:bCs/>
              </w:rPr>
              <w:t>根据大田县近几年的气象数据，平均降雨天数取100d，则初期雨水产生量约为900t/a（折算平均3m</w:t>
            </w:r>
            <w:r>
              <w:rPr>
                <w:rFonts w:hint="default" w:ascii="Times New Roman" w:hAnsi="Times New Roman" w:cs="Times New Roman"/>
                <w:bCs/>
                <w:vertAlign w:val="superscript"/>
              </w:rPr>
              <w:t>3</w:t>
            </w:r>
            <w:r>
              <w:rPr>
                <w:rFonts w:hint="default" w:ascii="Times New Roman" w:hAnsi="Times New Roman" w:cs="Times New Roman"/>
                <w:bCs/>
              </w:rPr>
              <w:t>/d）。</w:t>
            </w: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根据厂区地形地势，要求企业在厂区大门口道路东侧设置一个容积不小于9</w:t>
            </w:r>
            <w:r>
              <w:rPr>
                <w:rFonts w:hint="default" w:ascii="Times New Roman" w:hAnsi="Times New Roman" w:cs="Times New Roman"/>
                <w:bCs/>
              </w:rPr>
              <w:t>m</w:t>
            </w:r>
            <w:r>
              <w:rPr>
                <w:rFonts w:hint="default" w:ascii="Times New Roman" w:hAnsi="Times New Roman" w:cs="Times New Roman"/>
                <w:bCs/>
                <w:vertAlign w:val="superscript"/>
              </w:rPr>
              <w:t>3</w:t>
            </w:r>
            <w:r>
              <w:rPr>
                <w:rFonts w:hint="default" w:ascii="Times New Roman" w:hAnsi="Times New Roman" w:cs="Times New Roman"/>
              </w:rPr>
              <w:t>的初期雨水沉淀池，并设置水泵和输送管道至生产废水回用水池。初期雨水经初期雨水沉淀池处理后泵入回用水池，作为生产用水回用，回用于球磨等工序，不外排。</w:t>
            </w:r>
          </w:p>
          <w:p>
            <w:pPr>
              <w:spacing w:line="440" w:lineRule="exact"/>
              <w:ind w:left="480" w:leftChars="200"/>
              <w:rPr>
                <w:rFonts w:hint="default" w:ascii="Times New Roman" w:hAnsi="Times New Roman" w:cs="Times New Roman"/>
                <w:szCs w:val="22"/>
              </w:rPr>
            </w:pPr>
            <w:r>
              <w:rPr>
                <w:rFonts w:hint="default" w:ascii="Times New Roman" w:hAnsi="Times New Roman" w:cs="Times New Roman"/>
                <w:szCs w:val="22"/>
              </w:rPr>
              <w:t>（7）全厂水平衡小结</w:t>
            </w:r>
          </w:p>
          <w:p>
            <w:pPr>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项目用水主要包括生产用水、道路抑尘用水、绿化用水及生活用水。其中生产用水量167.65m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/d（原料带入26.67m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/d，回用水123.06m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/d，补充新鲜水17.92m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/d），产品、尾渣、污泥带走36.11m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/d，蒸发损耗11.48m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/d，废水产生量120.06m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/d，生产废水处理后全部回用；道路浇洒0.9m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/d，全部挥发损耗；绿化用水0.94m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/d，全部被植物吸收、蒸发；生活用水量0.5m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/d，生活污水产生量0.45m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/d，用于周边山林地灌溉。全厂新鲜水用量20.26m</w:t>
            </w:r>
            <w:r>
              <w:rPr>
                <w:rFonts w:hint="default"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14:textFill>
                  <w14:solidFill>
                    <w14:schemeClr w14:val="tx1"/>
                  </w14:solidFill>
                </w14:textFill>
              </w:rPr>
              <w:t>/d。</w:t>
            </w:r>
          </w:p>
          <w:p>
            <w:pPr>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全厂用水排水情况汇总表见下表。</w:t>
            </w: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表2.2-9  项目用水情况汇总表（m3/d）</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6"/>
              <w:gridCol w:w="748"/>
              <w:gridCol w:w="674"/>
              <w:gridCol w:w="670"/>
              <w:gridCol w:w="902"/>
              <w:gridCol w:w="713"/>
              <w:gridCol w:w="912"/>
              <w:gridCol w:w="734"/>
              <w:gridCol w:w="770"/>
              <w:gridCol w:w="672"/>
              <w:gridCol w:w="7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序号</w:t>
                  </w:r>
                </w:p>
              </w:tc>
              <w:tc>
                <w:tcPr>
                  <w:tcW w:w="748"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用水单元</w:t>
                  </w:r>
                </w:p>
              </w:tc>
              <w:tc>
                <w:tcPr>
                  <w:tcW w:w="2959" w:type="dxa"/>
                  <w:gridSpan w:val="4"/>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用水量</w:t>
                  </w:r>
                </w:p>
              </w:tc>
              <w:tc>
                <w:tcPr>
                  <w:tcW w:w="1646" w:type="dxa"/>
                  <w:gridSpan w:val="2"/>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损失</w:t>
                  </w:r>
                </w:p>
              </w:tc>
              <w:tc>
                <w:tcPr>
                  <w:tcW w:w="1442" w:type="dxa"/>
                  <w:gridSpan w:val="2"/>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废水</w:t>
                  </w:r>
                </w:p>
              </w:tc>
              <w:tc>
                <w:tcPr>
                  <w:tcW w:w="714" w:type="dxa"/>
                  <w:vMerge w:val="restart"/>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合计</w:t>
                  </w:r>
                </w:p>
                <w:p>
                  <w:pPr>
                    <w:pStyle w:val="2"/>
                    <w:rPr>
                      <w:rFonts w:hint="default" w:ascii="Times New Roman" w:hAnsi="Times New Roman" w:cs="Times New Roman"/>
                      <w:sz w:val="15"/>
                      <w:szCs w:val="15"/>
                    </w:rPr>
                  </w:pPr>
                  <w:r>
                    <w:rPr>
                      <w:rFonts w:hint="default" w:ascii="Times New Roman" w:hAnsi="Times New Roman" w:eastAsia="宋体" w:cs="Times New Roman"/>
                      <w:b w:val="0"/>
                      <w:bCs w:val="0"/>
                      <w:color w:val="auto"/>
                      <w:sz w:val="15"/>
                      <w:szCs w:val="15"/>
                    </w:rPr>
                    <w:t>（损失+废水）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vMerge w:val="continue"/>
                  <w:tcBorders>
                    <w:tl2br w:val="nil"/>
                    <w:tr2bl w:val="nil"/>
                  </w:tcBorders>
                  <w:vAlign w:val="center"/>
                </w:tcPr>
                <w:p>
                  <w:pPr>
                    <w:jc w:val="center"/>
                    <w:rPr>
                      <w:rFonts w:hint="default" w:ascii="Times New Roman" w:hAnsi="Times New Roman" w:cs="Times New Roman"/>
                      <w:sz w:val="15"/>
                      <w:szCs w:val="15"/>
                    </w:rPr>
                  </w:pPr>
                </w:p>
              </w:tc>
              <w:tc>
                <w:tcPr>
                  <w:tcW w:w="748" w:type="dxa"/>
                  <w:vMerge w:val="continue"/>
                  <w:tcBorders>
                    <w:tl2br w:val="nil"/>
                    <w:tr2bl w:val="nil"/>
                  </w:tcBorders>
                  <w:vAlign w:val="center"/>
                </w:tcPr>
                <w:p>
                  <w:pPr>
                    <w:jc w:val="center"/>
                    <w:rPr>
                      <w:rFonts w:hint="default" w:ascii="Times New Roman" w:hAnsi="Times New Roman" w:cs="Times New Roman"/>
                      <w:sz w:val="15"/>
                      <w:szCs w:val="15"/>
                    </w:rPr>
                  </w:pP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新鲜水</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原料带入</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回用水</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小计</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产品、尾渣、污泥带走</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挥发等损耗</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产生</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排放</w:t>
                  </w:r>
                </w:p>
              </w:tc>
              <w:tc>
                <w:tcPr>
                  <w:tcW w:w="714" w:type="dxa"/>
                  <w:vMerge w:val="continue"/>
                  <w:tcBorders>
                    <w:tl2br w:val="nil"/>
                    <w:tr2bl w:val="nil"/>
                  </w:tcBorders>
                  <w:vAlign w:val="center"/>
                </w:tcPr>
                <w:p>
                  <w:pPr>
                    <w:jc w:val="center"/>
                    <w:rPr>
                      <w:rFonts w:hint="default" w:ascii="Times New Roman" w:hAnsi="Times New Roman" w:cs="Times New Roman"/>
                      <w:sz w:val="15"/>
                      <w:szCs w:val="15"/>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生产用水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17.92</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26.67</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123.06（含初期雨水3）</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167.65</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36.11</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11.48</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120.06</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167.65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2</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道路抑尘用水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生活用水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0.05</w:t>
                  </w:r>
                </w:p>
              </w:tc>
              <w:tc>
                <w:tcPr>
                  <w:tcW w:w="770" w:type="dxa"/>
                  <w:tcBorders>
                    <w:tl2br w:val="nil"/>
                    <w:tr2bl w:val="nil"/>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0</w:t>
                  </w:r>
                </w:p>
              </w:tc>
              <w:tc>
                <w:tcPr>
                  <w:tcW w:w="672" w:type="dxa"/>
                  <w:tcBorders>
                    <w:tl2br w:val="nil"/>
                    <w:tr2bl w:val="nil"/>
                  </w:tcBorders>
                  <w:vAlign w:val="center"/>
                </w:tcPr>
                <w:p>
                  <w:pPr>
                    <w:ind w:left="-120" w:leftChars="-50" w:right="-120" w:rightChars="-50"/>
                    <w:jc w:val="center"/>
                    <w:rPr>
                      <w:rFonts w:hint="default" w:ascii="Times New Roman" w:hAnsi="Times New Roman" w:cs="Times New Roman"/>
                      <w:sz w:val="15"/>
                      <w:szCs w:val="15"/>
                    </w:rPr>
                  </w:pPr>
                  <w:r>
                    <w:rPr>
                      <w:rFonts w:hint="default" w:ascii="Times New Roman" w:hAnsi="Times New Roman" w:cs="Times New Roman"/>
                      <w:sz w:val="15"/>
                      <w:szCs w:val="15"/>
                    </w:rPr>
                    <w:t>0.45</w:t>
                  </w:r>
                </w:p>
                <w:p>
                  <w:pPr>
                    <w:ind w:left="-120" w:leftChars="-50" w:right="-120" w:rightChars="-50"/>
                    <w:jc w:val="center"/>
                    <w:rPr>
                      <w:rFonts w:hint="default" w:ascii="Times New Roman" w:hAnsi="Times New Roman" w:cs="Times New Roman"/>
                      <w:sz w:val="15"/>
                      <w:szCs w:val="15"/>
                    </w:rPr>
                  </w:pPr>
                  <w:r>
                    <w:rPr>
                      <w:rFonts w:hint="default" w:ascii="Times New Roman" w:hAnsi="Times New Roman" w:cs="Times New Roman"/>
                      <w:sz w:val="15"/>
                      <w:szCs w:val="15"/>
                    </w:rPr>
                    <w:t>（灌溉）</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4</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绿化用水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5</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初期雨水</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3"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3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66"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6</w:t>
                  </w:r>
                </w:p>
              </w:tc>
              <w:tc>
                <w:tcPr>
                  <w:tcW w:w="748"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合计</w:t>
                  </w:r>
                </w:p>
              </w:tc>
              <w:tc>
                <w:tcPr>
                  <w:tcW w:w="67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23.26</w:t>
                  </w:r>
                </w:p>
              </w:tc>
              <w:tc>
                <w:tcPr>
                  <w:tcW w:w="670"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26.67</w:t>
                  </w:r>
                </w:p>
              </w:tc>
              <w:tc>
                <w:tcPr>
                  <w:tcW w:w="90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123.06</w:t>
                  </w:r>
                </w:p>
              </w:tc>
              <w:tc>
                <w:tcPr>
                  <w:tcW w:w="713" w:type="dxa"/>
                  <w:tcBorders>
                    <w:tl2br w:val="nil"/>
                    <w:tr2bl w:val="nil"/>
                  </w:tcBorders>
                  <w:vAlign w:val="center"/>
                </w:tcPr>
                <w:p>
                  <w:pPr>
                    <w:jc w:val="center"/>
                    <w:rPr>
                      <w:rFonts w:hint="default" w:ascii="Times New Roman" w:hAnsi="Times New Roman" w:eastAsia="等线" w:cs="Times New Roman"/>
                      <w:sz w:val="15"/>
                      <w:szCs w:val="15"/>
                    </w:rPr>
                  </w:pPr>
                  <w:r>
                    <w:rPr>
                      <w:rFonts w:hint="default" w:ascii="Times New Roman" w:hAnsi="Times New Roman" w:eastAsia="等线" w:cs="Times New Roman"/>
                      <w:sz w:val="15"/>
                      <w:szCs w:val="15"/>
                    </w:rPr>
                    <w:t>172.99</w:t>
                  </w:r>
                </w:p>
              </w:tc>
              <w:tc>
                <w:tcPr>
                  <w:tcW w:w="91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eastAsia="等线" w:cs="Times New Roman"/>
                      <w:sz w:val="15"/>
                      <w:szCs w:val="15"/>
                    </w:rPr>
                    <w:t>36.11</w:t>
                  </w:r>
                </w:p>
              </w:tc>
              <w:tc>
                <w:tcPr>
                  <w:tcW w:w="734" w:type="dxa"/>
                  <w:tcBorders>
                    <w:tl2br w:val="nil"/>
                    <w:tr2bl w:val="nil"/>
                  </w:tcBorders>
                  <w:vAlign w:val="center"/>
                </w:tcPr>
                <w:p>
                  <w:pPr>
                    <w:jc w:val="center"/>
                    <w:rPr>
                      <w:rFonts w:hint="default" w:ascii="Times New Roman" w:hAnsi="Times New Roman" w:eastAsia="等线" w:cs="Times New Roman"/>
                      <w:sz w:val="15"/>
                      <w:szCs w:val="15"/>
                    </w:rPr>
                  </w:pPr>
                  <w:r>
                    <w:rPr>
                      <w:rFonts w:hint="default" w:ascii="Times New Roman" w:hAnsi="Times New Roman" w:eastAsia="等线" w:cs="Times New Roman"/>
                      <w:sz w:val="15"/>
                      <w:szCs w:val="15"/>
                    </w:rPr>
                    <w:t>13.37</w:t>
                  </w:r>
                </w:p>
              </w:tc>
              <w:tc>
                <w:tcPr>
                  <w:tcW w:w="770" w:type="dxa"/>
                  <w:tcBorders>
                    <w:tl2br w:val="nil"/>
                    <w:tr2bl w:val="nil"/>
                  </w:tcBorders>
                  <w:vAlign w:val="center"/>
                </w:tcPr>
                <w:p>
                  <w:pPr>
                    <w:jc w:val="center"/>
                    <w:rPr>
                      <w:rFonts w:hint="default" w:ascii="Times New Roman" w:hAnsi="Times New Roman" w:eastAsia="等线" w:cs="Times New Roman"/>
                      <w:sz w:val="15"/>
                      <w:szCs w:val="15"/>
                      <w:lang w:val="en-US" w:eastAsia="zh-CN"/>
                    </w:rPr>
                  </w:pPr>
                  <w:r>
                    <w:rPr>
                      <w:rFonts w:hint="default" w:ascii="Times New Roman" w:hAnsi="Times New Roman" w:eastAsia="等线" w:cs="Times New Roman"/>
                      <w:sz w:val="15"/>
                      <w:szCs w:val="15"/>
                      <w:lang w:val="en-US" w:eastAsia="zh-CN"/>
                    </w:rPr>
                    <w:t>123.06</w:t>
                  </w:r>
                </w:p>
              </w:tc>
              <w:tc>
                <w:tcPr>
                  <w:tcW w:w="672"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0.45</w:t>
                  </w:r>
                </w:p>
              </w:tc>
              <w:tc>
                <w:tcPr>
                  <w:tcW w:w="714" w:type="dxa"/>
                  <w:tcBorders>
                    <w:tl2br w:val="nil"/>
                    <w:tr2bl w:val="nil"/>
                  </w:tcBorders>
                  <w:vAlign w:val="center"/>
                </w:tcPr>
                <w:p>
                  <w:pPr>
                    <w:jc w:val="center"/>
                    <w:rPr>
                      <w:rFonts w:hint="default" w:ascii="Times New Roman" w:hAnsi="Times New Roman" w:cs="Times New Roman"/>
                      <w:sz w:val="15"/>
                      <w:szCs w:val="15"/>
                    </w:rPr>
                  </w:pPr>
                  <w:r>
                    <w:rPr>
                      <w:rFonts w:hint="default" w:ascii="Times New Roman" w:hAnsi="Times New Roman" w:cs="Times New Roman"/>
                      <w:sz w:val="15"/>
                      <w:szCs w:val="15"/>
                    </w:rPr>
                    <w:t>172.99</w:t>
                  </w:r>
                </w:p>
              </w:tc>
            </w:tr>
          </w:tbl>
          <w:p>
            <w:pPr>
              <w:pStyle w:val="34"/>
              <w:spacing w:before="120"/>
              <w:jc w:val="both"/>
              <w:rPr>
                <w:rFonts w:hint="default" w:ascii="Times New Roman" w:hAnsi="Times New Roman" w:cs="Times New Roman"/>
                <w:b/>
                <w:bCs/>
                <w:sz w:val="21"/>
                <w:szCs w:val="21"/>
              </w:rPr>
            </w:pPr>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项目运营期全厂水平衡见图2.2-2：</w:t>
            </w:r>
          </w:p>
          <w:p>
            <w:pPr>
              <w:pStyle w:val="76"/>
              <w:ind w:firstLine="0" w:firstLineChars="0"/>
              <w:jc w:val="center"/>
              <w:rPr>
                <w:rFonts w:hint="default" w:ascii="Times New Roman" w:hAnsi="Times New Roman" w:cs="Times New Roman"/>
                <w:snapToGrid w:val="0"/>
              </w:rPr>
            </w:pPr>
            <w:r>
              <w:rPr>
                <w:rFonts w:hint="default" w:ascii="Times New Roman" w:hAnsi="Times New Roman" w:cs="Times New Roman"/>
                <w:snapToGrid w:val="0"/>
              </w:rPr>
              <w:drawing>
                <wp:inline distT="0" distB="0" distL="114300" distR="114300">
                  <wp:extent cx="4878070" cy="3451225"/>
                  <wp:effectExtent l="0" t="0" r="17780" b="15875"/>
                  <wp:docPr id="68" name="图片 68" descr="全厂水平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全厂水平衡图"/>
                          <pic:cNvPicPr>
                            <a:picLocks noChangeAspect="1"/>
                          </pic:cNvPicPr>
                        </pic:nvPicPr>
                        <pic:blipFill>
                          <a:blip r:embed="rId11"/>
                          <a:srcRect l="5827" t="5778" r="6091" b="6009"/>
                          <a:stretch>
                            <a:fillRect/>
                          </a:stretch>
                        </pic:blipFill>
                        <pic:spPr>
                          <a:xfrm>
                            <a:off x="0" y="0"/>
                            <a:ext cx="4878070" cy="3451225"/>
                          </a:xfrm>
                          <a:prstGeom prst="rect">
                            <a:avLst/>
                          </a:prstGeom>
                        </pic:spPr>
                      </pic:pic>
                    </a:graphicData>
                  </a:graphic>
                </wp:inline>
              </w:drawing>
            </w:r>
          </w:p>
          <w:p>
            <w:pPr>
              <w:pStyle w:val="2"/>
              <w:rPr>
                <w:rFonts w:hint="default" w:ascii="Times New Roman" w:hAnsi="Times New Roman" w:cs="Times New Roman"/>
                <w:color w:val="auto"/>
              </w:rPr>
            </w:pPr>
            <w:r>
              <w:rPr>
                <w:rFonts w:hint="default" w:ascii="Times New Roman" w:hAnsi="Times New Roman" w:cs="Times New Roman"/>
                <w:color w:val="auto"/>
              </w:rPr>
              <w:t>图2.2-2项目全厂水平衡示意图（单位：m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p>
            <w:pPr>
              <w:spacing w:line="400" w:lineRule="exact"/>
              <w:rPr>
                <w:rFonts w:hint="default" w:ascii="Times New Roman" w:hAnsi="Times New Roman" w:eastAsia="黑体" w:cs="Times New Roman"/>
                <w:b/>
                <w:bCs/>
              </w:rPr>
            </w:pPr>
            <w:r>
              <w:rPr>
                <w:rFonts w:hint="default" w:ascii="Times New Roman" w:hAnsi="Times New Roman" w:eastAsia="黑体" w:cs="Times New Roman"/>
                <w:b/>
                <w:bCs/>
              </w:rPr>
              <w:t>2.2.9平面布局合理性</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本项目位于大田县武陵乡大石村</w:t>
            </w:r>
            <w:r>
              <w:rPr>
                <w:rFonts w:hint="default" w:ascii="Times New Roman" w:hAnsi="Times New Roman" w:cs="Times New Roman"/>
                <w:spacing w:val="1"/>
              </w:rPr>
              <w:t>，厂区依山而建，厂区</w:t>
            </w:r>
            <w:r>
              <w:rPr>
                <w:rFonts w:hint="default" w:ascii="Times New Roman" w:hAnsi="Times New Roman" w:cs="Times New Roman"/>
              </w:rPr>
              <w:t>地势西北高、东南低，厂区平面布局</w:t>
            </w:r>
            <w:r>
              <w:rPr>
                <w:rFonts w:hint="default" w:ascii="Times New Roman" w:hAnsi="Times New Roman" w:cs="Times New Roman"/>
                <w:spacing w:val="1"/>
              </w:rPr>
              <w:t>充分利用地形地势特点，并结合工艺流程进行布局，由高至低</w:t>
            </w:r>
            <w:r>
              <w:rPr>
                <w:rFonts w:hint="default" w:ascii="Times New Roman" w:hAnsi="Times New Roman" w:cs="Times New Roman"/>
              </w:rPr>
              <w:t>依次布置原料堆放场、生产区（破碎、筛分、干磁选、分级、湿球磨、分级、湿磁选等）、铁粉仓、尾渣处置场、危废暂存间等，废水处理区布置在厂区南部地势较低处，有利于废水收集。</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厂区平面布局考虑了厂区地形地势和工艺流程特点，有利于物料按工艺流程输送，达到节能、降耗的目的；生产区域远离大石村，且与大石村之间有山体阻隔，对大石村影响不大。本项目厂区布局功能分区明确，布局合理。</w:t>
            </w:r>
          </w:p>
          <w:p>
            <w:pPr>
              <w:pStyle w:val="6"/>
              <w:ind w:left="311"/>
              <w:rPr>
                <w:rFonts w:hint="default" w:ascii="Times New Roman" w:hAnsi="Times New Roman" w:cs="Times New Roman"/>
                <w:color w:val="auto"/>
              </w:rPr>
            </w:pPr>
            <w:r>
              <w:rPr>
                <w:rFonts w:hint="default" w:ascii="Times New Roman" w:hAnsi="Times New Roman" w:cs="Times New Roman"/>
                <w:color w:val="auto"/>
              </w:rPr>
              <w:t>2.3工艺流程和产排污环节</w:t>
            </w:r>
          </w:p>
          <w:p>
            <w:pPr>
              <w:spacing w:line="400" w:lineRule="exact"/>
              <w:rPr>
                <w:rFonts w:hint="default" w:ascii="Times New Roman" w:hAnsi="Times New Roman" w:eastAsia="黑体" w:cs="Times New Roman"/>
                <w:b/>
                <w:bCs/>
              </w:rPr>
            </w:pPr>
            <w:r>
              <w:rPr>
                <w:rFonts w:hint="default" w:ascii="Times New Roman" w:hAnsi="Times New Roman" w:eastAsia="黑体" w:cs="Times New Roman"/>
                <w:b/>
                <w:bCs/>
              </w:rPr>
              <w:t>2.3.1工艺流程</w:t>
            </w:r>
          </w:p>
          <w:p>
            <w:pPr>
              <w:ind w:firstLine="482"/>
              <w:rPr>
                <w:rFonts w:hint="default" w:ascii="Times New Roman" w:hAnsi="Times New Roman" w:eastAsia="黑体" w:cs="Times New Roman"/>
                <w:b/>
                <w:bCs/>
              </w:rPr>
            </w:pPr>
          </w:p>
          <w:p>
            <w:pPr>
              <w:pStyle w:val="2"/>
              <w:jc w:val="both"/>
              <w:rPr>
                <w:rFonts w:hint="default" w:ascii="Times New Roman" w:hAnsi="Times New Roman" w:cs="Times New Roman"/>
                <w:color w:val="auto"/>
              </w:rPr>
            </w:pPr>
            <w:r>
              <w:rPr>
                <w:rFonts w:hint="default" w:ascii="Times New Roman" w:hAnsi="Times New Roman" w:cs="Times New Roman"/>
                <w:color w:val="auto"/>
              </w:rPr>
              <w:t>项目工艺流程如下图：</w:t>
            </w:r>
          </w:p>
          <w:p>
            <w:pPr>
              <w:pStyle w:val="2"/>
              <w:rPr>
                <w:rFonts w:hint="default" w:ascii="Times New Roman" w:hAnsi="Times New Roman" w:cs="Times New Roman"/>
              </w:rPr>
            </w:pPr>
            <w:r>
              <w:rPr>
                <w:rFonts w:hint="default" w:ascii="Times New Roman" w:hAnsi="Times New Roman" w:cs="Times New Roman"/>
              </w:rPr>
              <w:drawing>
                <wp:inline distT="0" distB="0" distL="114300" distR="114300">
                  <wp:extent cx="4922520" cy="4711700"/>
                  <wp:effectExtent l="0" t="0" r="11430" b="12700"/>
                  <wp:docPr id="85" name="图片 85" descr="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工艺流程图"/>
                          <pic:cNvPicPr>
                            <a:picLocks noChangeAspect="1"/>
                          </pic:cNvPicPr>
                        </pic:nvPicPr>
                        <pic:blipFill>
                          <a:blip r:embed="rId12"/>
                          <a:srcRect l="20043" t="4871" r="13186" b="4676"/>
                          <a:stretch>
                            <a:fillRect/>
                          </a:stretch>
                        </pic:blipFill>
                        <pic:spPr>
                          <a:xfrm>
                            <a:off x="0" y="0"/>
                            <a:ext cx="4922520" cy="4711700"/>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hint="default" w:ascii="Times New Roman" w:hAnsi="Times New Roman" w:eastAsia="黑体" w:cs="Times New Roman"/>
                <w:b w:val="0"/>
                <w:bCs w:val="0"/>
              </w:rPr>
            </w:pPr>
            <w:r>
              <w:rPr>
                <w:rFonts w:hint="default" w:ascii="Times New Roman" w:hAnsi="Times New Roman" w:eastAsia="黑体" w:cs="Times New Roman"/>
                <w:bCs w:val="0"/>
                <w:sz w:val="21"/>
                <w:szCs w:val="21"/>
              </w:rPr>
              <w:t>图2.3-1项目工艺流程示意图</w:t>
            </w:r>
          </w:p>
          <w:p>
            <w:pPr>
              <w:spacing w:line="440" w:lineRule="exact"/>
              <w:rPr>
                <w:rFonts w:hint="default" w:ascii="Times New Roman" w:hAnsi="Times New Roman" w:cs="Times New Roman"/>
              </w:rPr>
            </w:pPr>
            <w:r>
              <w:rPr>
                <w:rFonts w:hint="default" w:ascii="Times New Roman" w:hAnsi="Times New Roman" w:cs="Times New Roman"/>
              </w:rPr>
              <w:t xml:space="preserve">工艺流程、产污及防治措施说明： </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①原料堆存：购置的铸铁渣、铸造砂、转炉渣及钢渣等原料，通过车辆运输至原料堆场北侧道路上，利用地势高差将原料卸入原料堆场；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产污及抑尘措施：该工序原料装卸产生装卸粉尘G1，洒水抑尘。原料堆场采取半封闭围挡、设置喷头喷雾降尘，基本不产生堆放扬尘。</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②破碎、筛分：原料堆场中的铸铁渣、铸造砂等原料通过铲车运输至给料机后送入破碎机进行初破，破碎后的物料由皮带送入振动筛筛分。由于物料的重量、形状各不相同，大块物料（粒径≥3cm）和小块物料（粒径0-3cm）受到振动后会被精确分离，小块物料直接经皮带输送至干式磁选机，大块物料则由皮带输送至破碎机进行二次破碎，二次破碎后再经皮带输送进入干式磁选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产污：铲车运输产生运输扬尘G2；破碎、筛分工序产生粉尘G3-G5，破碎及筛分工序均采取了喷淋抑尘措施，物料表层含水率较高，皮带输送过程基本不产生粉尘，可不考虑；设备运行产生设备噪声。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措施：破碎、筛分粉尘采取围挡及水喷淋措施抑尘，在破碎机进料口上方、设备内和振动筛上方分别设置喷淋水管，为保证有效抑尘，初破喷淋水量为0.02m</w:t>
            </w:r>
            <w:r>
              <w:rPr>
                <w:rFonts w:hint="default" w:ascii="Times New Roman" w:hAnsi="Times New Roman" w:cs="Times New Roman"/>
                <w:vertAlign w:val="superscript"/>
              </w:rPr>
              <w:t>3</w:t>
            </w:r>
            <w:r>
              <w:rPr>
                <w:rFonts w:hint="default" w:ascii="Times New Roman" w:hAnsi="Times New Roman" w:cs="Times New Roman"/>
              </w:rPr>
              <w:t>/t物料，保证物料</w:t>
            </w:r>
            <w:r>
              <w:rPr>
                <w:rFonts w:hint="default" w:ascii="Times New Roman" w:hAnsi="Times New Roman" w:cs="Times New Roman"/>
                <w:lang w:val="en-US" w:eastAsia="zh-CN"/>
              </w:rPr>
              <w:t>表层</w:t>
            </w:r>
            <w:r>
              <w:rPr>
                <w:rFonts w:hint="default" w:ascii="Times New Roman" w:hAnsi="Times New Roman" w:cs="Times New Roman"/>
              </w:rPr>
              <w:t>含水率达到10%</w:t>
            </w:r>
            <w:r>
              <w:rPr>
                <w:rFonts w:hint="default" w:ascii="Times New Roman" w:hAnsi="Times New Roman" w:cs="Times New Roman"/>
                <w:lang w:val="en-US" w:eastAsia="zh-CN"/>
              </w:rPr>
              <w:t>以上</w:t>
            </w:r>
            <w:r>
              <w:rPr>
                <w:rFonts w:hint="default" w:ascii="Times New Roman" w:hAnsi="Times New Roman" w:cs="Times New Roman"/>
              </w:rPr>
              <w:t>，后续筛分及二破可减少喷淋水量。喷淋水管朝向破碎及筛分作业区，并与破碎作业端及筛面保持一定距离，保证喷淋水能覆盖破碎、筛分作业区。</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③干式磁选：经过破碎、筛分后的物料由皮带运至干式磁选机，含铁的磁性物料受重力和磁力的合力作用，快速落到滚筒上，并吸附在筒体表面，物料吸附在筒体表面旋转，直到没有磁力后落下，由皮带运至料仓；不含铁的非磁性物料在重力的作用下落在干式磁选机底部的收集仓内，然后送入尾渣堆场暂存后外售；</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由于破碎、筛分均采取了喷淋抑尘措施，进入干式磁选机的物料表层含水率较高，干选过程中物料与底部的收集仓之间落差小，非磁性物料收集过程基本不产生粉尘，故干式磁选工序几乎不产生粉尘。本工序产污主要为设备运行产生噪声及干式磁选产生的磁选尾渣</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措施：尾渣暂存于尾渣堆场后外售给制砖厂。</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④给料、湿式球磨：经干式磁选机筛选出的磁性物料存于中转料仓，由圆盘给料机（密闭）通过输送槽送入湿式球磨机中，球磨机按进料的一定比例加入水，通过球磨机中的研磨介质（不同规格钢球）对物料进行研磨运动来破碎物料，物料经研磨后进入分级机。球磨机为连续进料，连续出料，用水量约为物料的30%。球磨机物料处理量33.33t/h，用水量约为10t/h。</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产污：物料经球磨机球磨后与水一并进入分级机，球磨过程中不产生废水；球磨过程会产生设备噪声。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⑤分级：由湿式球磨机排出的物料送入分级机。物料通过分级机进料口进入螺旋输送器，由于螺旋输送器的带动，使物料沿着输送器旋转，当物料到达螺旋分级机的分级室时，离心力将物料分为粗物料（1-</w:t>
            </w:r>
            <w:r>
              <w:rPr>
                <w:rFonts w:hint="default" w:ascii="Times New Roman" w:hAnsi="Times New Roman" w:cs="Times New Roman"/>
                <w:lang w:val="en-US" w:eastAsia="zh-CN"/>
              </w:rPr>
              <w:t>3</w:t>
            </w:r>
            <w:r>
              <w:rPr>
                <w:rFonts w:hint="default" w:ascii="Times New Roman" w:hAnsi="Times New Roman" w:cs="Times New Roman"/>
              </w:rPr>
              <w:t>cm）和细物料（＜1cm），粗物料沿着螺旋输送器运动返回湿式球磨机球磨，细物料被离心力作用排出，进入中转仓；</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产污：物料经分级机分级后与水一并进入中转仓，然后通过管道送入湿式磁选机，不产生废水；分级机运行过程中会产生噪声。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⑥湿式磁选：中转仓中的物料通过管道送入湿式磁选机的水槽中，磁滚筒放置在水槽内，通过控制电磁铁的通电产生磁场，因磁滚筒壁面为铁磁性材料，水槽中物料的磁性颗粒会被吸附在磁滚筒上，非磁性物料则不受作用，继续被水流冲刷着流动，随后通过磁选渣管道送入磁选尾渣暂存池。磁性物料随着磁滚筒转到磁系边缘磁力最弱处，在磁选机水管喷出的冲洗水的作用下通过管道卸到铁粉仓中</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产污：湿式磁选工序磁性物料（含水）通过管道进铁粉仓，非磁性物料（含水）通过管道送入磁选尾渣暂存池，不产生废水；磁选过程会产生噪声。</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⑦铁粉堆干、尾渣脱水</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铁粉仓中的铁粉，经铁粉仓堆放干1-2天左右，产生的渗滤水经截留沟后导排至“隔油池+沉淀池”处理后回用。</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磁选尾渣则通过磁选渣管道送入磁选渣暂存池暂存，经脱水筛旋流器筛分出含水率不同的粗、细磁选尾渣，粗磁选渣可直接外售，细磁选渣经浓缩罐及板框压滤脱水后暂存外售。浓缩罐产生的废水和板框压滤水分别通过管道泵入“隔油池+沉淀池”处理。</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产污：铁粉堆干产生渗滤水W1、浓缩罐产生废水W2，板框压滤机产生废水W3；压滤机产生废滤布；脱水筛、板框压滤机产生磁选尾渣。</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措施：废水进入“隔油池+沉淀池”处理；废滤布由可回收利用厂家回收；磁选尾渣委托可回收利用单位处置。</w:t>
            </w:r>
          </w:p>
          <w:p>
            <w:pPr>
              <w:adjustRightInd w:val="0"/>
              <w:snapToGrid w:val="0"/>
              <w:spacing w:line="440" w:lineRule="exact"/>
              <w:ind w:firstLine="480" w:firstLineChars="200"/>
              <w:rPr>
                <w:rFonts w:hint="default" w:ascii="Times New Roman" w:hAnsi="Times New Roman" w:cs="Times New Roman"/>
              </w:rPr>
            </w:pPr>
            <w:r>
              <w:rPr>
                <w:rFonts w:hint="default" w:ascii="Times New Roman" w:hAnsi="Times New Roman" w:cs="Times New Roman"/>
              </w:rPr>
              <w:t>⑧产品外售：铁粉及磁选尾渣分别在铁粉仓及尾渣堆场暂存1-2天外运出售。装卸及运输过程产生少量粉尘。</w:t>
            </w:r>
          </w:p>
          <w:p>
            <w:pPr>
              <w:pStyle w:val="3"/>
              <w:spacing w:line="400" w:lineRule="exact"/>
              <w:ind w:right="-120" w:firstLine="0" w:firstLineChars="0"/>
              <w:rPr>
                <w:rFonts w:hint="default" w:ascii="Times New Roman" w:hAnsi="Times New Roman" w:eastAsia="黑体" w:cs="Times New Roman"/>
                <w:b/>
                <w:bCs/>
              </w:rPr>
            </w:pPr>
            <w:r>
              <w:rPr>
                <w:rFonts w:hint="default" w:ascii="Times New Roman" w:hAnsi="Times New Roman" w:eastAsia="黑体" w:cs="Times New Roman"/>
                <w:b/>
                <w:bCs/>
              </w:rPr>
              <w:t>2.3.2产污环节分析</w:t>
            </w:r>
          </w:p>
          <w:p>
            <w:pPr>
              <w:ind w:firstLine="480" w:firstLineChars="200"/>
              <w:rPr>
                <w:rFonts w:hint="default" w:ascii="Times New Roman" w:hAnsi="Times New Roman" w:cs="Times New Roman"/>
              </w:rPr>
            </w:pPr>
            <w:r>
              <w:rPr>
                <w:rFonts w:hint="default" w:ascii="Times New Roman" w:hAnsi="Times New Roman" w:cs="Times New Roman"/>
              </w:rPr>
              <w:t>卓阳达公司产污分析情况见下表：</w:t>
            </w:r>
          </w:p>
          <w:p>
            <w:pPr>
              <w:pStyle w:val="2"/>
              <w:rPr>
                <w:rFonts w:hint="default" w:ascii="Times New Roman" w:hAnsi="Times New Roman" w:cs="Times New Roman"/>
              </w:rPr>
            </w:pPr>
          </w:p>
          <w:p>
            <w:pPr>
              <w:pStyle w:val="3"/>
              <w:ind w:right="-120" w:firstLine="240"/>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34"/>
              <w:spacing w:before="120"/>
              <w:ind w:firstLine="422"/>
              <w:rPr>
                <w:rFonts w:hint="default" w:ascii="Times New Roman" w:hAnsi="Times New Roman" w:cs="Times New Roman"/>
                <w:b/>
                <w:bCs/>
                <w:sz w:val="21"/>
                <w:szCs w:val="21"/>
              </w:rPr>
            </w:pPr>
            <w:r>
              <w:rPr>
                <w:rFonts w:hint="default" w:ascii="Times New Roman" w:hAnsi="Times New Roman" w:cs="Times New Roman"/>
                <w:b/>
                <w:bCs/>
                <w:sz w:val="21"/>
                <w:szCs w:val="21"/>
              </w:rPr>
              <w:t>表2.3-1产排污分析情况汇总表</w:t>
            </w:r>
          </w:p>
          <w:tbl>
            <w:tblPr>
              <w:tblStyle w:val="25"/>
              <w:tblW w:w="799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442"/>
              <w:gridCol w:w="1448"/>
              <w:gridCol w:w="1101"/>
              <w:gridCol w:w="1794"/>
              <w:gridCol w:w="1916"/>
              <w:gridCol w:w="129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项目</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污染类型</w:t>
                  </w:r>
                </w:p>
              </w:tc>
              <w:tc>
                <w:tcPr>
                  <w:tcW w:w="2895" w:type="dxa"/>
                  <w:gridSpan w:val="2"/>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产污环节</w:t>
                  </w:r>
                </w:p>
              </w:tc>
              <w:tc>
                <w:tcPr>
                  <w:tcW w:w="1916" w:type="dxa"/>
                  <w:vAlign w:val="center"/>
                </w:tcPr>
                <w:p>
                  <w:pPr>
                    <w:keepNext/>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产生污染的主要设备/单元</w:t>
                  </w:r>
                </w:p>
              </w:tc>
              <w:tc>
                <w:tcPr>
                  <w:tcW w:w="1298" w:type="dxa"/>
                  <w:vAlign w:val="center"/>
                </w:tcPr>
                <w:p>
                  <w:pPr>
                    <w:keepNext/>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主要污染因子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废气</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卸料粉尘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G1</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卸料</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原料堆场</w:t>
                  </w:r>
                </w:p>
              </w:tc>
              <w:tc>
                <w:tcPr>
                  <w:tcW w:w="129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运输扬尘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G2</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原料运输</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车辆</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G3</w:t>
                  </w:r>
                </w:p>
              </w:tc>
              <w:tc>
                <w:tcPr>
                  <w:tcW w:w="1794"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破碎机（初破）</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Merge w:val="continue"/>
                  <w:vAlign w:val="center"/>
                </w:tcPr>
                <w:p>
                  <w:pPr>
                    <w:widowControl/>
                    <w:spacing w:line="320" w:lineRule="exact"/>
                    <w:jc w:val="center"/>
                    <w:rPr>
                      <w:rFonts w:hint="default" w:ascii="Times New Roman" w:hAnsi="Times New Roman" w:cs="Times New Roman"/>
                      <w:szCs w:val="21"/>
                    </w:rPr>
                  </w:pP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G5</w:t>
                  </w:r>
                </w:p>
              </w:tc>
              <w:tc>
                <w:tcPr>
                  <w:tcW w:w="1794" w:type="dxa"/>
                  <w:vMerge w:val="continue"/>
                  <w:vAlign w:val="center"/>
                </w:tcPr>
                <w:p>
                  <w:pPr>
                    <w:widowControl/>
                    <w:spacing w:line="320" w:lineRule="exact"/>
                    <w:jc w:val="center"/>
                    <w:rPr>
                      <w:rFonts w:hint="default" w:ascii="Times New Roman" w:hAnsi="Times New Roman" w:cs="Times New Roman"/>
                      <w:szCs w:val="21"/>
                    </w:rPr>
                  </w:pP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破碎机（二破）</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筛分粉尘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G4</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筛分</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振动筛（一筛）</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装卸扬尘</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G6</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装卸</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尾渣堆场、铁粉仓</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rPr>
                  </w:pPr>
                  <w:r>
                    <w:rPr>
                      <w:rFonts w:hint="default" w:ascii="Times New Roman" w:hAnsi="Times New Roman" w:cs="Times New Roman"/>
                    </w:rPr>
                    <w:t>废水</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铁粉堆干废水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W1</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堆干</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铁粉仓</w:t>
                  </w:r>
                </w:p>
              </w:tc>
              <w:tc>
                <w:tcPr>
                  <w:tcW w:w="1298"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COD、悬浮物、石油类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浓缩罐废水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 xml:space="preserve">W2 </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浓缩罐</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压滤废水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W3</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板框压滤机</w:t>
                  </w:r>
                </w:p>
              </w:tc>
              <w:tc>
                <w:tcPr>
                  <w:tcW w:w="1298" w:type="dxa"/>
                  <w:vMerge w:val="continue"/>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生活污水</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员工生活</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COD、氨氮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restart"/>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固废</w:t>
                  </w: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废机油</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设备运行</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破碎机、分级机、磁选机等</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浮油</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隔油</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废水处理设施</w:t>
                  </w:r>
                </w:p>
              </w:tc>
              <w:tc>
                <w:tcPr>
                  <w:tcW w:w="1298" w:type="dxa"/>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废滤布</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压滤</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板框压滤机</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污泥</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污水处理</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废水处理设施</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尾渣</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干选、磁选</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干式磁选机、湿式磁选机</w:t>
                  </w:r>
                </w:p>
              </w:tc>
              <w:tc>
                <w:tcPr>
                  <w:tcW w:w="1298" w:type="dxa"/>
                  <w:vAlign w:val="center"/>
                </w:tcPr>
                <w:p>
                  <w:pPr>
                    <w:widowControl/>
                    <w:spacing w:line="320" w:lineRule="exact"/>
                    <w:jc w:val="center"/>
                    <w:rPr>
                      <w:rFonts w:hint="default" w:ascii="Times New Roman" w:hAnsi="Times New Roman" w:cs="Times New Roman"/>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442" w:type="dxa"/>
                  <w:vMerge w:val="continue"/>
                  <w:vAlign w:val="center"/>
                </w:tcPr>
                <w:p>
                  <w:pPr>
                    <w:widowControl/>
                    <w:spacing w:line="320" w:lineRule="exact"/>
                    <w:jc w:val="center"/>
                    <w:rPr>
                      <w:rFonts w:hint="default" w:ascii="Times New Roman" w:hAnsi="Times New Roman" w:cs="Times New Roman"/>
                      <w:szCs w:val="21"/>
                    </w:rPr>
                  </w:pPr>
                </w:p>
              </w:tc>
              <w:tc>
                <w:tcPr>
                  <w:tcW w:w="144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职工生活</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生活垃圾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890" w:type="dxa"/>
                  <w:gridSpan w:val="2"/>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噪声</w:t>
                  </w:r>
                </w:p>
              </w:tc>
              <w:tc>
                <w:tcPr>
                  <w:tcW w:w="1101"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794"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生产设备</w:t>
                  </w:r>
                </w:p>
              </w:tc>
              <w:tc>
                <w:tcPr>
                  <w:tcW w:w="1916"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破碎机、分级机、磁选机等</w:t>
                  </w:r>
                </w:p>
              </w:tc>
              <w:tc>
                <w:tcPr>
                  <w:tcW w:w="1298" w:type="dxa"/>
                  <w:vAlign w:val="center"/>
                </w:tcPr>
                <w:p>
                  <w:pPr>
                    <w:widowControl/>
                    <w:spacing w:line="320" w:lineRule="exact"/>
                    <w:jc w:val="center"/>
                    <w:rPr>
                      <w:rFonts w:hint="default" w:ascii="Times New Roman" w:hAnsi="Times New Roman" w:cs="Times New Roman"/>
                      <w:szCs w:val="21"/>
                    </w:rPr>
                  </w:pPr>
                  <w:r>
                    <w:rPr>
                      <w:rFonts w:hint="default" w:ascii="Times New Roman" w:hAnsi="Times New Roman" w:cs="Times New Roman"/>
                      <w:szCs w:val="21"/>
                    </w:rPr>
                    <w:t>等效噪声级</w:t>
                  </w:r>
                </w:p>
              </w:tc>
            </w:tr>
          </w:tbl>
          <w:p>
            <w:pPr>
              <w:pStyle w:val="3"/>
              <w:ind w:right="-120" w:firstLine="0" w:firstLineChars="0"/>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0" w:hRule="atLeast"/>
          <w:jc w:val="center"/>
        </w:trPr>
        <w:tc>
          <w:tcPr>
            <w:tcW w:w="462" w:type="pct"/>
            <w:tcBorders>
              <w:top w:val="single" w:color="auto" w:sz="8" w:space="0"/>
            </w:tcBorders>
            <w:vAlign w:val="center"/>
          </w:tcPr>
          <w:p>
            <w:pPr>
              <w:pStyle w:val="23"/>
              <w:adjustRightInd w:val="0"/>
              <w:snapToGrid w:val="0"/>
              <w:spacing w:before="0" w:beforeAutospacing="0" w:after="0" w:afterAutospacing="0"/>
              <w:ind w:firstLine="420"/>
              <w:jc w:val="center"/>
              <w:rPr>
                <w:rFonts w:hint="default" w:ascii="Times New Roman" w:hAnsi="Times New Roman" w:cs="Times New Roman"/>
                <w:sz w:val="21"/>
                <w:szCs w:val="21"/>
              </w:rPr>
            </w:pPr>
          </w:p>
        </w:tc>
        <w:tc>
          <w:tcPr>
            <w:tcW w:w="4537" w:type="pct"/>
            <w:vMerge w:val="continue"/>
          </w:tcPr>
          <w:p>
            <w:pPr>
              <w:pStyle w:val="2"/>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75" w:hRule="atLeast"/>
          <w:jc w:val="center"/>
        </w:trPr>
        <w:tc>
          <w:tcPr>
            <w:tcW w:w="462" w:type="pct"/>
            <w:vAlign w:val="center"/>
          </w:tcPr>
          <w:p>
            <w:pPr>
              <w:pStyle w:val="23"/>
              <w:adjustRightInd w:val="0"/>
              <w:snapToGrid w:val="0"/>
              <w:spacing w:before="0" w:beforeAutospacing="0" w:after="0" w:afterAutospacing="0"/>
              <w:jc w:val="both"/>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4537" w:type="pct"/>
          </w:tcPr>
          <w:p>
            <w:pPr>
              <w:pStyle w:val="6"/>
              <w:ind w:left="311"/>
              <w:rPr>
                <w:rFonts w:hint="default" w:ascii="Times New Roman" w:hAnsi="Times New Roman" w:cs="Times New Roman"/>
                <w:color w:val="auto"/>
              </w:rPr>
            </w:pPr>
            <w:bookmarkStart w:id="6" w:name="_Toc66950656"/>
            <w:r>
              <w:rPr>
                <w:rFonts w:hint="default" w:ascii="Times New Roman" w:hAnsi="Times New Roman" w:cs="Times New Roman"/>
                <w:color w:val="auto"/>
              </w:rPr>
              <w:t>2.4与项目有关的原有环境污染问题</w:t>
            </w:r>
            <w:bookmarkEnd w:id="6"/>
          </w:p>
          <w:p>
            <w:pPr>
              <w:spacing w:line="440" w:lineRule="exact"/>
              <w:ind w:firstLine="480" w:firstLineChars="200"/>
              <w:rPr>
                <w:rFonts w:hint="default" w:ascii="Times New Roman" w:hAnsi="Times New Roman" w:cs="Times New Roman"/>
              </w:rPr>
            </w:pPr>
            <w:r>
              <w:rPr>
                <w:rFonts w:hint="default" w:ascii="Times New Roman" w:hAnsi="Times New Roman" w:cs="Times New Roman"/>
              </w:rPr>
              <w:t>本项目租用用地为岩盛公司原低品位矿烧结炉配套的原料堆场、破碎车间，租用车间为钢结构厂房，设置了顶棚，地面采取了硬化处理。租用的原料堆场、破碎车间涉及的物料为低品位铁矿，租用车间内物料已清运处置，地面无污水、固废等残留，没有发现场地污染的迹象，无与项目有关的原有污染问题。</w:t>
            </w:r>
          </w:p>
          <w:p>
            <w:pPr>
              <w:spacing w:line="440" w:lineRule="exact"/>
              <w:ind w:firstLine="480" w:firstLineChars="200"/>
              <w:rPr>
                <w:rFonts w:hint="default" w:ascii="Times New Roman" w:hAnsi="Times New Roman" w:cs="Times New Roman"/>
              </w:rPr>
            </w:pPr>
          </w:p>
          <w:p>
            <w:pPr>
              <w:pStyle w:val="39"/>
              <w:ind w:left="480" w:leftChars="200"/>
              <w:rPr>
                <w:rFonts w:hint="default" w:ascii="Times New Roman" w:hAnsi="Times New Roman" w:cs="Times New Roman"/>
                <w:color w:val="auto"/>
              </w:rPr>
            </w:pPr>
          </w:p>
        </w:tc>
      </w:tr>
    </w:tbl>
    <w:p>
      <w:pPr>
        <w:pStyle w:val="23"/>
        <w:ind w:firstLine="720"/>
        <w:jc w:val="center"/>
        <w:rPr>
          <w:rFonts w:ascii="Times New Roman" w:hAnsi="Times New Roman" w:eastAsia="黑体"/>
          <w:snapToGrid w:val="0"/>
          <w:sz w:val="36"/>
          <w:szCs w:val="36"/>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14" w:lineRule="auto"/>
        <w:ind w:firstLine="600"/>
        <w:jc w:val="center"/>
        <w:rPr>
          <w:rFonts w:ascii="Times New Roman" w:hAnsi="Times New Roman" w:eastAsia="黑体"/>
          <w:snapToGrid w:val="0"/>
          <w:sz w:val="30"/>
          <w:szCs w:val="30"/>
        </w:rPr>
      </w:pPr>
    </w:p>
    <w:p>
      <w:pPr>
        <w:pStyle w:val="23"/>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三、区域环境质量现状、环境保护目标及评价标准</w:t>
      </w:r>
    </w:p>
    <w:tbl>
      <w:tblPr>
        <w:tblStyle w:val="25"/>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8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3" w:hRule="atLeast"/>
          <w:jc w:val="center"/>
        </w:trPr>
        <w:tc>
          <w:tcPr>
            <w:tcW w:w="642"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区域</w:t>
            </w:r>
          </w:p>
          <w:p>
            <w:pPr>
              <w:adjustRightInd w:val="0"/>
              <w:snapToGrid w:val="0"/>
              <w:jc w:val="center"/>
              <w:rPr>
                <w:rFonts w:ascii="Times New Roman" w:hAnsi="Times New Roman"/>
                <w:kern w:val="0"/>
                <w:szCs w:val="21"/>
              </w:rPr>
            </w:pPr>
            <w:r>
              <w:rPr>
                <w:rFonts w:ascii="Times New Roman" w:hAnsi="Times New Roman"/>
                <w:kern w:val="0"/>
                <w:szCs w:val="21"/>
              </w:rPr>
              <w:t>环境</w:t>
            </w:r>
          </w:p>
          <w:p>
            <w:pPr>
              <w:adjustRightInd w:val="0"/>
              <w:snapToGrid w:val="0"/>
              <w:jc w:val="center"/>
              <w:rPr>
                <w:rFonts w:ascii="Times New Roman" w:hAnsi="Times New Roman"/>
                <w:kern w:val="0"/>
                <w:szCs w:val="21"/>
              </w:rPr>
            </w:pPr>
            <w:r>
              <w:rPr>
                <w:rFonts w:ascii="Times New Roman" w:hAnsi="Times New Roman"/>
                <w:kern w:val="0"/>
                <w:szCs w:val="21"/>
              </w:rPr>
              <w:t>质量</w:t>
            </w:r>
          </w:p>
          <w:p>
            <w:pPr>
              <w:adjustRightInd w:val="0"/>
              <w:snapToGrid w:val="0"/>
              <w:jc w:val="center"/>
              <w:rPr>
                <w:rFonts w:ascii="Times New Roman" w:hAnsi="Times New Roman"/>
                <w:kern w:val="0"/>
                <w:szCs w:val="21"/>
              </w:rPr>
            </w:pPr>
            <w:r>
              <w:rPr>
                <w:rFonts w:ascii="Times New Roman" w:hAnsi="Times New Roman"/>
                <w:kern w:val="0"/>
                <w:szCs w:val="21"/>
              </w:rPr>
              <w:t>现状</w:t>
            </w:r>
          </w:p>
        </w:tc>
        <w:tc>
          <w:tcPr>
            <w:tcW w:w="8348" w:type="dxa"/>
            <w:vAlign w:val="center"/>
          </w:tcPr>
          <w:p>
            <w:pPr>
              <w:pStyle w:val="6"/>
              <w:ind w:left="311"/>
              <w:rPr>
                <w:color w:val="auto"/>
              </w:rPr>
            </w:pPr>
            <w:r>
              <w:rPr>
                <w:color w:val="auto"/>
              </w:rPr>
              <w:t>3.1环境质量现状</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3.1.1大气环境</w:t>
            </w:r>
          </w:p>
          <w:p>
            <w:pPr>
              <w:pStyle w:val="3"/>
              <w:numPr>
                <w:ilvl w:val="0"/>
                <w:numId w:val="8"/>
              </w:numPr>
              <w:spacing w:line="430" w:lineRule="exact"/>
              <w:ind w:right="-120" w:firstLine="240"/>
              <w:rPr>
                <w:rFonts w:ascii="Times New Roman" w:hAnsi="Times New Roman"/>
              </w:rPr>
            </w:pPr>
            <w:r>
              <w:rPr>
                <w:rFonts w:ascii="Times New Roman" w:hAnsi="Times New Roman"/>
              </w:rPr>
              <w:t>大气环境功能区划及质量标准</w:t>
            </w:r>
          </w:p>
          <w:p>
            <w:pPr>
              <w:ind w:firstLine="480" w:firstLineChars="200"/>
            </w:pPr>
            <w:r>
              <w:rPr>
                <w:rFonts w:hint="eastAsia"/>
              </w:rPr>
              <w:t>①基本污染物</w:t>
            </w:r>
          </w:p>
          <w:p>
            <w:pPr>
              <w:spacing w:line="430" w:lineRule="exact"/>
              <w:ind w:firstLine="480" w:firstLineChars="200"/>
              <w:rPr>
                <w:rFonts w:ascii="Times New Roman" w:hAnsi="Times New Roman"/>
                <w:kern w:val="0"/>
                <w:szCs w:val="20"/>
              </w:rPr>
            </w:pPr>
            <w:r>
              <w:rPr>
                <w:rFonts w:ascii="Times New Roman" w:hAnsi="Times New Roman"/>
                <w:kern w:val="0"/>
                <w:szCs w:val="20"/>
              </w:rPr>
              <w:t>项目所处区域环境空气质量划为二类功能区，区域环境空气质量执行《环境空气质量标准》（GB3095-2012）二级标准</w:t>
            </w:r>
            <w:r>
              <w:rPr>
                <w:rFonts w:hint="eastAsia"/>
              </w:rPr>
              <w:t>及2018年修改单要求</w:t>
            </w:r>
            <w:r>
              <w:rPr>
                <w:rFonts w:ascii="Times New Roman" w:hAnsi="Times New Roman"/>
                <w:kern w:val="0"/>
                <w:szCs w:val="20"/>
              </w:rPr>
              <w:t>，见下表：</w:t>
            </w:r>
          </w:p>
          <w:p>
            <w:pPr>
              <w:pStyle w:val="4"/>
              <w:spacing w:after="60" w:line="260" w:lineRule="auto"/>
              <w:ind w:right="-120"/>
              <w:jc w:val="center"/>
              <w:rPr>
                <w:rFonts w:ascii="Times New Roman" w:hAnsi="Times New Roman" w:eastAsia="黑体"/>
                <w:sz w:val="24"/>
                <w:szCs w:val="24"/>
              </w:rPr>
            </w:pPr>
            <w:bookmarkStart w:id="7" w:name="_Ref285631175"/>
            <w:r>
              <w:rPr>
                <w:rFonts w:ascii="Times New Roman" w:hAnsi="Times New Roman" w:eastAsia="黑体"/>
                <w:sz w:val="24"/>
                <w:szCs w:val="24"/>
              </w:rPr>
              <w:t>表3.1-1  项目环境空气质量标准</w:t>
            </w:r>
            <w:bookmarkEnd w:id="7"/>
            <w:r>
              <w:rPr>
                <w:rFonts w:ascii="Times New Roman" w:hAnsi="Times New Roman" w:eastAsia="黑体"/>
                <w:sz w:val="24"/>
                <w:szCs w:val="24"/>
              </w:rPr>
              <w:t>（摘录）</w:t>
            </w:r>
          </w:p>
          <w:tbl>
            <w:tblPr>
              <w:tblStyle w:val="26"/>
              <w:tblW w:w="812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2409"/>
              <w:gridCol w:w="1895"/>
              <w:gridCol w:w="18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污染物项目</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取值时间</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浓度限值</w:t>
                  </w:r>
                </w:p>
              </w:tc>
              <w:tc>
                <w:tcPr>
                  <w:tcW w:w="1800" w:type="dxa"/>
                  <w:tcBorders>
                    <w:tl2br w:val="nil"/>
                    <w:tr2bl w:val="nil"/>
                  </w:tcBorders>
                </w:tcPr>
                <w:p>
                  <w:pPr>
                    <w:pStyle w:val="15"/>
                    <w:spacing w:line="320" w:lineRule="exact"/>
                    <w:jc w:val="center"/>
                    <w:outlineLvl w:val="0"/>
                    <w:rPr>
                      <w:rFonts w:ascii="Times New Roman" w:hAnsi="Times New Roman" w:eastAsiaTheme="minorEastAsia"/>
                      <w:b/>
                      <w:bCs/>
                      <w:sz w:val="21"/>
                      <w:szCs w:val="21"/>
                    </w:rPr>
                  </w:pPr>
                  <w:r>
                    <w:rPr>
                      <w:rFonts w:ascii="Times New Roman" w:hAnsi="Times New Roman" w:eastAsiaTheme="minorEastAsia"/>
                      <w:b/>
                      <w:bCs/>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二氧化硫</w:t>
                  </w:r>
                </w:p>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SO</w:t>
                  </w:r>
                  <w:r>
                    <w:rPr>
                      <w:rFonts w:ascii="Times New Roman" w:hAnsi="Times New Roman" w:eastAsiaTheme="minorEastAsia"/>
                      <w:bCs/>
                      <w:sz w:val="21"/>
                      <w:szCs w:val="21"/>
                      <w:vertAlign w:val="subscript"/>
                    </w:rPr>
                    <w:t>2</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年平均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60µ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restart"/>
                  <w:tcBorders>
                    <w:tl2br w:val="nil"/>
                    <w:tr2bl w:val="nil"/>
                  </w:tcBorders>
                  <w:vAlign w:val="center"/>
                </w:tcPr>
                <w:p>
                  <w:pPr>
                    <w:pStyle w:val="15"/>
                    <w:spacing w:line="320" w:lineRule="exact"/>
                    <w:jc w:val="center"/>
                    <w:outlineLvl w:val="0"/>
                    <w:rPr>
                      <w:rFonts w:ascii="Times New Roman" w:hAnsi="Times New Roman" w:eastAsiaTheme="minorEastAsia"/>
                      <w:bCs/>
                      <w:sz w:val="21"/>
                      <w:szCs w:val="21"/>
                    </w:rPr>
                  </w:pPr>
                  <w:r>
                    <w:rPr>
                      <w:rFonts w:ascii="Times New Roman" w:hAnsi="Times New Roman"/>
                      <w:sz w:val="21"/>
                      <w:szCs w:val="21"/>
                    </w:rPr>
                    <w:t>《环境空气质量标准》(GB3095-2012)</w:t>
                  </w:r>
                  <w:r>
                    <w:rPr>
                      <w:rFonts w:ascii="Times New Roman" w:hAnsi="Times New Roman" w:eastAsiaTheme="minorEastAsia"/>
                      <w:bCs/>
                      <w:sz w:val="21"/>
                      <w:szCs w:val="21"/>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150µ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500µ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二氧化氮</w:t>
                  </w:r>
                </w:p>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NO</w:t>
                  </w:r>
                  <w:r>
                    <w:rPr>
                      <w:rFonts w:ascii="Times New Roman" w:hAnsi="Times New Roman" w:eastAsiaTheme="minorEastAsia"/>
                      <w:bCs/>
                      <w:sz w:val="21"/>
                      <w:szCs w:val="21"/>
                      <w:vertAlign w:val="subscript"/>
                    </w:rPr>
                    <w:t>2</w:t>
                  </w: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年平均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40µ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80µ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bCs/>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bCs/>
                      <w:sz w:val="21"/>
                      <w:szCs w:val="21"/>
                    </w:rPr>
                    <w:t>200µ</w:t>
                  </w:r>
                  <w:r>
                    <w:rPr>
                      <w:rFonts w:ascii="Times New Roman" w:hAnsi="Times New Roman" w:eastAsiaTheme="minorEastAsia"/>
                      <w:sz w:val="21"/>
                      <w:szCs w:val="21"/>
                    </w:rPr>
                    <w:t>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PM</w:t>
                  </w:r>
                  <w:r>
                    <w:rPr>
                      <w:rFonts w:ascii="Times New Roman" w:hAnsi="Times New Roman" w:eastAsiaTheme="minorEastAsia"/>
                      <w:sz w:val="21"/>
                      <w:szCs w:val="21"/>
                      <w:vertAlign w:val="subscript"/>
                    </w:rPr>
                    <w:t>10</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年平均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70μg/m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150μg/m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PM</w:t>
                  </w:r>
                  <w:r>
                    <w:rPr>
                      <w:rFonts w:ascii="Times New Roman" w:hAnsi="Times New Roman" w:eastAsiaTheme="minorEastAsia"/>
                      <w:sz w:val="21"/>
                      <w:szCs w:val="21"/>
                      <w:vertAlign w:val="subscript"/>
                    </w:rPr>
                    <w:t>2.5</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年平均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35μg/m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24小时平均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75μg/m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2025" w:type="dxa"/>
                  <w:vMerge w:val="restart"/>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一氧化碳（CO）</w:t>
                  </w:r>
                </w:p>
              </w:tc>
              <w:tc>
                <w:tcPr>
                  <w:tcW w:w="2409"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24小时平均</w:t>
                  </w:r>
                </w:p>
              </w:tc>
              <w:tc>
                <w:tcPr>
                  <w:tcW w:w="1895" w:type="dxa"/>
                  <w:tcBorders>
                    <w:tl2br w:val="nil"/>
                    <w:tr2bl w:val="nil"/>
                  </w:tcBorders>
                  <w:vAlign w:val="center"/>
                </w:tcPr>
                <w:p>
                  <w:pPr>
                    <w:keepNext/>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4mg/m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keepNext/>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1小时平均</w:t>
                  </w:r>
                </w:p>
              </w:tc>
              <w:tc>
                <w:tcPr>
                  <w:tcW w:w="1895" w:type="dxa"/>
                  <w:tcBorders>
                    <w:tl2br w:val="nil"/>
                    <w:tr2bl w:val="nil"/>
                  </w:tcBorders>
                  <w:vAlign w:val="center"/>
                </w:tcPr>
                <w:p>
                  <w:pPr>
                    <w:pStyle w:val="15"/>
                    <w:keepNext/>
                    <w:spacing w:line="320" w:lineRule="exact"/>
                    <w:jc w:val="center"/>
                    <w:outlineLvl w:val="0"/>
                    <w:rPr>
                      <w:rFonts w:ascii="Times New Roman" w:hAnsi="Times New Roman" w:eastAsiaTheme="minorEastAsia"/>
                      <w:bCs/>
                      <w:sz w:val="21"/>
                      <w:szCs w:val="21"/>
                    </w:rPr>
                  </w:pPr>
                  <w:r>
                    <w:rPr>
                      <w:rFonts w:ascii="Times New Roman" w:hAnsi="Times New Roman" w:eastAsiaTheme="minorEastAsia"/>
                      <w:kern w:val="0"/>
                      <w:sz w:val="21"/>
                      <w:szCs w:val="21"/>
                    </w:rPr>
                    <w:t>10mg/m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restart"/>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臭氧（O</w:t>
                  </w:r>
                  <w:r>
                    <w:rPr>
                      <w:rFonts w:ascii="Times New Roman" w:hAnsi="Times New Roman" w:eastAsiaTheme="minorEastAsia"/>
                      <w:sz w:val="21"/>
                      <w:szCs w:val="21"/>
                      <w:vertAlign w:val="subscript"/>
                    </w:rPr>
                    <w:t>3</w:t>
                  </w:r>
                  <w:r>
                    <w:rPr>
                      <w:rFonts w:ascii="Times New Roman" w:hAnsi="Times New Roman" w:eastAsiaTheme="minorEastAsia"/>
                      <w:sz w:val="21"/>
                      <w:szCs w:val="21"/>
                    </w:rPr>
                    <w:t>）</w:t>
                  </w:r>
                </w:p>
              </w:tc>
              <w:tc>
                <w:tcPr>
                  <w:tcW w:w="2409" w:type="dxa"/>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日最大8小时平均</w:t>
                  </w:r>
                </w:p>
              </w:tc>
              <w:tc>
                <w:tcPr>
                  <w:tcW w:w="1895" w:type="dxa"/>
                  <w:tcBorders>
                    <w:tl2br w:val="nil"/>
                    <w:tr2bl w:val="nil"/>
                  </w:tcBorders>
                  <w:vAlign w:val="center"/>
                </w:tcPr>
                <w:p>
                  <w:pPr>
                    <w:spacing w:line="320" w:lineRule="exact"/>
                    <w:jc w:val="center"/>
                    <w:rPr>
                      <w:rFonts w:ascii="Times New Roman" w:hAnsi="Times New Roman" w:eastAsiaTheme="minorEastAsia"/>
                      <w:sz w:val="21"/>
                      <w:szCs w:val="21"/>
                    </w:rPr>
                  </w:pPr>
                  <w:r>
                    <w:rPr>
                      <w:rFonts w:ascii="Times New Roman" w:hAnsi="Times New Roman" w:eastAsiaTheme="minorEastAsia"/>
                      <w:sz w:val="21"/>
                      <w:szCs w:val="21"/>
                    </w:rPr>
                    <w:t>160μg/m</w:t>
                  </w:r>
                  <w:r>
                    <w:rPr>
                      <w:rFonts w:ascii="Times New Roman" w:hAnsi="Times New Roman" w:eastAsiaTheme="minorEastAsia"/>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025" w:type="dxa"/>
                  <w:vMerge w:val="continue"/>
                  <w:tcBorders>
                    <w:tl2br w:val="nil"/>
                    <w:tr2bl w:val="nil"/>
                  </w:tcBorders>
                  <w:vAlign w:val="center"/>
                </w:tcPr>
                <w:p>
                  <w:pPr>
                    <w:spacing w:line="320" w:lineRule="exact"/>
                    <w:rPr>
                      <w:rFonts w:ascii="Times New Roman" w:hAnsi="Times New Roman" w:eastAsiaTheme="minorEastAsia"/>
                      <w:sz w:val="21"/>
                      <w:szCs w:val="21"/>
                    </w:rPr>
                  </w:pPr>
                </w:p>
              </w:tc>
              <w:tc>
                <w:tcPr>
                  <w:tcW w:w="2409" w:type="dxa"/>
                  <w:tcBorders>
                    <w:tl2br w:val="nil"/>
                    <w:tr2bl w:val="nil"/>
                  </w:tcBorders>
                  <w:vAlign w:val="center"/>
                </w:tcPr>
                <w:p>
                  <w:pPr>
                    <w:pStyle w:val="15"/>
                    <w:spacing w:line="320" w:lineRule="exact"/>
                    <w:jc w:val="center"/>
                    <w:outlineLvl w:val="0"/>
                    <w:rPr>
                      <w:rFonts w:ascii="Times New Roman" w:hAnsi="Times New Roman" w:eastAsiaTheme="minorEastAsia"/>
                      <w:kern w:val="0"/>
                      <w:sz w:val="21"/>
                      <w:szCs w:val="21"/>
                    </w:rPr>
                  </w:pPr>
                  <w:r>
                    <w:rPr>
                      <w:rFonts w:ascii="Times New Roman" w:hAnsi="Times New Roman" w:eastAsiaTheme="minorEastAsia"/>
                      <w:kern w:val="0"/>
                      <w:sz w:val="21"/>
                      <w:szCs w:val="21"/>
                    </w:rPr>
                    <w:t>1小时平均</w:t>
                  </w:r>
                </w:p>
              </w:tc>
              <w:tc>
                <w:tcPr>
                  <w:tcW w:w="1895" w:type="dxa"/>
                  <w:tcBorders>
                    <w:tl2br w:val="nil"/>
                    <w:tr2bl w:val="nil"/>
                  </w:tcBorders>
                  <w:vAlign w:val="center"/>
                </w:tcPr>
                <w:p>
                  <w:pPr>
                    <w:pStyle w:val="15"/>
                    <w:spacing w:line="320" w:lineRule="exact"/>
                    <w:jc w:val="center"/>
                    <w:outlineLvl w:val="0"/>
                    <w:rPr>
                      <w:rFonts w:ascii="Times New Roman" w:hAnsi="Times New Roman" w:eastAsiaTheme="minorEastAsia"/>
                      <w:kern w:val="0"/>
                      <w:sz w:val="21"/>
                      <w:szCs w:val="21"/>
                    </w:rPr>
                  </w:pPr>
                  <w:r>
                    <w:rPr>
                      <w:rFonts w:ascii="Times New Roman" w:hAnsi="Times New Roman" w:eastAsiaTheme="minorEastAsia"/>
                      <w:kern w:val="0"/>
                      <w:sz w:val="21"/>
                      <w:szCs w:val="21"/>
                    </w:rPr>
                    <w:t>200μg/m</w:t>
                  </w:r>
                  <w:r>
                    <w:rPr>
                      <w:rFonts w:ascii="Times New Roman" w:hAnsi="Times New Roman" w:eastAsiaTheme="minorEastAsia"/>
                      <w:kern w:val="0"/>
                      <w:sz w:val="21"/>
                      <w:szCs w:val="21"/>
                      <w:vertAlign w:val="superscript"/>
                    </w:rPr>
                    <w:t>3</w:t>
                  </w:r>
                </w:p>
              </w:tc>
              <w:tc>
                <w:tcPr>
                  <w:tcW w:w="1800" w:type="dxa"/>
                  <w:vMerge w:val="continue"/>
                  <w:tcBorders>
                    <w:tl2br w:val="nil"/>
                    <w:tr2bl w:val="nil"/>
                  </w:tcBorders>
                </w:tcPr>
                <w:p>
                  <w:pPr>
                    <w:pStyle w:val="4"/>
                    <w:ind w:right="-120"/>
                    <w:rPr>
                      <w:rFonts w:ascii="Times New Roman" w:hAnsi="Times New Roman" w:eastAsia="黑体"/>
                      <w:sz w:val="21"/>
                      <w:szCs w:val="21"/>
                    </w:rPr>
                  </w:pPr>
                </w:p>
              </w:tc>
            </w:tr>
          </w:tbl>
          <w:p>
            <w:pPr>
              <w:spacing w:line="430" w:lineRule="exact"/>
              <w:ind w:firstLine="480" w:firstLineChars="200"/>
              <w:rPr>
                <w:rFonts w:ascii="Times New Roman" w:hAnsi="Times New Roman"/>
                <w:kern w:val="0"/>
                <w:szCs w:val="20"/>
              </w:rPr>
            </w:pPr>
            <w:r>
              <w:rPr>
                <w:rFonts w:hint="eastAsia" w:ascii="Times New Roman" w:hAnsi="Times New Roman"/>
                <w:kern w:val="0"/>
                <w:szCs w:val="20"/>
              </w:rPr>
              <w:t>②特征污染物</w:t>
            </w:r>
          </w:p>
          <w:p>
            <w:pPr>
              <w:spacing w:line="430" w:lineRule="exact"/>
              <w:ind w:firstLine="480" w:firstLineChars="200"/>
              <w:rPr>
                <w:rFonts w:ascii="Times New Roman" w:hAnsi="Times New Roman"/>
                <w:kern w:val="0"/>
                <w:szCs w:val="20"/>
              </w:rPr>
            </w:pPr>
            <w:r>
              <w:rPr>
                <w:rFonts w:hint="eastAsia" w:ascii="Times New Roman" w:hAnsi="Times New Roman"/>
                <w:kern w:val="0"/>
                <w:szCs w:val="20"/>
              </w:rPr>
              <w:t>项目特征污染物</w:t>
            </w:r>
            <w:r>
              <w:rPr>
                <w:rFonts w:ascii="Times New Roman" w:hAnsi="Times New Roman"/>
                <w:kern w:val="0"/>
                <w:szCs w:val="20"/>
              </w:rPr>
              <w:t>TSP执行《环境空气质量标准》(GB3095-2012)表</w:t>
            </w:r>
            <w:r>
              <w:rPr>
                <w:rFonts w:hint="eastAsia" w:ascii="Times New Roman" w:hAnsi="Times New Roman"/>
                <w:kern w:val="0"/>
                <w:szCs w:val="20"/>
              </w:rPr>
              <w:t>2</w:t>
            </w:r>
            <w:r>
              <w:rPr>
                <w:rFonts w:ascii="Times New Roman" w:hAnsi="Times New Roman"/>
                <w:kern w:val="0"/>
                <w:szCs w:val="20"/>
              </w:rPr>
              <w:t>二级标准。</w:t>
            </w:r>
          </w:p>
          <w:p>
            <w:pPr>
              <w:pStyle w:val="4"/>
              <w:spacing w:after="60" w:line="260" w:lineRule="auto"/>
              <w:ind w:right="-120"/>
              <w:jc w:val="center"/>
              <w:rPr>
                <w:rFonts w:ascii="Times New Roman" w:hAnsi="Times New Roman" w:eastAsia="黑体"/>
                <w:sz w:val="24"/>
                <w:szCs w:val="24"/>
              </w:rPr>
            </w:pPr>
            <w:r>
              <w:rPr>
                <w:rFonts w:ascii="Times New Roman" w:hAnsi="Times New Roman" w:eastAsia="黑体"/>
                <w:sz w:val="24"/>
                <w:szCs w:val="24"/>
              </w:rPr>
              <w:t>表3.1-</w:t>
            </w:r>
            <w:r>
              <w:rPr>
                <w:rFonts w:hint="eastAsia" w:ascii="Times New Roman" w:hAnsi="Times New Roman" w:eastAsia="黑体"/>
                <w:sz w:val="24"/>
                <w:szCs w:val="24"/>
              </w:rPr>
              <w:t>2</w:t>
            </w:r>
            <w:r>
              <w:rPr>
                <w:rFonts w:ascii="Times New Roman" w:hAnsi="Times New Roman" w:eastAsia="黑体"/>
                <w:sz w:val="24"/>
                <w:szCs w:val="24"/>
              </w:rPr>
              <w:t xml:space="preserve">  项目环境空气质量标准（摘录）</w:t>
            </w:r>
          </w:p>
          <w:tbl>
            <w:tblPr>
              <w:tblStyle w:val="25"/>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338"/>
              <w:gridCol w:w="1345"/>
              <w:gridCol w:w="1076"/>
              <w:gridCol w:w="4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污染物</w:t>
                  </w:r>
                  <w:r>
                    <w:rPr>
                      <w:rFonts w:hint="eastAsia" w:ascii="Times New Roman" w:hAnsi="Times New Roman"/>
                      <w:sz w:val="21"/>
                      <w:szCs w:val="21"/>
                    </w:rPr>
                    <w:t>项目</w:t>
                  </w:r>
                </w:p>
              </w:tc>
              <w:tc>
                <w:tcPr>
                  <w:tcW w:w="827" w:type="pct"/>
                  <w:vAlign w:val="center"/>
                </w:tcPr>
                <w:p>
                  <w:pPr>
                    <w:keepNext/>
                    <w:autoSpaceDE w:val="0"/>
                    <w:autoSpaceDN w:val="0"/>
                    <w:adjustRightInd w:val="0"/>
                    <w:jc w:val="center"/>
                    <w:rPr>
                      <w:rFonts w:ascii="Times New Roman" w:hAnsi="Times New Roman"/>
                      <w:sz w:val="21"/>
                      <w:szCs w:val="21"/>
                    </w:rPr>
                  </w:pPr>
                  <w:r>
                    <w:rPr>
                      <w:rFonts w:hint="eastAsia" w:ascii="Times New Roman" w:hAnsi="Times New Roman"/>
                      <w:sz w:val="21"/>
                      <w:szCs w:val="21"/>
                    </w:rPr>
                    <w:t>平均时间</w:t>
                  </w:r>
                </w:p>
              </w:tc>
              <w:tc>
                <w:tcPr>
                  <w:tcW w:w="662"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浓度</w:t>
                  </w:r>
                  <w:r>
                    <w:rPr>
                      <w:rFonts w:hint="eastAsia" w:ascii="Times New Roman" w:hAnsi="Times New Roman"/>
                      <w:sz w:val="21"/>
                      <w:szCs w:val="21"/>
                    </w:rPr>
                    <w:t>限值</w:t>
                  </w:r>
                </w:p>
              </w:tc>
              <w:tc>
                <w:tcPr>
                  <w:tcW w:w="2689" w:type="pc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2" w:type="pct"/>
                  <w:vMerge w:val="restar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TSP</w:t>
                  </w:r>
                </w:p>
              </w:tc>
              <w:tc>
                <w:tcPr>
                  <w:tcW w:w="826"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年平均</w:t>
                  </w:r>
                </w:p>
              </w:tc>
              <w:tc>
                <w:tcPr>
                  <w:tcW w:w="662" w:type="pct"/>
                  <w:vAlign w:val="center"/>
                </w:tcPr>
                <w:p>
                  <w:pPr>
                    <w:autoSpaceDE w:val="0"/>
                    <w:autoSpaceDN w:val="0"/>
                    <w:adjustRightInd w:val="0"/>
                    <w:jc w:val="center"/>
                    <w:rPr>
                      <w:rFonts w:ascii="Times New Roman" w:hAnsi="Times New Roman"/>
                      <w:sz w:val="21"/>
                      <w:szCs w:val="21"/>
                    </w:rPr>
                  </w:pPr>
                  <w:r>
                    <w:rPr>
                      <w:rFonts w:ascii="Times New Roman" w:hAnsi="Times New Roman"/>
                      <w:sz w:val="21"/>
                      <w:szCs w:val="21"/>
                    </w:rPr>
                    <w:t>200μg/m</w:t>
                  </w:r>
                  <w:r>
                    <w:rPr>
                      <w:rFonts w:ascii="Times New Roman" w:hAnsi="Times New Roman"/>
                      <w:sz w:val="21"/>
                      <w:szCs w:val="21"/>
                      <w:vertAlign w:val="superscript"/>
                    </w:rPr>
                    <w:t>3</w:t>
                  </w:r>
                </w:p>
              </w:tc>
              <w:tc>
                <w:tcPr>
                  <w:tcW w:w="2687" w:type="pct"/>
                  <w:vMerge w:val="restart"/>
                  <w:vAlign w:val="center"/>
                </w:tcPr>
                <w:p>
                  <w:pPr>
                    <w:keepNext/>
                    <w:autoSpaceDE w:val="0"/>
                    <w:autoSpaceDN w:val="0"/>
                    <w:adjustRightInd w:val="0"/>
                    <w:jc w:val="center"/>
                    <w:rPr>
                      <w:rFonts w:ascii="Times New Roman" w:hAnsi="Times New Roman"/>
                      <w:sz w:val="21"/>
                      <w:szCs w:val="21"/>
                    </w:rPr>
                  </w:pPr>
                  <w:r>
                    <w:rPr>
                      <w:rFonts w:ascii="Times New Roman" w:hAnsi="Times New Roman"/>
                      <w:sz w:val="21"/>
                      <w:szCs w:val="21"/>
                    </w:rPr>
                    <w:t xml:space="preserve">《环境空气质量标准》(GB3095-2012)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23" w:type="pct"/>
                  <w:vMerge w:val="continue"/>
                  <w:vAlign w:val="center"/>
                </w:tcPr>
                <w:p>
                  <w:pPr>
                    <w:autoSpaceDE w:val="0"/>
                    <w:autoSpaceDN w:val="0"/>
                    <w:adjustRightInd w:val="0"/>
                    <w:jc w:val="center"/>
                    <w:rPr>
                      <w:rFonts w:ascii="Times New Roman" w:hAnsi="Times New Roman"/>
                      <w:sz w:val="21"/>
                      <w:szCs w:val="21"/>
                    </w:rPr>
                  </w:pPr>
                </w:p>
              </w:tc>
              <w:tc>
                <w:tcPr>
                  <w:tcW w:w="827"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24小时平均</w:t>
                  </w:r>
                </w:p>
              </w:tc>
              <w:tc>
                <w:tcPr>
                  <w:tcW w:w="662" w:type="pct"/>
                  <w:vAlign w:val="center"/>
                </w:tcPr>
                <w:p>
                  <w:pPr>
                    <w:autoSpaceDE w:val="0"/>
                    <w:autoSpaceDN w:val="0"/>
                    <w:adjustRightInd w:val="0"/>
                    <w:jc w:val="center"/>
                    <w:rPr>
                      <w:rFonts w:ascii="Times New Roman" w:hAnsi="Times New Roman"/>
                      <w:sz w:val="21"/>
                      <w:szCs w:val="21"/>
                    </w:rPr>
                  </w:pPr>
                  <w:r>
                    <w:rPr>
                      <w:rFonts w:hint="eastAsia" w:ascii="Times New Roman" w:hAnsi="Times New Roman"/>
                      <w:sz w:val="21"/>
                      <w:szCs w:val="21"/>
                    </w:rPr>
                    <w:t>300</w:t>
                  </w:r>
                  <w:r>
                    <w:rPr>
                      <w:rFonts w:ascii="Times New Roman" w:hAnsi="Times New Roman"/>
                      <w:sz w:val="21"/>
                      <w:szCs w:val="21"/>
                    </w:rPr>
                    <w:t>μg/m</w:t>
                  </w:r>
                  <w:r>
                    <w:rPr>
                      <w:rFonts w:ascii="Times New Roman" w:hAnsi="Times New Roman"/>
                      <w:sz w:val="21"/>
                      <w:szCs w:val="21"/>
                      <w:vertAlign w:val="superscript"/>
                    </w:rPr>
                    <w:t>3</w:t>
                  </w:r>
                </w:p>
              </w:tc>
              <w:tc>
                <w:tcPr>
                  <w:tcW w:w="2689" w:type="pct"/>
                  <w:vMerge w:val="continue"/>
                  <w:vAlign w:val="center"/>
                </w:tcPr>
                <w:p>
                  <w:pPr>
                    <w:keepNext/>
                    <w:autoSpaceDE w:val="0"/>
                    <w:autoSpaceDN w:val="0"/>
                    <w:adjustRightInd w:val="0"/>
                    <w:jc w:val="center"/>
                    <w:rPr>
                      <w:rFonts w:ascii="Times New Roman" w:hAnsi="Times New Roman"/>
                      <w:sz w:val="21"/>
                      <w:szCs w:val="21"/>
                    </w:rPr>
                  </w:pPr>
                </w:p>
              </w:tc>
            </w:tr>
          </w:tbl>
          <w:p>
            <w:pPr>
              <w:pStyle w:val="3"/>
              <w:numPr>
                <w:ilvl w:val="0"/>
                <w:numId w:val="8"/>
              </w:numPr>
              <w:spacing w:line="430" w:lineRule="exact"/>
              <w:ind w:right="-120" w:firstLine="240"/>
              <w:rPr>
                <w:rFonts w:ascii="Times New Roman" w:hAnsi="Times New Roman"/>
              </w:rPr>
            </w:pPr>
            <w:r>
              <w:rPr>
                <w:rFonts w:ascii="Times New Roman" w:hAnsi="Times New Roman"/>
              </w:rPr>
              <w:t>大气环境质量现状</w:t>
            </w:r>
          </w:p>
          <w:p>
            <w:pPr>
              <w:ind w:firstLine="480" w:firstLineChars="200"/>
            </w:pPr>
            <w:r>
              <w:rPr>
                <w:rFonts w:hint="eastAsia"/>
              </w:rPr>
              <w:t>①基本污染物</w:t>
            </w:r>
          </w:p>
          <w:p>
            <w:pPr>
              <w:pStyle w:val="3"/>
              <w:spacing w:line="430" w:lineRule="exact"/>
              <w:ind w:right="-120" w:firstLine="480" w:firstLineChars="200"/>
              <w:rPr>
                <w:rFonts w:ascii="Times New Roman" w:hAnsi="Times New Roman"/>
                <w:szCs w:val="24"/>
              </w:rPr>
            </w:pPr>
            <w:r>
              <w:rPr>
                <w:rFonts w:ascii="Times New Roman" w:hAnsi="Times New Roman"/>
              </w:rPr>
              <w:t>根据《</w:t>
            </w:r>
            <w:r>
              <w:rPr>
                <w:rFonts w:ascii="Times New Roman" w:hAnsi="Times New Roman"/>
                <w:bCs/>
                <w:szCs w:val="24"/>
                <w:shd w:val="clear" w:color="auto" w:fill="FFFFFF"/>
              </w:rPr>
              <w:t>202</w:t>
            </w:r>
            <w:r>
              <w:rPr>
                <w:rFonts w:hint="eastAsia" w:ascii="Times New Roman" w:hAnsi="Times New Roman"/>
                <w:bCs/>
                <w:szCs w:val="24"/>
                <w:shd w:val="clear" w:color="auto" w:fill="FFFFFF"/>
              </w:rPr>
              <w:t>4</w:t>
            </w:r>
            <w:r>
              <w:rPr>
                <w:rFonts w:ascii="Times New Roman" w:hAnsi="Times New Roman"/>
                <w:bCs/>
                <w:szCs w:val="24"/>
                <w:shd w:val="clear" w:color="auto" w:fill="FFFFFF"/>
              </w:rPr>
              <w:t>年</w:t>
            </w:r>
            <w:r>
              <w:rPr>
                <w:rFonts w:hint="eastAsia" w:ascii="Times New Roman" w:hAnsi="Times New Roman"/>
                <w:bCs/>
                <w:szCs w:val="24"/>
                <w:shd w:val="clear" w:color="auto" w:fill="FFFFFF"/>
              </w:rPr>
              <w:t>3</w:t>
            </w:r>
            <w:r>
              <w:rPr>
                <w:rFonts w:ascii="Times New Roman" w:hAnsi="Times New Roman"/>
                <w:bCs/>
                <w:szCs w:val="24"/>
                <w:shd w:val="clear" w:color="auto" w:fill="FFFFFF"/>
              </w:rPr>
              <w:t>月三明市环境空气质量月报》（三明</w:t>
            </w:r>
            <w:bookmarkStart w:id="21" w:name="_GoBack"/>
            <w:bookmarkEnd w:id="21"/>
            <w:r>
              <w:rPr>
                <w:rFonts w:hint="eastAsia" w:ascii="Times New Roman" w:hAnsi="Times New Roman"/>
                <w:bCs/>
                <w:szCs w:val="24"/>
                <w:shd w:val="clear" w:color="auto" w:fill="FFFFFF"/>
                <w:lang w:eastAsia="zh-CN"/>
              </w:rPr>
              <w:t>市生态环境局</w:t>
            </w:r>
            <w:r>
              <w:rPr>
                <w:rFonts w:ascii="Times New Roman" w:hAnsi="Times New Roman"/>
                <w:bCs/>
                <w:szCs w:val="24"/>
                <w:shd w:val="clear" w:color="auto" w:fill="FFFFFF"/>
              </w:rPr>
              <w:t>，20</w:t>
            </w:r>
            <w:r>
              <w:rPr>
                <w:rFonts w:hint="eastAsia" w:ascii="Times New Roman" w:hAnsi="Times New Roman"/>
                <w:bCs/>
                <w:szCs w:val="24"/>
                <w:shd w:val="clear" w:color="auto" w:fill="FFFFFF"/>
              </w:rPr>
              <w:t>24</w:t>
            </w:r>
            <w:r>
              <w:rPr>
                <w:rFonts w:ascii="Times New Roman" w:hAnsi="Times New Roman"/>
                <w:bCs/>
                <w:szCs w:val="24"/>
                <w:shd w:val="clear" w:color="auto" w:fill="FFFFFF"/>
              </w:rPr>
              <w:t>年</w:t>
            </w:r>
            <w:r>
              <w:rPr>
                <w:rFonts w:hint="eastAsia" w:ascii="Times New Roman" w:hAnsi="Times New Roman"/>
                <w:bCs/>
                <w:szCs w:val="24"/>
                <w:shd w:val="clear" w:color="auto" w:fill="FFFFFF"/>
              </w:rPr>
              <w:t>4</w:t>
            </w:r>
            <w:r>
              <w:rPr>
                <w:rFonts w:ascii="Times New Roman" w:hAnsi="Times New Roman"/>
                <w:bCs/>
                <w:szCs w:val="24"/>
                <w:shd w:val="clear" w:color="auto" w:fill="FFFFFF"/>
              </w:rPr>
              <w:t>月</w:t>
            </w:r>
            <w:r>
              <w:rPr>
                <w:rFonts w:hint="eastAsia" w:ascii="Times New Roman" w:hAnsi="Times New Roman"/>
                <w:bCs/>
                <w:szCs w:val="24"/>
                <w:shd w:val="clear" w:color="auto" w:fill="FFFFFF"/>
              </w:rPr>
              <w:t>10</w:t>
            </w:r>
            <w:r>
              <w:rPr>
                <w:rFonts w:ascii="Times New Roman" w:hAnsi="Times New Roman"/>
                <w:bCs/>
                <w:szCs w:val="24"/>
                <w:shd w:val="clear" w:color="auto" w:fill="FFFFFF"/>
              </w:rPr>
              <w:t>日），20</w:t>
            </w:r>
            <w:r>
              <w:rPr>
                <w:rFonts w:hint="eastAsia" w:ascii="Times New Roman" w:hAnsi="Times New Roman"/>
                <w:bCs/>
                <w:szCs w:val="24"/>
                <w:shd w:val="clear" w:color="auto" w:fill="FFFFFF"/>
              </w:rPr>
              <w:t>24</w:t>
            </w:r>
            <w:r>
              <w:rPr>
                <w:rFonts w:ascii="Times New Roman" w:hAnsi="Times New Roman"/>
                <w:bCs/>
                <w:szCs w:val="24"/>
                <w:shd w:val="clear" w:color="auto" w:fill="FFFFFF"/>
              </w:rPr>
              <w:t>年</w:t>
            </w:r>
            <w:r>
              <w:rPr>
                <w:rFonts w:hint="eastAsia" w:ascii="Times New Roman" w:hAnsi="Times New Roman"/>
                <w:bCs/>
                <w:szCs w:val="24"/>
                <w:shd w:val="clear" w:color="auto" w:fill="FFFFFF"/>
              </w:rPr>
              <w:t>3</w:t>
            </w:r>
            <w:r>
              <w:rPr>
                <w:rFonts w:ascii="Times New Roman" w:hAnsi="Times New Roman"/>
                <w:bCs/>
                <w:szCs w:val="24"/>
                <w:shd w:val="clear" w:color="auto" w:fill="FFFFFF"/>
              </w:rPr>
              <w:t>月，市区达标天数比例为100%，空气质量综合指数为</w:t>
            </w:r>
            <w:r>
              <w:rPr>
                <w:rFonts w:hint="eastAsia" w:ascii="Times New Roman" w:hAnsi="Times New Roman"/>
                <w:bCs/>
                <w:szCs w:val="24"/>
                <w:shd w:val="clear" w:color="auto" w:fill="FFFFFF"/>
              </w:rPr>
              <w:t>3.07</w:t>
            </w:r>
            <w:r>
              <w:rPr>
                <w:rFonts w:ascii="Times New Roman" w:hAnsi="Times New Roman"/>
                <w:bCs/>
                <w:szCs w:val="24"/>
                <w:shd w:val="clear" w:color="auto" w:fill="FFFFFF"/>
              </w:rPr>
              <w:t>，首要污染物为</w:t>
            </w:r>
            <w:r>
              <w:rPr>
                <w:rFonts w:hint="eastAsia" w:ascii="Times New Roman" w:hAnsi="Times New Roman"/>
                <w:bCs/>
                <w:szCs w:val="24"/>
                <w:shd w:val="clear" w:color="auto" w:fill="FFFFFF"/>
              </w:rPr>
              <w:t>细颗粒物</w:t>
            </w:r>
            <w:r>
              <w:rPr>
                <w:rFonts w:ascii="Times New Roman" w:hAnsi="Times New Roman"/>
                <w:bCs/>
                <w:szCs w:val="24"/>
                <w:shd w:val="clear" w:color="auto" w:fill="FFFFFF"/>
              </w:rPr>
              <w:t>。各县（市、区）达标天数比例均为100%，空气质量综合指数范围为</w:t>
            </w:r>
            <w:r>
              <w:rPr>
                <w:rFonts w:hint="eastAsia" w:ascii="Times New Roman" w:hAnsi="Times New Roman"/>
                <w:bCs/>
                <w:szCs w:val="24"/>
                <w:shd w:val="clear" w:color="auto" w:fill="FFFFFF"/>
              </w:rPr>
              <w:t>1.64</w:t>
            </w:r>
            <w:r>
              <w:rPr>
                <w:rFonts w:ascii="Times New Roman" w:hAnsi="Times New Roman"/>
                <w:bCs/>
                <w:szCs w:val="24"/>
                <w:shd w:val="clear" w:color="auto" w:fill="FFFFFF"/>
              </w:rPr>
              <w:t>—</w:t>
            </w:r>
            <w:r>
              <w:rPr>
                <w:rFonts w:hint="eastAsia" w:ascii="Times New Roman" w:hAnsi="Times New Roman"/>
                <w:bCs/>
                <w:szCs w:val="24"/>
                <w:shd w:val="clear" w:color="auto" w:fill="FFFFFF"/>
              </w:rPr>
              <w:t>2.69</w:t>
            </w:r>
            <w:r>
              <w:rPr>
                <w:rFonts w:ascii="Times New Roman" w:hAnsi="Times New Roman"/>
                <w:bCs/>
                <w:szCs w:val="24"/>
                <w:shd w:val="clear" w:color="auto" w:fill="FFFFFF"/>
              </w:rPr>
              <w:t>，</w:t>
            </w:r>
            <w:r>
              <w:rPr>
                <w:rFonts w:hint="eastAsia" w:ascii="Times New Roman" w:hAnsi="Times New Roman"/>
                <w:bCs/>
                <w:szCs w:val="24"/>
                <w:shd w:val="clear" w:color="auto" w:fill="FFFFFF"/>
              </w:rPr>
              <w:t>永宁市首要污染物为细颗粒物</w:t>
            </w:r>
            <w:r>
              <w:rPr>
                <w:rFonts w:ascii="宋体" w:hAnsi="宋体" w:cs="宋体"/>
                <w:sz w:val="25"/>
                <w:szCs w:val="25"/>
                <w:shd w:val="clear" w:color="auto" w:fill="FFFFFF"/>
              </w:rPr>
              <w:t>，其余各县（</w:t>
            </w:r>
            <w:r>
              <w:rPr>
                <w:rFonts w:hint="eastAsia" w:ascii="宋体" w:hAnsi="宋体" w:cs="宋体"/>
                <w:sz w:val="25"/>
                <w:szCs w:val="25"/>
                <w:shd w:val="clear" w:color="auto" w:fill="FFFFFF"/>
              </w:rPr>
              <w:t>区</w:t>
            </w:r>
            <w:r>
              <w:rPr>
                <w:rFonts w:ascii="宋体" w:hAnsi="宋体" w:cs="宋体"/>
                <w:sz w:val="25"/>
                <w:szCs w:val="25"/>
                <w:shd w:val="clear" w:color="auto" w:fill="FFFFFF"/>
              </w:rPr>
              <w:t>）</w:t>
            </w:r>
            <w:r>
              <w:rPr>
                <w:rFonts w:hint="eastAsia" w:ascii="宋体" w:hAnsi="宋体" w:cs="宋体"/>
                <w:sz w:val="25"/>
                <w:szCs w:val="25"/>
                <w:shd w:val="clear" w:color="auto" w:fill="FFFFFF"/>
              </w:rPr>
              <w:t>首要污染物均为臭氧</w:t>
            </w:r>
            <w:r>
              <w:rPr>
                <w:rFonts w:ascii="Times New Roman" w:hAnsi="Times New Roman"/>
                <w:bCs/>
                <w:szCs w:val="24"/>
                <w:shd w:val="clear" w:color="auto" w:fill="FFFFFF"/>
              </w:rPr>
              <w:t>。大田县环境空气质量综合指数为</w:t>
            </w:r>
            <w:r>
              <w:rPr>
                <w:rFonts w:hint="eastAsia" w:ascii="Times New Roman" w:hAnsi="Times New Roman"/>
                <w:bCs/>
                <w:szCs w:val="24"/>
                <w:shd w:val="clear" w:color="auto" w:fill="FFFFFF"/>
              </w:rPr>
              <w:t>2.11</w:t>
            </w:r>
            <w:r>
              <w:rPr>
                <w:rFonts w:ascii="Times New Roman" w:hAnsi="Times New Roman"/>
                <w:bCs/>
                <w:szCs w:val="24"/>
                <w:shd w:val="clear" w:color="auto" w:fill="FFFFFF"/>
              </w:rPr>
              <w:t>，达标天数比例为100%，首要污染物</w:t>
            </w:r>
            <w:r>
              <w:rPr>
                <w:rFonts w:ascii="Times New Roman" w:hAnsi="Times New Roman"/>
                <w:szCs w:val="24"/>
              </w:rPr>
              <w:t>为臭氧，SO</w:t>
            </w:r>
            <w:r>
              <w:rPr>
                <w:rFonts w:ascii="Times New Roman" w:hAnsi="Times New Roman"/>
                <w:szCs w:val="24"/>
                <w:vertAlign w:val="subscript"/>
              </w:rPr>
              <w:t>2</w:t>
            </w:r>
            <w:r>
              <w:rPr>
                <w:rFonts w:ascii="Times New Roman" w:hAnsi="Times New Roman"/>
                <w:szCs w:val="24"/>
              </w:rPr>
              <w:t>浓度为</w:t>
            </w:r>
            <w:r>
              <w:rPr>
                <w:rFonts w:hint="eastAsia" w:ascii="Times New Roman" w:hAnsi="Times New Roman"/>
                <w:szCs w:val="24"/>
              </w:rPr>
              <w:t>5</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、NO</w:t>
            </w:r>
            <w:r>
              <w:rPr>
                <w:rFonts w:ascii="Times New Roman" w:hAnsi="Times New Roman"/>
                <w:szCs w:val="24"/>
                <w:vertAlign w:val="subscript"/>
              </w:rPr>
              <w:t>2</w:t>
            </w:r>
            <w:r>
              <w:rPr>
                <w:rFonts w:ascii="Times New Roman" w:hAnsi="Times New Roman"/>
                <w:szCs w:val="24"/>
              </w:rPr>
              <w:t>浓度为</w:t>
            </w:r>
            <w:r>
              <w:rPr>
                <w:rFonts w:hint="eastAsia" w:ascii="Times New Roman" w:hAnsi="Times New Roman"/>
                <w:szCs w:val="24"/>
              </w:rPr>
              <w:t>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、PM</w:t>
            </w:r>
            <w:r>
              <w:rPr>
                <w:rFonts w:ascii="Times New Roman" w:hAnsi="Times New Roman"/>
                <w:szCs w:val="24"/>
                <w:vertAlign w:val="subscript"/>
              </w:rPr>
              <w:t>10</w:t>
            </w:r>
            <w:r>
              <w:rPr>
                <w:rFonts w:ascii="Times New Roman" w:hAnsi="Times New Roman"/>
                <w:szCs w:val="24"/>
              </w:rPr>
              <w:t>浓度为</w:t>
            </w:r>
            <w:r>
              <w:rPr>
                <w:rFonts w:hint="eastAsia" w:ascii="Times New Roman" w:hAnsi="Times New Roman"/>
                <w:szCs w:val="24"/>
              </w:rPr>
              <w:t>31</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、PM</w:t>
            </w:r>
            <w:r>
              <w:rPr>
                <w:rFonts w:ascii="Times New Roman" w:hAnsi="Times New Roman"/>
                <w:szCs w:val="24"/>
                <w:vertAlign w:val="subscript"/>
              </w:rPr>
              <w:t>2.5</w:t>
            </w:r>
            <w:r>
              <w:rPr>
                <w:rFonts w:ascii="Times New Roman" w:hAnsi="Times New Roman"/>
                <w:szCs w:val="24"/>
              </w:rPr>
              <w:t>浓度为</w:t>
            </w:r>
            <w:r>
              <w:rPr>
                <w:rFonts w:hint="eastAsia" w:ascii="Times New Roman" w:hAnsi="Times New Roman"/>
                <w:szCs w:val="24"/>
              </w:rPr>
              <w:t>18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、CO（95per）浓度为</w:t>
            </w:r>
            <w:r>
              <w:rPr>
                <w:rFonts w:hint="eastAsia" w:ascii="Times New Roman" w:hAnsi="Times New Roman"/>
                <w:szCs w:val="24"/>
              </w:rPr>
              <w:t>0.8</w:t>
            </w:r>
            <w:r>
              <w:rPr>
                <w:rFonts w:ascii="Times New Roman" w:hAnsi="Times New Roman"/>
                <w:szCs w:val="24"/>
              </w:rPr>
              <w:t>mg/m</w:t>
            </w:r>
            <w:r>
              <w:rPr>
                <w:rFonts w:ascii="Times New Roman" w:hAnsi="Times New Roman"/>
                <w:szCs w:val="24"/>
                <w:vertAlign w:val="superscript"/>
              </w:rPr>
              <w:t>3</w:t>
            </w:r>
            <w:r>
              <w:rPr>
                <w:rFonts w:ascii="Times New Roman" w:hAnsi="Times New Roman"/>
                <w:szCs w:val="24"/>
              </w:rPr>
              <w:t>、O</w:t>
            </w:r>
            <w:r>
              <w:rPr>
                <w:rFonts w:ascii="Times New Roman" w:hAnsi="Times New Roman"/>
                <w:szCs w:val="24"/>
                <w:vertAlign w:val="subscript"/>
              </w:rPr>
              <w:t>3</w:t>
            </w:r>
            <w:r>
              <w:rPr>
                <w:rFonts w:ascii="Times New Roman" w:hAnsi="Times New Roman"/>
                <w:szCs w:val="24"/>
              </w:rPr>
              <w:t>（8h-90per）浓度为</w:t>
            </w:r>
            <w:r>
              <w:rPr>
                <w:rFonts w:hint="eastAsia" w:ascii="Times New Roman" w:hAnsi="Times New Roman"/>
                <w:szCs w:val="24"/>
              </w:rPr>
              <w:t>108</w:t>
            </w:r>
            <w:r>
              <w:rPr>
                <w:rFonts w:ascii="Times New Roman" w:hAnsi="Times New Roman"/>
                <w:szCs w:val="24"/>
              </w:rPr>
              <w:t>μg/m</w:t>
            </w:r>
            <w:r>
              <w:rPr>
                <w:rFonts w:ascii="Times New Roman" w:hAnsi="Times New Roman"/>
                <w:szCs w:val="24"/>
                <w:vertAlign w:val="superscript"/>
              </w:rPr>
              <w:t>3</w:t>
            </w:r>
            <w:r>
              <w:rPr>
                <w:rFonts w:ascii="Times New Roman" w:hAnsi="Times New Roman"/>
                <w:szCs w:val="24"/>
              </w:rPr>
              <w:t>。项目所在的区域为环境空气质量达标区。</w:t>
            </w:r>
          </w:p>
          <w:p>
            <w:pPr>
              <w:ind w:firstLine="480" w:firstLineChars="200"/>
            </w:pPr>
            <w:r>
              <w:rPr>
                <w:rFonts w:hint="eastAsia"/>
              </w:rPr>
              <w:t>②特征污染物</w:t>
            </w:r>
          </w:p>
          <w:p>
            <w:pPr>
              <w:pStyle w:val="46"/>
              <w:rPr>
                <w:color w:val="auto"/>
              </w:rPr>
            </w:pPr>
            <w:r>
              <w:rPr>
                <w:color w:val="auto"/>
              </w:rPr>
              <w:t>为了解本项目特征污染物（</w:t>
            </w:r>
            <w:r>
              <w:rPr>
                <w:rFonts w:hint="eastAsia"/>
                <w:color w:val="auto"/>
              </w:rPr>
              <w:t>TSP</w:t>
            </w:r>
            <w:r>
              <w:rPr>
                <w:color w:val="auto"/>
              </w:rPr>
              <w:t>）环境空气质量现状情况，</w:t>
            </w:r>
            <w:r>
              <w:rPr>
                <w:rFonts w:hint="eastAsia"/>
                <w:color w:val="auto"/>
              </w:rPr>
              <w:t>本项目委托</w:t>
            </w:r>
            <w:r>
              <w:rPr>
                <w:color w:val="auto"/>
              </w:rPr>
              <w:t>福建天安环境检测评价有限公司</w:t>
            </w:r>
            <w:r>
              <w:rPr>
                <w:rFonts w:hint="eastAsia"/>
                <w:color w:val="auto"/>
              </w:rPr>
              <w:t>于2023年12月28日～12月30日（连续3天）对项目所在地环境空气质量进行现状监测，监测因子为TSP，</w:t>
            </w:r>
            <w:r>
              <w:rPr>
                <w:color w:val="auto"/>
              </w:rPr>
              <w:t>监测点位位于项目</w:t>
            </w:r>
            <w:r>
              <w:rPr>
                <w:rFonts w:hint="eastAsia"/>
                <w:color w:val="auto"/>
              </w:rPr>
              <w:t>南</w:t>
            </w:r>
            <w:r>
              <w:rPr>
                <w:color w:val="auto"/>
              </w:rPr>
              <w:t>侧</w:t>
            </w:r>
            <w:r>
              <w:rPr>
                <w:rFonts w:hint="eastAsia"/>
                <w:color w:val="auto"/>
              </w:rPr>
              <w:t>40m处，</w:t>
            </w:r>
            <w:r>
              <w:rPr>
                <w:color w:val="auto"/>
              </w:rPr>
              <w:t>具体见图3-1</w:t>
            </w:r>
            <w:r>
              <w:rPr>
                <w:rFonts w:hint="eastAsia"/>
                <w:color w:val="auto"/>
              </w:rPr>
              <w:t>。</w:t>
            </w:r>
            <w:r>
              <w:rPr>
                <w:color w:val="auto"/>
              </w:rPr>
              <w:t>具体监测结果见</w:t>
            </w:r>
            <w:r>
              <w:rPr>
                <w:rFonts w:hint="eastAsia"/>
                <w:color w:val="auto"/>
              </w:rPr>
              <w:t>表3.1-3。</w:t>
            </w:r>
          </w:p>
          <w:p>
            <w:pPr>
              <w:pStyle w:val="4"/>
              <w:spacing w:after="60" w:line="260" w:lineRule="auto"/>
              <w:ind w:right="-120"/>
              <w:jc w:val="center"/>
              <w:rPr>
                <w:rFonts w:ascii="Times New Roman" w:hAnsi="Times New Roman"/>
              </w:rPr>
            </w:pPr>
            <w:r>
              <w:rPr>
                <w:rFonts w:ascii="Times New Roman" w:hAnsi="Times New Roman" w:eastAsia="黑体"/>
                <w:sz w:val="24"/>
                <w:szCs w:val="24"/>
              </w:rPr>
              <w:t>表3.1-</w:t>
            </w:r>
            <w:r>
              <w:rPr>
                <w:rFonts w:hint="eastAsia" w:ascii="Times New Roman" w:hAnsi="Times New Roman" w:eastAsia="黑体"/>
                <w:sz w:val="24"/>
                <w:szCs w:val="24"/>
              </w:rPr>
              <w:t>3</w:t>
            </w:r>
            <w:r>
              <w:rPr>
                <w:rFonts w:ascii="Times New Roman" w:hAnsi="Times New Roman" w:eastAsia="黑体"/>
                <w:sz w:val="24"/>
                <w:szCs w:val="24"/>
              </w:rPr>
              <w:t xml:space="preserve">  </w:t>
            </w:r>
            <w:bookmarkStart w:id="8" w:name="_Ref82785107"/>
            <w:r>
              <w:rPr>
                <w:rFonts w:hint="eastAsia" w:ascii="Times New Roman" w:hAnsi="Times New Roman" w:eastAsia="黑体"/>
                <w:sz w:val="24"/>
                <w:szCs w:val="24"/>
              </w:rPr>
              <w:t>特征</w:t>
            </w:r>
            <w:r>
              <w:rPr>
                <w:rFonts w:ascii="Times New Roman" w:hAnsi="Times New Roman" w:eastAsia="黑体"/>
                <w:sz w:val="24"/>
                <w:szCs w:val="24"/>
              </w:rPr>
              <w:t>污染物环境空气现状监测结果</w:t>
            </w:r>
            <w:bookmarkEnd w:id="8"/>
          </w:p>
          <w:tbl>
            <w:tblPr>
              <w:tblStyle w:val="25"/>
              <w:tblW w:w="813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1731"/>
              <w:gridCol w:w="788"/>
              <w:gridCol w:w="756"/>
              <w:gridCol w:w="1182"/>
              <w:gridCol w:w="1182"/>
              <w:gridCol w:w="719"/>
              <w:gridCol w:w="558"/>
              <w:gridCol w:w="6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3"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监测点位</w:t>
                  </w:r>
                </w:p>
              </w:tc>
              <w:tc>
                <w:tcPr>
                  <w:tcW w:w="1499"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监测点坐标</w:t>
                  </w:r>
                </w:p>
              </w:tc>
              <w:tc>
                <w:tcPr>
                  <w:tcW w:w="859"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污染物</w:t>
                  </w:r>
                </w:p>
              </w:tc>
              <w:tc>
                <w:tcPr>
                  <w:tcW w:w="864"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平均时间</w:t>
                  </w:r>
                </w:p>
              </w:tc>
              <w:tc>
                <w:tcPr>
                  <w:tcW w:w="1152"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监测浓度</w:t>
                  </w:r>
                </w:p>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范围（</w:t>
                  </w:r>
                  <w:r>
                    <w:rPr>
                      <w:rFonts w:hint="eastAsia" w:ascii="Times New Roman" w:hAnsi="Times New Roman"/>
                      <w:sz w:val="18"/>
                      <w:szCs w:val="18"/>
                    </w:rPr>
                    <w:t>mg</w:t>
                  </w:r>
                  <w:r>
                    <w:rPr>
                      <w:rFonts w:ascii="Times New Roman" w:hAnsi="Times New Roman"/>
                      <w:sz w:val="18"/>
                      <w:szCs w:val="18"/>
                    </w:rPr>
                    <w:t>/m</w:t>
                  </w:r>
                  <w:r>
                    <w:rPr>
                      <w:rFonts w:ascii="Times New Roman" w:hAnsi="Times New Roman"/>
                      <w:sz w:val="18"/>
                      <w:szCs w:val="18"/>
                      <w:vertAlign w:val="superscript"/>
                    </w:rPr>
                    <w:t>3</w:t>
                  </w:r>
                  <w:r>
                    <w:rPr>
                      <w:rFonts w:ascii="Times New Roman" w:hAnsi="Times New Roman"/>
                      <w:sz w:val="18"/>
                      <w:szCs w:val="18"/>
                    </w:rPr>
                    <w:t>）</w:t>
                  </w:r>
                </w:p>
              </w:tc>
              <w:tc>
                <w:tcPr>
                  <w:tcW w:w="109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评价标准（</w:t>
                  </w:r>
                  <w:r>
                    <w:rPr>
                      <w:rFonts w:hint="eastAsia" w:ascii="Times New Roman" w:hAnsi="Times New Roman"/>
                      <w:sz w:val="18"/>
                      <w:szCs w:val="18"/>
                    </w:rPr>
                    <w:t>m</w:t>
                  </w:r>
                  <w:r>
                    <w:rPr>
                      <w:rFonts w:ascii="Times New Roman" w:hAnsi="Times New Roman"/>
                      <w:sz w:val="18"/>
                      <w:szCs w:val="18"/>
                    </w:rPr>
                    <w:t>g/m</w:t>
                  </w:r>
                  <w:r>
                    <w:rPr>
                      <w:rFonts w:ascii="Times New Roman" w:hAnsi="Times New Roman"/>
                      <w:sz w:val="18"/>
                      <w:szCs w:val="18"/>
                      <w:vertAlign w:val="superscript"/>
                    </w:rPr>
                    <w:t>3</w:t>
                  </w:r>
                  <w:r>
                    <w:rPr>
                      <w:rFonts w:ascii="Times New Roman" w:hAnsi="Times New Roman"/>
                      <w:sz w:val="18"/>
                      <w:szCs w:val="18"/>
                    </w:rPr>
                    <w:t>）</w:t>
                  </w:r>
                </w:p>
              </w:tc>
              <w:tc>
                <w:tcPr>
                  <w:tcW w:w="77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最大浓度占标率(%)</w:t>
                  </w:r>
                </w:p>
              </w:tc>
              <w:tc>
                <w:tcPr>
                  <w:tcW w:w="567"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超标率(%)</w:t>
                  </w:r>
                </w:p>
              </w:tc>
              <w:tc>
                <w:tcPr>
                  <w:tcW w:w="68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3"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Q</w:t>
                  </w:r>
                  <w:r>
                    <w:rPr>
                      <w:rFonts w:ascii="Times New Roman" w:hAnsi="Times New Roman"/>
                      <w:sz w:val="18"/>
                      <w:szCs w:val="18"/>
                    </w:rPr>
                    <w:t>1</w:t>
                  </w:r>
                </w:p>
              </w:tc>
              <w:tc>
                <w:tcPr>
                  <w:tcW w:w="1499" w:type="dxa"/>
                  <w:vAlign w:val="center"/>
                </w:tcPr>
                <w:p>
                  <w:pPr>
                    <w:spacing w:line="240" w:lineRule="exact"/>
                    <w:jc w:val="center"/>
                    <w:rPr>
                      <w:rFonts w:ascii="Times New Roman" w:hAnsi="Times New Roman"/>
                      <w:sz w:val="18"/>
                      <w:szCs w:val="18"/>
                    </w:rPr>
                  </w:pPr>
                  <w:r>
                    <w:rPr>
                      <w:rFonts w:ascii="Times New Roman" w:hAnsi="Times New Roman"/>
                      <w:sz w:val="18"/>
                      <w:szCs w:val="18"/>
                    </w:rPr>
                    <w:t>E11</w:t>
                  </w:r>
                  <w:r>
                    <w:rPr>
                      <w:rFonts w:hint="eastAsia" w:ascii="Times New Roman" w:hAnsi="Times New Roman"/>
                      <w:sz w:val="18"/>
                      <w:szCs w:val="18"/>
                    </w:rPr>
                    <w:t>7</w:t>
                  </w:r>
                  <w:r>
                    <w:rPr>
                      <w:rFonts w:ascii="Times New Roman" w:hAnsi="Times New Roman"/>
                      <w:sz w:val="18"/>
                      <w:szCs w:val="18"/>
                    </w:rPr>
                    <w:t>°</w:t>
                  </w:r>
                  <w:r>
                    <w:rPr>
                      <w:rFonts w:hint="eastAsia" w:ascii="Times New Roman" w:hAnsi="Times New Roman"/>
                      <w:sz w:val="18"/>
                      <w:szCs w:val="18"/>
                    </w:rPr>
                    <w:t>47</w:t>
                  </w:r>
                  <w:r>
                    <w:rPr>
                      <w:rFonts w:ascii="Times New Roman" w:hAnsi="Times New Roman"/>
                      <w:sz w:val="18"/>
                      <w:szCs w:val="18"/>
                    </w:rPr>
                    <w:t>′</w:t>
                  </w:r>
                  <w:r>
                    <w:rPr>
                      <w:rFonts w:hint="eastAsia" w:ascii="Times New Roman" w:hAnsi="Times New Roman"/>
                      <w:sz w:val="18"/>
                      <w:szCs w:val="18"/>
                    </w:rPr>
                    <w:t>26</w:t>
                  </w:r>
                  <w:r>
                    <w:rPr>
                      <w:rFonts w:ascii="Times New Roman" w:hAnsi="Times New Roman"/>
                      <w:sz w:val="18"/>
                      <w:szCs w:val="18"/>
                    </w:rPr>
                    <w:t>.</w:t>
                  </w:r>
                  <w:r>
                    <w:rPr>
                      <w:rFonts w:hint="eastAsia" w:ascii="Times New Roman" w:hAnsi="Times New Roman"/>
                      <w:sz w:val="18"/>
                      <w:szCs w:val="18"/>
                    </w:rPr>
                    <w:t>714</w:t>
                  </w:r>
                  <w:r>
                    <w:rPr>
                      <w:rFonts w:ascii="Times New Roman" w:hAnsi="Times New Roman"/>
                      <w:sz w:val="18"/>
                      <w:szCs w:val="18"/>
                    </w:rPr>
                    <w:t>″</w:t>
                  </w:r>
                </w:p>
                <w:p>
                  <w:pPr>
                    <w:spacing w:line="240" w:lineRule="exact"/>
                    <w:jc w:val="center"/>
                    <w:rPr>
                      <w:rFonts w:ascii="Times New Roman" w:hAnsi="Times New Roman"/>
                      <w:sz w:val="18"/>
                      <w:szCs w:val="18"/>
                    </w:rPr>
                  </w:pPr>
                  <w:r>
                    <w:rPr>
                      <w:rFonts w:ascii="Times New Roman" w:hAnsi="Times New Roman"/>
                      <w:sz w:val="18"/>
                      <w:szCs w:val="18"/>
                    </w:rPr>
                    <w:t>N2</w:t>
                  </w:r>
                  <w:r>
                    <w:rPr>
                      <w:rFonts w:hint="eastAsia" w:ascii="Times New Roman" w:hAnsi="Times New Roman"/>
                      <w:sz w:val="18"/>
                      <w:szCs w:val="18"/>
                    </w:rPr>
                    <w:t>5</w:t>
                  </w:r>
                  <w:r>
                    <w:rPr>
                      <w:rFonts w:ascii="Times New Roman" w:hAnsi="Times New Roman"/>
                      <w:sz w:val="18"/>
                      <w:szCs w:val="18"/>
                    </w:rPr>
                    <w:t>°</w:t>
                  </w:r>
                  <w:r>
                    <w:rPr>
                      <w:rFonts w:hint="eastAsia" w:ascii="Times New Roman" w:hAnsi="Times New Roman"/>
                      <w:sz w:val="18"/>
                      <w:szCs w:val="18"/>
                    </w:rPr>
                    <w:t>37</w:t>
                  </w:r>
                  <w:r>
                    <w:rPr>
                      <w:rFonts w:ascii="Times New Roman" w:hAnsi="Times New Roman"/>
                      <w:sz w:val="18"/>
                      <w:szCs w:val="18"/>
                    </w:rPr>
                    <w:t>′</w:t>
                  </w:r>
                  <w:r>
                    <w:rPr>
                      <w:rFonts w:hint="eastAsia" w:ascii="Times New Roman" w:hAnsi="Times New Roman"/>
                      <w:sz w:val="18"/>
                      <w:szCs w:val="18"/>
                    </w:rPr>
                    <w:t>57.146</w:t>
                  </w:r>
                  <w:r>
                    <w:rPr>
                      <w:rFonts w:ascii="Times New Roman" w:hAnsi="Times New Roman"/>
                      <w:sz w:val="18"/>
                      <w:szCs w:val="18"/>
                    </w:rPr>
                    <w:t>″</w:t>
                  </w:r>
                </w:p>
              </w:tc>
              <w:tc>
                <w:tcPr>
                  <w:tcW w:w="859"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TSP</w:t>
                  </w:r>
                </w:p>
              </w:tc>
              <w:tc>
                <w:tcPr>
                  <w:tcW w:w="864" w:type="dxa"/>
                  <w:vAlign w:val="center"/>
                </w:tcPr>
                <w:p>
                  <w:pPr>
                    <w:adjustRightInd w:val="0"/>
                    <w:snapToGrid w:val="0"/>
                    <w:spacing w:line="240" w:lineRule="exact"/>
                    <w:jc w:val="center"/>
                    <w:rPr>
                      <w:rFonts w:ascii="Times New Roman" w:hAnsi="Times New Roman"/>
                      <w:sz w:val="18"/>
                      <w:szCs w:val="18"/>
                    </w:rPr>
                  </w:pPr>
                  <w:r>
                    <w:rPr>
                      <w:rFonts w:hint="eastAsia" w:ascii="Times New Roman" w:hAnsi="Times New Roman"/>
                      <w:sz w:val="18"/>
                      <w:szCs w:val="18"/>
                    </w:rPr>
                    <w:t>日均值</w:t>
                  </w:r>
                </w:p>
              </w:tc>
              <w:tc>
                <w:tcPr>
                  <w:tcW w:w="1152"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0.148-0.177</w:t>
                  </w:r>
                </w:p>
              </w:tc>
              <w:tc>
                <w:tcPr>
                  <w:tcW w:w="109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0.3</w:t>
                  </w:r>
                </w:p>
              </w:tc>
              <w:tc>
                <w:tcPr>
                  <w:tcW w:w="776" w:type="dxa"/>
                  <w:vAlign w:val="center"/>
                </w:tcPr>
                <w:p>
                  <w:pPr>
                    <w:spacing w:line="240" w:lineRule="exact"/>
                    <w:jc w:val="center"/>
                    <w:rPr>
                      <w:rFonts w:ascii="Times New Roman" w:hAnsi="Times New Roman"/>
                      <w:sz w:val="18"/>
                      <w:szCs w:val="18"/>
                    </w:rPr>
                  </w:pPr>
                  <w:r>
                    <w:rPr>
                      <w:rFonts w:hint="eastAsia" w:ascii="Times New Roman" w:hAnsi="Times New Roman"/>
                      <w:sz w:val="18"/>
                      <w:szCs w:val="18"/>
                    </w:rPr>
                    <w:t>59</w:t>
                  </w:r>
                </w:p>
              </w:tc>
              <w:tc>
                <w:tcPr>
                  <w:tcW w:w="567"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0</w:t>
                  </w:r>
                </w:p>
              </w:tc>
              <w:tc>
                <w:tcPr>
                  <w:tcW w:w="686" w:type="dxa"/>
                  <w:vAlign w:val="center"/>
                </w:tcPr>
                <w:p>
                  <w:pPr>
                    <w:adjustRightInd w:val="0"/>
                    <w:snapToGrid w:val="0"/>
                    <w:spacing w:line="240" w:lineRule="exact"/>
                    <w:jc w:val="center"/>
                    <w:rPr>
                      <w:rFonts w:ascii="Times New Roman" w:hAnsi="Times New Roman"/>
                      <w:sz w:val="18"/>
                      <w:szCs w:val="18"/>
                    </w:rPr>
                  </w:pPr>
                  <w:r>
                    <w:rPr>
                      <w:rFonts w:ascii="Times New Roman" w:hAnsi="Times New Roman"/>
                      <w:sz w:val="18"/>
                      <w:szCs w:val="18"/>
                    </w:rPr>
                    <w:t>达标</w:t>
                  </w:r>
                </w:p>
              </w:tc>
            </w:tr>
          </w:tbl>
          <w:p>
            <w:pPr>
              <w:adjustRightInd w:val="0"/>
              <w:snapToGrid w:val="0"/>
              <w:spacing w:line="440" w:lineRule="exact"/>
              <w:ind w:firstLine="480" w:firstLineChars="200"/>
              <w:rPr>
                <w:rFonts w:ascii="Times New Roman" w:hAnsi="Times New Roman"/>
              </w:rPr>
            </w:pPr>
            <w:r>
              <w:rPr>
                <w:rFonts w:ascii="Times New Roman" w:hAnsi="Times New Roman"/>
              </w:rPr>
              <w:t>根据监测结果，</w:t>
            </w:r>
            <w:r>
              <w:rPr>
                <w:rFonts w:hint="eastAsia" w:ascii="Times New Roman" w:hAnsi="Times New Roman"/>
              </w:rPr>
              <w:t>大气环境质量</w:t>
            </w:r>
            <w:r>
              <w:rPr>
                <w:rFonts w:ascii="Times New Roman" w:hAnsi="Times New Roman"/>
              </w:rPr>
              <w:t>监测点的</w:t>
            </w:r>
            <w:r>
              <w:rPr>
                <w:rFonts w:hint="eastAsia" w:ascii="Times New Roman" w:hAnsi="Times New Roman"/>
              </w:rPr>
              <w:t>TSP浓度日均值</w:t>
            </w:r>
            <w:r>
              <w:rPr>
                <w:rFonts w:ascii="Times New Roman" w:hAnsi="Times New Roman"/>
              </w:rPr>
              <w:t>满足《环境空气质量标准》(GB3095-2012)表</w:t>
            </w:r>
            <w:r>
              <w:rPr>
                <w:rFonts w:hint="eastAsia" w:ascii="Times New Roman" w:hAnsi="Times New Roman"/>
              </w:rPr>
              <w:t>2</w:t>
            </w:r>
            <w:r>
              <w:rPr>
                <w:rFonts w:ascii="Times New Roman" w:hAnsi="Times New Roman"/>
              </w:rPr>
              <w:t>二级标准</w:t>
            </w:r>
            <w:r>
              <w:rPr>
                <w:rFonts w:hint="eastAsia" w:ascii="Times New Roman" w:hAnsi="Times New Roman"/>
              </w:rPr>
              <w:t>。项目所在区域环境质量现状良好，具有一定的环境容量。具体检测报告见附件七。</w:t>
            </w:r>
          </w:p>
          <w:p>
            <w:pPr>
              <w:pStyle w:val="46"/>
              <w:rPr>
                <w:color w:val="auto"/>
              </w:rPr>
            </w:pPr>
          </w:p>
          <w:p>
            <w:pPr>
              <w:pStyle w:val="46"/>
              <w:rPr>
                <w:color w:val="auto"/>
              </w:rPr>
            </w:pPr>
          </w:p>
          <w:p>
            <w:pPr>
              <w:pStyle w:val="46"/>
              <w:rPr>
                <w:color w:val="auto"/>
              </w:rPr>
            </w:pPr>
          </w:p>
          <w:p>
            <w:pPr>
              <w:pStyle w:val="46"/>
              <w:rPr>
                <w:color w:val="auto"/>
              </w:rPr>
            </w:pPr>
          </w:p>
          <w:p>
            <w:pPr>
              <w:pStyle w:val="46"/>
              <w:rPr>
                <w:color w:val="auto"/>
              </w:rPr>
            </w:pPr>
          </w:p>
          <w:p>
            <w:pPr>
              <w:pStyle w:val="46"/>
              <w:rPr>
                <w:color w:val="auto"/>
              </w:rPr>
            </w:pPr>
          </w:p>
          <w:p>
            <w:pPr>
              <w:jc w:val="center"/>
              <w:rPr>
                <w:rFonts w:ascii="Times New Roman" w:hAnsi="Times New Roman"/>
              </w:rPr>
            </w:pPr>
            <w:r>
              <w:rPr>
                <w:rFonts w:ascii="Times New Roman" w:hAnsi="Times New Roman"/>
                <w:sz w:val="21"/>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2587625</wp:posOffset>
                      </wp:positionV>
                      <wp:extent cx="519430" cy="37147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519430" cy="371475"/>
                              </a:xfrm>
                              <a:prstGeom prst="rect">
                                <a:avLst/>
                              </a:prstGeom>
                              <a:noFill/>
                              <a:ln>
                                <a:noFill/>
                              </a:ln>
                            </wps:spPr>
                            <wps:txbx>
                              <w:txbxContent>
                                <w:p>
                                  <w:pPr>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1#</w:t>
                                  </w:r>
                                </w:p>
                              </w:txbxContent>
                            </wps:txbx>
                            <wps:bodyPr upright="1"/>
                          </wps:wsp>
                        </a:graphicData>
                      </a:graphic>
                    </wp:anchor>
                  </w:drawing>
                </mc:Choice>
                <mc:Fallback>
                  <w:pict>
                    <v:shape id="_x0000_s1026" o:spid="_x0000_s1026" o:spt="202" type="#_x0000_t202" style="position:absolute;left:0pt;margin-left:170.25pt;margin-top:203.75pt;height:29.25pt;width:40.9pt;z-index:251662336;mso-width-relative:page;mso-height-relative:page;" filled="f" stroked="f" coordsize="21600,21600" o:gfxdata="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JfPLVHYAAAACwEAAA8AAAAAAAAAAQAgAAAAOAAAAGRycy9kb3ducmV2&#10;LnhtbFBLAQIUABQAAAAIAIdO4kAoUlUsrQEAAE8DAAAOAAAAAAAAAAEAIAAAAD0BAABkcnMvZTJv&#10;RG9jLnhtbFBLBQYAAAAABgAGAFkBAABcBQAAAAA=&#10;">
                      <v:fill on="f" focussize="0,0"/>
                      <v:stroke on="f"/>
                      <v:imagedata o:title=""/>
                      <o:lock v:ext="edit" aspectratio="f"/>
                      <v:textbox>
                        <w:txbxContent>
                          <w:p>
                            <w:pPr>
                              <w:rPr>
                                <w:rFonts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1#</w:t>
                            </w: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2582545</wp:posOffset>
                      </wp:positionH>
                      <wp:positionV relativeFrom="paragraph">
                        <wp:posOffset>2637155</wp:posOffset>
                      </wp:positionV>
                      <wp:extent cx="201930" cy="203200"/>
                      <wp:effectExtent l="9525" t="9525" r="17145" b="15875"/>
                      <wp:wrapNone/>
                      <wp:docPr id="49" name="椭圆 49"/>
                      <wp:cNvGraphicFramePr/>
                      <a:graphic xmlns:a="http://schemas.openxmlformats.org/drawingml/2006/main">
                        <a:graphicData uri="http://schemas.microsoft.com/office/word/2010/wordprocessingShape">
                          <wps:wsp>
                            <wps:cNvSpPr/>
                            <wps:spPr>
                              <a:xfrm>
                                <a:off x="0" y="0"/>
                                <a:ext cx="201930" cy="2032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3.35pt;margin-top:207.65pt;height:16pt;width:15.9pt;z-index:251661312;v-text-anchor:middle;mso-width-relative:page;mso-height-relative:page;" filled="f" stroked="t" coordsize="21600,21600" o:gfxdata="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WAAAAZHJzL1BLAQIUABQAAAAIAIdO4kD7e9pw2QAAAAsBAAAPAAAAAAAAAAEAIAAAADgA&#10;AABkcnMvZG93bnJldi54bWxQSwECFAAUAAAACACHTuJA91dO0mQCAADGBAAADgAAAAAAAAABACAA&#10;AAA+AQAAZHJzL2Uyb0RvYy54bWxQSwUGAAAAAAYABgBZAQAAFAY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3863975</wp:posOffset>
                      </wp:positionH>
                      <wp:positionV relativeFrom="paragraph">
                        <wp:posOffset>5689600</wp:posOffset>
                      </wp:positionV>
                      <wp:extent cx="365125" cy="8255"/>
                      <wp:effectExtent l="0" t="0" r="0" b="0"/>
                      <wp:wrapNone/>
                      <wp:docPr id="42" name="直接连接符 42"/>
                      <wp:cNvGraphicFramePr/>
                      <a:graphic xmlns:a="http://schemas.openxmlformats.org/drawingml/2006/main">
                        <a:graphicData uri="http://schemas.microsoft.com/office/word/2010/wordprocessingShape">
                          <wps:wsp>
                            <wps:cNvCnPr/>
                            <wps:spPr>
                              <a:xfrm flipV="1">
                                <a:off x="5139690" y="7117080"/>
                                <a:ext cx="365125" cy="8255"/>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04.25pt;margin-top:448pt;height:0.65pt;width:28.75pt;z-index:251663360;mso-width-relative:page;mso-height-relative:page;" filled="f" stroked="t" coordsize="21600,21600" o:gfxdata="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INq3JrWAAAACwEAAA8AAAAAAAAAAQAgAAAAOAAA&#10;AGRycy9kb3ducmV2LnhtbFBLAQIUABQAAAAIAIdO4kD4eMA59AEAALUDAAAOAAAAAAAAAAEAIAAA&#10;ADsBAABkcnMvZTJvRG9jLnhtbFBLBQYAAAAABgAGAFkBAAChBQAAAAA=&#10;">
                      <v:fill on="f" focussize="0,0"/>
                      <v:stroke weight="2pt" color="#FF0000 [3204]" joinstyle="round"/>
                      <v:imagedata o:title=""/>
                      <o:lock v:ext="edit" aspectratio="f"/>
                    </v:line>
                  </w:pict>
                </mc:Fallback>
              </mc:AlternateContent>
            </w:r>
            <w:r>
              <w:rPr>
                <w:rFonts w:ascii="Times New Roman" w:hAnsi="Times New Roman"/>
                <w:sz w:val="21"/>
              </w:rPr>
              <mc:AlternateContent>
                <mc:Choice Requires="wps">
                  <w:drawing>
                    <wp:anchor distT="0" distB="0" distL="114300" distR="114300" simplePos="0" relativeHeight="251664384" behindDoc="0" locked="0" layoutInCell="1" allowOverlap="1">
                      <wp:simplePos x="0" y="0"/>
                      <wp:positionH relativeFrom="column">
                        <wp:posOffset>3751580</wp:posOffset>
                      </wp:positionH>
                      <wp:positionV relativeFrom="paragraph">
                        <wp:posOffset>5329555</wp:posOffset>
                      </wp:positionV>
                      <wp:extent cx="598805" cy="2857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598805" cy="285750"/>
                              </a:xfrm>
                              <a:prstGeom prst="rect">
                                <a:avLst/>
                              </a:prstGeom>
                              <a:noFill/>
                              <a:ln>
                                <a:noFill/>
                              </a:ln>
                            </wps:spPr>
                            <wps:txbx>
                              <w:txbxContent>
                                <w:p>
                                  <w:pPr>
                                    <w:rPr>
                                      <w:color w:val="FF0000"/>
                                      <w:sz w:val="30"/>
                                      <w:szCs w:val="30"/>
                                    </w:rPr>
                                  </w:pPr>
                                  <w:r>
                                    <w:rPr>
                                      <w:rFonts w:hint="eastAsia"/>
                                      <w:color w:val="FF0000"/>
                                      <w:sz w:val="30"/>
                                      <w:szCs w:val="30"/>
                                    </w:rPr>
                                    <w:t>20m</w:t>
                                  </w:r>
                                </w:p>
                              </w:txbxContent>
                            </wps:txbx>
                            <wps:bodyPr upright="1"/>
                          </wps:wsp>
                        </a:graphicData>
                      </a:graphic>
                    </wp:anchor>
                  </w:drawing>
                </mc:Choice>
                <mc:Fallback>
                  <w:pict>
                    <v:shape id="_x0000_s1026" o:spid="_x0000_s1026" o:spt="202" type="#_x0000_t202" style="position:absolute;left:0pt;margin-left:295.4pt;margin-top:419.65pt;height:22.5pt;width:47.15pt;z-index:251664384;mso-width-relative:page;mso-height-relative:page;" filled="f" stroked="f" coordsize="21600,21600" o:gfxdata="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U1H042AAAAAsBAAAPAAAAAAAAAAEAIAAAADgAAABkcnMvZG93bnJl&#10;di54bWxQSwECFAAUAAAACACHTuJA0yNuCK4BAABPAwAADgAAAAAAAAABACAAAAA9AQAAZHJzL2Uy&#10;b0RvYy54bWxQSwUGAAAAAAYABgBZAQAAXQUAAAAA&#10;">
                      <v:fill on="f" focussize="0,0"/>
                      <v:stroke on="f"/>
                      <v:imagedata o:title=""/>
                      <o:lock v:ext="edit" aspectratio="f"/>
                      <v:textbox>
                        <w:txbxContent>
                          <w:p>
                            <w:pPr>
                              <w:rPr>
                                <w:color w:val="FF0000"/>
                                <w:sz w:val="30"/>
                                <w:szCs w:val="30"/>
                              </w:rPr>
                            </w:pPr>
                            <w:r>
                              <w:rPr>
                                <w:rFonts w:hint="eastAsia"/>
                                <w:color w:val="FF0000"/>
                                <w:sz w:val="30"/>
                                <w:szCs w:val="30"/>
                              </w:rPr>
                              <w:t>20m</w:t>
                            </w:r>
                          </w:p>
                        </w:txbxContent>
                      </v:textbox>
                    </v:shape>
                  </w:pict>
                </mc:Fallback>
              </mc:AlternateContent>
            </w: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734695</wp:posOffset>
                      </wp:positionH>
                      <wp:positionV relativeFrom="paragraph">
                        <wp:posOffset>5520055</wp:posOffset>
                      </wp:positionV>
                      <wp:extent cx="144780" cy="144145"/>
                      <wp:effectExtent l="9525" t="9525" r="17145" b="17780"/>
                      <wp:wrapNone/>
                      <wp:docPr id="47" name="椭圆 47"/>
                      <wp:cNvGraphicFramePr/>
                      <a:graphic xmlns:a="http://schemas.openxmlformats.org/drawingml/2006/main">
                        <a:graphicData uri="http://schemas.microsoft.com/office/word/2010/wordprocessingShape">
                          <wps:wsp>
                            <wps:cNvSpPr/>
                            <wps:spPr>
                              <a:xfrm>
                                <a:off x="0" y="0"/>
                                <a:ext cx="144780" cy="14414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7.85pt;margin-top:434.65pt;height:11.35pt;width:11.4pt;z-index:251660288;v-text-anchor:middle;mso-width-relative:page;mso-height-relative:page;" filled="f" stroked="t" coordsize="21600,21600" o:gfxdata="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FgAAAGRycy9QSwECFAAUAAAACACHTuJAh8QxrdgAAAALAQAADwAAAAAAAAABACAAAAA4AAAA&#10;ZHJzL2Rvd25yZXYueG1sUEsBAhQAFAAAAAgAh07iQDR9TXJjAgAAxgQAAA4AAAAAAAAAAQAgAAAA&#10;PQEAAGRycy9lMm9Eb2MueG1sUEsFBgAAAAAGAAYAWQEAABIGAAAAAA==&#10;">
                      <v:fill on="f" focussize="0,0"/>
                      <v:stroke weight="1.5pt" color="#FF0000" joinstyle="round"/>
                      <v:imagedata o:title=""/>
                      <o:lock v:ext="edit" aspectratio="f"/>
                    </v:shape>
                  </w:pict>
                </mc:Fallback>
              </mc:AlternateConten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689610</wp:posOffset>
                      </wp:positionH>
                      <wp:positionV relativeFrom="paragraph">
                        <wp:posOffset>5240655</wp:posOffset>
                      </wp:positionV>
                      <wp:extent cx="1660525" cy="551180"/>
                      <wp:effectExtent l="5080" t="4445" r="10795" b="15875"/>
                      <wp:wrapNone/>
                      <wp:docPr id="45" name="文本框 45"/>
                      <wp:cNvGraphicFramePr/>
                      <a:graphic xmlns:a="http://schemas.openxmlformats.org/drawingml/2006/main">
                        <a:graphicData uri="http://schemas.microsoft.com/office/word/2010/wordprocessingShape">
                          <wps:wsp>
                            <wps:cNvSpPr txBox="1"/>
                            <wps:spPr>
                              <a:xfrm>
                                <a:off x="0" y="0"/>
                                <a:ext cx="1660525" cy="551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60" w:firstLineChars="400"/>
                                  </w:pPr>
                                  <w:r>
                                    <w:rPr>
                                      <w:rFonts w:hint="eastAsia"/>
                                    </w:rPr>
                                    <w:t>图例</w:t>
                                  </w:r>
                                </w:p>
                                <w:p>
                                  <w:pPr>
                                    <w:ind w:firstLine="240" w:firstLineChars="100"/>
                                  </w:pPr>
                                  <w:r>
                                    <w:rPr>
                                      <w:rFonts w:hint="eastAsia"/>
                                    </w:rPr>
                                    <w:t>环境空气监测点位</w:t>
                                  </w:r>
                                </w:p>
                              </w:txbxContent>
                            </wps:txbx>
                            <wps:bodyPr upright="1"/>
                          </wps:wsp>
                        </a:graphicData>
                      </a:graphic>
                    </wp:anchor>
                  </w:drawing>
                </mc:Choice>
                <mc:Fallback>
                  <w:pict>
                    <v:shape id="_x0000_s1026" o:spid="_x0000_s1026" o:spt="202" type="#_x0000_t202" style="position:absolute;left:0pt;margin-left:54.3pt;margin-top:412.65pt;height:43.4pt;width:130.75pt;z-index:251659264;mso-width-relative:page;mso-height-relative:page;" fillcolor="#FFFFFF" filled="t" stroked="t" coordsize="21600,21600" o:gfxdata="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h2&#10;iUjZAAAACwEAAA8AAAAAAAAAAQAgAAAAOAAAAGRycy9kb3ducmV2LnhtbFBLAQIUABQAAAAIAIdO&#10;4kD9gJSzDAIAADgEAAAOAAAAAAAAAAEAIAAAAD4BAABkcnMvZTJvRG9jLnhtbFBLBQYAAAAABgAG&#10;AFkBAAC8BQAAAAA=&#10;">
                      <v:fill on="t" focussize="0,0"/>
                      <v:stroke color="#000000" joinstyle="miter"/>
                      <v:imagedata o:title=""/>
                      <o:lock v:ext="edit" aspectratio="f"/>
                      <v:textbox>
                        <w:txbxContent>
                          <w:p>
                            <w:pPr>
                              <w:ind w:firstLine="960" w:firstLineChars="400"/>
                            </w:pPr>
                            <w:r>
                              <w:rPr>
                                <w:rFonts w:hint="eastAsia"/>
                              </w:rPr>
                              <w:t>图例</w:t>
                            </w:r>
                          </w:p>
                          <w:p>
                            <w:pPr>
                              <w:ind w:firstLine="240" w:firstLineChars="100"/>
                            </w:pPr>
                            <w:r>
                              <w:rPr>
                                <w:rFonts w:hint="eastAsia"/>
                              </w:rPr>
                              <w:t>环境空气监测点位</w:t>
                            </w:r>
                          </w:p>
                        </w:txbxContent>
                      </v:textbox>
                    </v:shape>
                  </w:pict>
                </mc:Fallback>
              </mc:AlternateContent>
            </w:r>
            <w:r>
              <w:drawing>
                <wp:anchor distT="0" distB="0" distL="114300" distR="114300" simplePos="0" relativeHeight="251665408" behindDoc="0" locked="0" layoutInCell="1" allowOverlap="1">
                  <wp:simplePos x="0" y="0"/>
                  <wp:positionH relativeFrom="column">
                    <wp:posOffset>621665</wp:posOffset>
                  </wp:positionH>
                  <wp:positionV relativeFrom="paragraph">
                    <wp:posOffset>57150</wp:posOffset>
                  </wp:positionV>
                  <wp:extent cx="823595" cy="1038860"/>
                  <wp:effectExtent l="9525" t="9525" r="24130" b="18415"/>
                  <wp:wrapNone/>
                  <wp:docPr id="53" name="图片 53" descr="165658320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1656583201075"/>
                          <pic:cNvPicPr>
                            <a:picLocks noChangeAspect="1"/>
                          </pic:cNvPicPr>
                        </pic:nvPicPr>
                        <pic:blipFill>
                          <a:blip r:embed="rId13"/>
                          <a:stretch>
                            <a:fillRect/>
                          </a:stretch>
                        </pic:blipFill>
                        <pic:spPr>
                          <a:xfrm>
                            <a:off x="0" y="0"/>
                            <a:ext cx="823595" cy="1038860"/>
                          </a:xfrm>
                          <a:prstGeom prst="rect">
                            <a:avLst/>
                          </a:prstGeom>
                          <a:ln>
                            <a:solidFill>
                              <a:schemeClr val="tx1"/>
                            </a:solidFill>
                          </a:ln>
                        </pic:spPr>
                      </pic:pic>
                    </a:graphicData>
                  </a:graphic>
                </wp:anchor>
              </w:drawing>
            </w:r>
            <w:r>
              <w:rPr>
                <w:rFonts w:hint="eastAsia" w:ascii="Times New Roman" w:hAnsi="Times New Roman"/>
              </w:rPr>
              <w:drawing>
                <wp:inline distT="0" distB="0" distL="114300" distR="114300">
                  <wp:extent cx="3797300" cy="5822950"/>
                  <wp:effectExtent l="9525" t="9525" r="22225" b="15875"/>
                  <wp:docPr id="26" name="图片 26" descr="TSP监测点位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SP监测点位图"/>
                          <pic:cNvPicPr>
                            <a:picLocks noChangeAspect="1"/>
                          </pic:cNvPicPr>
                        </pic:nvPicPr>
                        <pic:blipFill>
                          <a:blip r:embed="rId14"/>
                          <a:srcRect l="3622" t="78" r="4090"/>
                          <a:stretch>
                            <a:fillRect/>
                          </a:stretch>
                        </pic:blipFill>
                        <pic:spPr>
                          <a:xfrm>
                            <a:off x="0" y="0"/>
                            <a:ext cx="3797300" cy="5822950"/>
                          </a:xfrm>
                          <a:prstGeom prst="rect">
                            <a:avLst/>
                          </a:prstGeom>
                          <a:ln>
                            <a:solidFill>
                              <a:schemeClr val="tx1"/>
                            </a:solidFill>
                          </a:ln>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eastAsia="黑体"/>
                <w:b w:val="0"/>
                <w:bCs w:val="0"/>
              </w:rPr>
            </w:pPr>
            <w:r>
              <w:rPr>
                <w:rFonts w:ascii="Times New Roman" w:hAnsi="Times New Roman" w:eastAsia="黑体"/>
                <w:bCs w:val="0"/>
                <w:sz w:val="21"/>
                <w:szCs w:val="21"/>
              </w:rPr>
              <w:t>图</w:t>
            </w:r>
            <w:r>
              <w:rPr>
                <w:rFonts w:hint="eastAsia" w:ascii="Times New Roman" w:hAnsi="Times New Roman" w:eastAsia="黑体"/>
                <w:bCs w:val="0"/>
                <w:sz w:val="21"/>
                <w:szCs w:val="21"/>
              </w:rPr>
              <w:t>3.1-1</w:t>
            </w:r>
            <w:r>
              <w:rPr>
                <w:rFonts w:ascii="Times New Roman" w:hAnsi="Times New Roman" w:eastAsia="黑体"/>
                <w:bCs w:val="0"/>
                <w:sz w:val="21"/>
                <w:szCs w:val="21"/>
              </w:rPr>
              <w:t>项目</w:t>
            </w:r>
            <w:r>
              <w:rPr>
                <w:rFonts w:hint="eastAsia" w:ascii="Times New Roman" w:hAnsi="Times New Roman" w:eastAsia="黑体"/>
                <w:bCs w:val="0"/>
                <w:sz w:val="21"/>
                <w:szCs w:val="21"/>
              </w:rPr>
              <w:t>环境空气监测点位图</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3.1.2地表水环境</w:t>
            </w:r>
          </w:p>
          <w:p>
            <w:pPr>
              <w:pStyle w:val="46"/>
              <w:numPr>
                <w:ilvl w:val="0"/>
                <w:numId w:val="9"/>
              </w:numPr>
              <w:ind w:firstLineChars="0"/>
              <w:rPr>
                <w:color w:val="auto"/>
              </w:rPr>
            </w:pPr>
            <w:r>
              <w:rPr>
                <w:color w:val="auto"/>
              </w:rPr>
              <w:t>排水去向</w:t>
            </w:r>
          </w:p>
          <w:p>
            <w:pPr>
              <w:pStyle w:val="46"/>
              <w:rPr>
                <w:color w:val="auto"/>
              </w:rPr>
            </w:pPr>
            <w:r>
              <w:rPr>
                <w:color w:val="auto"/>
              </w:rPr>
              <w:t>本项目无生产废水外排，生活污水经</w:t>
            </w:r>
            <w:r>
              <w:rPr>
                <w:rFonts w:hint="eastAsia"/>
                <w:color w:val="auto"/>
              </w:rPr>
              <w:t>地埋式生活污水处理设施</w:t>
            </w:r>
            <w:r>
              <w:rPr>
                <w:color w:val="auto"/>
              </w:rPr>
              <w:t>处理后</w:t>
            </w:r>
            <w:r>
              <w:rPr>
                <w:rFonts w:hint="eastAsia"/>
                <w:color w:val="auto"/>
              </w:rPr>
              <w:t>用于周边山林地灌溉。</w:t>
            </w:r>
          </w:p>
          <w:p>
            <w:pPr>
              <w:pStyle w:val="46"/>
              <w:rPr>
                <w:color w:val="auto"/>
              </w:rPr>
            </w:pPr>
            <w:r>
              <w:rPr>
                <w:color w:val="auto"/>
              </w:rPr>
              <w:t>（2）环境功能区划及质量标准</w:t>
            </w:r>
          </w:p>
          <w:p>
            <w:pPr>
              <w:pStyle w:val="46"/>
              <w:rPr>
                <w:color w:val="auto"/>
              </w:rPr>
            </w:pPr>
            <w:r>
              <w:rPr>
                <w:color w:val="auto"/>
              </w:rPr>
              <w:t>项目所在区域主要地表水体为</w:t>
            </w:r>
            <w:r>
              <w:rPr>
                <w:rFonts w:hint="eastAsia"/>
                <w:color w:val="auto"/>
              </w:rPr>
              <w:t>武陵溪（均溪支流）</w:t>
            </w:r>
            <w:r>
              <w:rPr>
                <w:color w:val="auto"/>
              </w:rPr>
              <w:t>，水体主要功能为农灌、工业和景观用水，地表水环境功能区类别为《地表水环境质量标准》（GB3838-2002）中的Ⅲ类水体，水质执行《地表水环境质量标准》（GB3838-2002）中的Ⅲ类标准。</w:t>
            </w:r>
          </w:p>
          <w:p>
            <w:pPr>
              <w:pStyle w:val="46"/>
              <w:rPr>
                <w:color w:val="auto"/>
              </w:rPr>
            </w:pPr>
            <w:r>
              <w:rPr>
                <w:color w:val="auto"/>
              </w:rPr>
              <w:t>（3）地表水环境质量现状</w:t>
            </w:r>
          </w:p>
          <w:p>
            <w:pPr>
              <w:pStyle w:val="46"/>
              <w:rPr>
                <w:rFonts w:eastAsiaTheme="minorEastAsia"/>
                <w:color w:val="auto"/>
              </w:rPr>
            </w:pPr>
            <w:r>
              <w:rPr>
                <w:rFonts w:eastAsiaTheme="minorEastAsia"/>
                <w:color w:val="auto"/>
              </w:rPr>
              <w:t>项目所在水域下游为</w:t>
            </w:r>
            <w:r>
              <w:rPr>
                <w:rFonts w:hint="eastAsia" w:eastAsiaTheme="minorEastAsia"/>
                <w:color w:val="auto"/>
              </w:rPr>
              <w:t>武陵溪</w:t>
            </w:r>
            <w:r>
              <w:rPr>
                <w:rFonts w:eastAsiaTheme="minorEastAsia"/>
                <w:color w:val="auto"/>
              </w:rPr>
              <w:t>，</w:t>
            </w:r>
            <w:r>
              <w:rPr>
                <w:rFonts w:hint="eastAsia" w:eastAsiaTheme="minorEastAsia"/>
                <w:color w:val="auto"/>
              </w:rPr>
              <w:t>属于均溪支流，武陵溪</w:t>
            </w:r>
            <w:r>
              <w:rPr>
                <w:rFonts w:eastAsiaTheme="minorEastAsia"/>
                <w:color w:val="auto"/>
              </w:rPr>
              <w:t>设有一个国控监测断面</w:t>
            </w:r>
            <w:r>
              <w:rPr>
                <w:rFonts w:hint="eastAsia" w:eastAsiaTheme="minorEastAsia"/>
                <w:color w:val="auto"/>
              </w:rPr>
              <w:t>“大田高才”</w:t>
            </w:r>
            <w:r>
              <w:rPr>
                <w:rFonts w:eastAsiaTheme="minorEastAsia"/>
                <w:color w:val="auto"/>
              </w:rPr>
              <w:t>，位于厂区下游。</w:t>
            </w:r>
            <w:r>
              <w:rPr>
                <w:color w:val="auto"/>
              </w:rPr>
              <w:t>根据《三明市水环境质量月报（2023年</w:t>
            </w:r>
            <w:r>
              <w:rPr>
                <w:rFonts w:hint="eastAsia"/>
                <w:color w:val="auto"/>
              </w:rPr>
              <w:t>12月—2024年2</w:t>
            </w:r>
            <w:r>
              <w:rPr>
                <w:color w:val="auto"/>
              </w:rPr>
              <w:t>月）》（三明市生态环境局）</w:t>
            </w:r>
            <w:r>
              <w:rPr>
                <w:rFonts w:eastAsiaTheme="minorEastAsia"/>
                <w:color w:val="auto"/>
              </w:rPr>
              <w:t>，</w:t>
            </w:r>
            <w:r>
              <w:rPr>
                <w:color w:val="auto"/>
              </w:rPr>
              <w:t>2023年</w:t>
            </w:r>
            <w:r>
              <w:rPr>
                <w:rFonts w:hint="eastAsia"/>
                <w:color w:val="auto"/>
              </w:rPr>
              <w:t>12月—2024年2</w:t>
            </w:r>
            <w:r>
              <w:rPr>
                <w:color w:val="auto"/>
              </w:rPr>
              <w:t>月“大田高才”水质监测结果均</w:t>
            </w:r>
            <w:r>
              <w:rPr>
                <w:rFonts w:hint="eastAsia"/>
                <w:color w:val="auto"/>
              </w:rPr>
              <w:t>达到</w:t>
            </w:r>
            <w:r>
              <w:rPr>
                <w:color w:val="auto"/>
              </w:rPr>
              <w:t>《地表水环境质量标准》（GB3838-2002）Ⅰ类标准</w:t>
            </w:r>
            <w:r>
              <w:rPr>
                <w:rFonts w:hint="eastAsia"/>
                <w:color w:val="auto"/>
              </w:rPr>
              <w:t>。</w:t>
            </w:r>
            <w:r>
              <w:rPr>
                <w:color w:val="auto"/>
              </w:rPr>
              <w:t>因此，项目所在区域水质可以达到Ⅲ类标准。具体详见表3.1-2。</w:t>
            </w:r>
          </w:p>
          <w:p>
            <w:pPr>
              <w:pStyle w:val="22"/>
              <w:keepNext/>
              <w:keepLines w:val="0"/>
              <w:pageBreakBefore w:val="0"/>
              <w:widowControl w:val="0"/>
              <w:tabs>
                <w:tab w:val="left" w:pos="360"/>
              </w:tabs>
              <w:kinsoku/>
              <w:wordWrap/>
              <w:overflowPunct/>
              <w:topLinePunct w:val="0"/>
              <w:autoSpaceDE/>
              <w:autoSpaceDN/>
              <w:bidi w:val="0"/>
              <w:adjustRightInd w:val="0"/>
              <w:snapToGrid w:val="0"/>
              <w:spacing w:before="0" w:after="0" w:line="440" w:lineRule="exact"/>
              <w:ind w:firstLine="420"/>
              <w:textAlignment w:val="auto"/>
              <w:outlineLvl w:val="9"/>
              <w:rPr>
                <w:rFonts w:ascii="Times New Roman" w:hAnsi="Times New Roman" w:eastAsia="黑体"/>
                <w:b w:val="0"/>
                <w:bCs w:val="0"/>
                <w:sz w:val="21"/>
                <w:szCs w:val="21"/>
              </w:rPr>
            </w:pPr>
            <w:r>
              <w:rPr>
                <w:rFonts w:ascii="Times New Roman" w:hAnsi="Times New Roman" w:eastAsia="黑体"/>
                <w:b w:val="0"/>
                <w:bCs w:val="0"/>
                <w:sz w:val="21"/>
                <w:szCs w:val="21"/>
              </w:rPr>
              <w:t>表3.1-</w:t>
            </w:r>
            <w:r>
              <w:rPr>
                <w:rFonts w:hint="eastAsia" w:ascii="Times New Roman" w:hAnsi="Times New Roman" w:eastAsia="黑体"/>
                <w:b w:val="0"/>
                <w:bCs w:val="0"/>
                <w:sz w:val="21"/>
                <w:szCs w:val="21"/>
              </w:rPr>
              <w:t>4武陵溪（</w:t>
            </w:r>
            <w:r>
              <w:rPr>
                <w:rFonts w:ascii="Times New Roman" w:hAnsi="Times New Roman" w:eastAsia="黑体"/>
                <w:b w:val="0"/>
                <w:bCs w:val="0"/>
                <w:sz w:val="21"/>
                <w:szCs w:val="21"/>
              </w:rPr>
              <w:t>大田高才</w:t>
            </w:r>
            <w:r>
              <w:rPr>
                <w:rFonts w:hint="eastAsia" w:ascii="Times New Roman" w:hAnsi="Times New Roman" w:eastAsia="黑体"/>
                <w:b w:val="0"/>
                <w:bCs w:val="0"/>
                <w:sz w:val="21"/>
                <w:szCs w:val="21"/>
              </w:rPr>
              <w:t>）</w:t>
            </w:r>
            <w:r>
              <w:rPr>
                <w:rFonts w:ascii="Times New Roman" w:hAnsi="Times New Roman" w:eastAsia="黑体"/>
                <w:b w:val="0"/>
                <w:bCs w:val="0"/>
                <w:sz w:val="21"/>
                <w:szCs w:val="21"/>
              </w:rPr>
              <w:t>断面水环境质量表（2023年</w:t>
            </w:r>
            <w:r>
              <w:rPr>
                <w:rFonts w:hint="eastAsia" w:ascii="Times New Roman" w:hAnsi="Times New Roman" w:eastAsia="黑体"/>
                <w:b w:val="0"/>
                <w:bCs w:val="0"/>
                <w:sz w:val="21"/>
                <w:szCs w:val="21"/>
              </w:rPr>
              <w:t>12月</w:t>
            </w:r>
            <w:r>
              <w:rPr>
                <w:rFonts w:ascii="Times New Roman" w:hAnsi="Times New Roman" w:eastAsia="黑体"/>
                <w:b w:val="0"/>
                <w:bCs w:val="0"/>
                <w:sz w:val="21"/>
                <w:szCs w:val="21"/>
              </w:rPr>
              <w:t>-</w:t>
            </w:r>
            <w:r>
              <w:rPr>
                <w:rFonts w:hint="eastAsia" w:ascii="Times New Roman" w:hAnsi="Times New Roman" w:eastAsia="黑体"/>
                <w:b w:val="0"/>
                <w:bCs w:val="0"/>
                <w:sz w:val="21"/>
                <w:szCs w:val="21"/>
              </w:rPr>
              <w:t>2024年2</w:t>
            </w:r>
            <w:r>
              <w:rPr>
                <w:rFonts w:ascii="Times New Roman" w:hAnsi="Times New Roman" w:eastAsia="黑体"/>
                <w:b w:val="0"/>
                <w:bCs w:val="0"/>
                <w:sz w:val="21"/>
                <w:szCs w:val="21"/>
              </w:rPr>
              <w:t>月）</w:t>
            </w:r>
          </w:p>
          <w:tbl>
            <w:tblPr>
              <w:tblStyle w:val="25"/>
              <w:tblW w:w="813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2032"/>
              <w:gridCol w:w="2034"/>
              <w:gridCol w:w="20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月份</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水环境功能类别</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现状水质</w:t>
                  </w:r>
                  <w:r>
                    <w:rPr>
                      <w:rFonts w:hint="eastAsia" w:ascii="Times New Roman" w:hAnsi="Times New Roman"/>
                    </w:rPr>
                    <w:t>类别</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2023年</w:t>
                  </w:r>
                  <w:r>
                    <w:rPr>
                      <w:rFonts w:hint="eastAsia" w:ascii="Times New Roman" w:hAnsi="Times New Roman"/>
                    </w:rPr>
                    <w:t>12</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1</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202</w:t>
                  </w:r>
                  <w:r>
                    <w:rPr>
                      <w:rFonts w:hint="eastAsia" w:ascii="Times New Roman" w:hAnsi="Times New Roman"/>
                    </w:rPr>
                    <w:t>4</w:t>
                  </w:r>
                  <w:r>
                    <w:rPr>
                      <w:rFonts w:ascii="Times New Roman" w:hAnsi="Times New Roman"/>
                    </w:rPr>
                    <w:t>年</w:t>
                  </w:r>
                  <w:r>
                    <w:rPr>
                      <w:rFonts w:hint="eastAsia" w:ascii="Times New Roman" w:hAnsi="Times New Roman"/>
                    </w:rPr>
                    <w:t>2</w:t>
                  </w:r>
                  <w:r>
                    <w:rPr>
                      <w:rFonts w:ascii="Times New Roman" w:hAnsi="Times New Roman"/>
                    </w:rPr>
                    <w:t>月</w:t>
                  </w:r>
                </w:p>
              </w:tc>
              <w:tc>
                <w:tcPr>
                  <w:tcW w:w="2032"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III类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eastAsia="MS Gothic"/>
                    </w:rPr>
                    <w:t>Ⅰ</w:t>
                  </w:r>
                  <w:r>
                    <w:rPr>
                      <w:rFonts w:ascii="Times New Roman" w:hAnsi="Times New Roman"/>
                    </w:rPr>
                    <w:t>类</w:t>
                  </w:r>
                </w:p>
              </w:tc>
              <w:tc>
                <w:tcPr>
                  <w:tcW w:w="2034" w:type="dxa"/>
                  <w:vAlign w:val="center"/>
                </w:tcPr>
                <w:p>
                  <w:pPr>
                    <w:pStyle w:val="42"/>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ascii="Times New Roman" w:hAnsi="Times New Roman"/>
                    </w:rPr>
                  </w:pPr>
                  <w:r>
                    <w:rPr>
                      <w:rFonts w:ascii="Times New Roman" w:hAnsi="Times New Roman"/>
                    </w:rPr>
                    <w:t>是</w:t>
                  </w:r>
                </w:p>
              </w:tc>
            </w:tr>
          </w:tbl>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3.1.3声环境</w:t>
            </w:r>
          </w:p>
          <w:p>
            <w:pPr>
              <w:spacing w:line="440" w:lineRule="exact"/>
              <w:ind w:firstLine="480" w:firstLineChars="200"/>
              <w:rPr>
                <w:rFonts w:ascii="Times New Roman" w:hAnsi="Times New Roman"/>
              </w:rPr>
            </w:pPr>
            <w:r>
              <w:rPr>
                <w:rFonts w:ascii="Times New Roman" w:hAnsi="Times New Roman"/>
                <w:kern w:val="0"/>
                <w:szCs w:val="20"/>
              </w:rPr>
              <w:t>根据《建设项目环境影响报告表编制技术指南》（污染影响类）（试行）中规定，“厂界外周边50米范围内存在声环境保护目标的建设项目，应监测保护目标声环境质量现状并评价达标情况。”项目厂界周边50米范围内无声环境保护目标，本项目不开展周边声环境质量现状调查及评价。</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3.1.4生态环境</w:t>
            </w:r>
          </w:p>
          <w:p>
            <w:pPr>
              <w:spacing w:line="440" w:lineRule="exact"/>
              <w:ind w:firstLine="480" w:firstLineChars="200"/>
              <w:jc w:val="left"/>
              <w:rPr>
                <w:rFonts w:ascii="Times New Roman" w:hAnsi="Times New Roman"/>
                <w:kern w:val="0"/>
                <w:szCs w:val="20"/>
              </w:rPr>
            </w:pPr>
            <w:r>
              <w:rPr>
                <w:rFonts w:ascii="Times New Roman" w:hAnsi="Times New Roman"/>
                <w:kern w:val="0"/>
                <w:szCs w:val="20"/>
              </w:rPr>
              <w:t>本项目</w:t>
            </w:r>
            <w:r>
              <w:rPr>
                <w:rFonts w:hint="eastAsia" w:ascii="Times New Roman" w:hAnsi="Times New Roman"/>
                <w:kern w:val="0"/>
                <w:szCs w:val="20"/>
              </w:rPr>
              <w:t>租赁大田县武陵乡大石村岩盛公司部分闲置厂房</w:t>
            </w:r>
            <w:r>
              <w:rPr>
                <w:rFonts w:ascii="Times New Roman" w:hAnsi="Times New Roman"/>
                <w:kern w:val="0"/>
                <w:szCs w:val="20"/>
              </w:rPr>
              <w:t>，无新增用地，用地周边无珍稀濒危物种、自然保护区、风景名胜区等生态敏感目标，不属于生态敏感区，对周边生态环境造成的影响很小。</w:t>
            </w:r>
            <w:r>
              <w:rPr>
                <w:rFonts w:ascii="Times New Roman" w:hAnsi="Times New Roman"/>
              </w:rPr>
              <w:t>项目生产运营不会造成评价区域内生物量和物种多样性的锐减，不会引起荒漠化、水和土地的理化性质恶化，对生态环境造成的影响很小，本评价不进行生态环境影响评价</w:t>
            </w:r>
            <w:r>
              <w:rPr>
                <w:rFonts w:ascii="Times New Roman" w:hAnsi="Times New Roman"/>
                <w:kern w:val="0"/>
                <w:szCs w:val="20"/>
              </w:rPr>
              <w:t>。</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3.1.5地下水、土壤环境</w:t>
            </w:r>
          </w:p>
          <w:p>
            <w:pPr>
              <w:spacing w:line="440" w:lineRule="exact"/>
              <w:ind w:firstLine="480" w:firstLineChars="200"/>
              <w:jc w:val="left"/>
              <w:rPr>
                <w:rFonts w:ascii="Times New Roman" w:hAnsi="Times New Roman" w:eastAsia="仿宋"/>
                <w:sz w:val="30"/>
              </w:rPr>
            </w:pPr>
            <w:r>
              <w:rPr>
                <w:rFonts w:ascii="Times New Roman" w:hAnsi="Times New Roman"/>
                <w:kern w:val="0"/>
                <w:szCs w:val="20"/>
              </w:rPr>
              <w:t>项目</w:t>
            </w:r>
            <w:r>
              <w:rPr>
                <w:rFonts w:hint="eastAsia" w:ascii="Times New Roman" w:hAnsi="Times New Roman"/>
                <w:kern w:val="0"/>
                <w:szCs w:val="20"/>
              </w:rPr>
              <w:t>主要从</w:t>
            </w:r>
            <w:r>
              <w:rPr>
                <w:rFonts w:hint="eastAsia" w:ascii="Times New Roman" w:hAnsi="Times New Roman"/>
                <w:bCs/>
              </w:rPr>
              <w:t>事</w:t>
            </w:r>
            <w:r>
              <w:rPr>
                <w:rFonts w:hint="eastAsia" w:ascii="Times New Roman" w:hAnsi="Times New Roman"/>
                <w:bCs/>
                <w:lang w:val="en-US" w:eastAsia="zh-CN"/>
              </w:rPr>
              <w:t>固体废物</w:t>
            </w:r>
            <w:r>
              <w:rPr>
                <w:rFonts w:hint="eastAsia" w:ascii="Times New Roman" w:hAnsi="Times New Roman"/>
                <w:bCs/>
              </w:rPr>
              <w:t>的回收</w:t>
            </w:r>
            <w:r>
              <w:rPr>
                <w:rFonts w:hint="eastAsia" w:ascii="Times New Roman" w:hAnsi="Times New Roman"/>
                <w:bCs/>
                <w:lang w:val="en-US" w:eastAsia="zh-CN"/>
              </w:rPr>
              <w:t>处理</w:t>
            </w:r>
            <w:r>
              <w:rPr>
                <w:rFonts w:ascii="Times New Roman" w:hAnsi="Times New Roman"/>
                <w:bCs/>
              </w:rPr>
              <w:t>，所用原辅料不涉及重金属及有毒有害物质，主要污染物为粉尘</w:t>
            </w:r>
            <w:r>
              <w:rPr>
                <w:rFonts w:hint="eastAsia" w:ascii="Times New Roman" w:hAnsi="Times New Roman"/>
                <w:bCs/>
              </w:rPr>
              <w:t>、浓缩罐废水、板框压滤废水及设备运行产生的噪声</w:t>
            </w:r>
            <w:r>
              <w:rPr>
                <w:rFonts w:ascii="Times New Roman" w:hAnsi="Times New Roman"/>
                <w:bCs/>
              </w:rPr>
              <w:t>，项目地面采用防渗混凝土防渗，生产废水循环使用不外排、生活污水经</w:t>
            </w:r>
            <w:r>
              <w:rPr>
                <w:rFonts w:hint="eastAsia" w:ascii="Times New Roman" w:hAnsi="Times New Roman"/>
                <w:bCs/>
              </w:rPr>
              <w:t>地埋式生活污水处理设施</w:t>
            </w:r>
            <w:r>
              <w:rPr>
                <w:rFonts w:ascii="Times New Roman" w:hAnsi="Times New Roman"/>
                <w:bCs/>
              </w:rPr>
              <w:t>处理后</w:t>
            </w:r>
            <w:r>
              <w:rPr>
                <w:rFonts w:hint="eastAsia" w:ascii="Times New Roman" w:hAnsi="Times New Roman"/>
                <w:bCs/>
              </w:rPr>
              <w:t>用于周边山林地灌溉，</w:t>
            </w:r>
            <w:r>
              <w:rPr>
                <w:rFonts w:ascii="Times New Roman" w:hAnsi="Times New Roman"/>
                <w:bCs/>
              </w:rPr>
              <w:t>基本不会对地下水、土壤造成污染影响，根</w:t>
            </w:r>
            <w:r>
              <w:rPr>
                <w:rFonts w:ascii="Times New Roman" w:hAnsi="Times New Roman"/>
              </w:rPr>
              <w:t>据《建设项目环境影响报告表编制技术指南（污染影响类）（试行）》，</w:t>
            </w:r>
            <w:r>
              <w:rPr>
                <w:rFonts w:ascii="Times New Roman" w:hAnsi="Times New Roman"/>
                <w:bCs/>
              </w:rPr>
              <w:t>不开展土壤、地下水环境现状监测</w:t>
            </w:r>
            <w:r>
              <w:rPr>
                <w:rFonts w:ascii="Times New Roman" w:hAns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642" w:type="dxa"/>
            <w:vAlign w:val="center"/>
          </w:tcPr>
          <w:p>
            <w:pPr>
              <w:adjustRightInd w:val="0"/>
              <w:snapToGrid w:val="0"/>
              <w:jc w:val="center"/>
              <w:rPr>
                <w:rFonts w:ascii="Times New Roman" w:hAnsi="Times New Roman"/>
                <w:kern w:val="0"/>
                <w:szCs w:val="21"/>
              </w:rPr>
            </w:pPr>
            <w:r>
              <w:rPr>
                <w:rFonts w:ascii="Times New Roman" w:hAnsi="Times New Roman"/>
                <w:kern w:val="0"/>
                <w:szCs w:val="21"/>
              </w:rPr>
              <w:t>环境</w:t>
            </w:r>
          </w:p>
          <w:p>
            <w:pPr>
              <w:adjustRightInd w:val="0"/>
              <w:snapToGrid w:val="0"/>
              <w:jc w:val="center"/>
              <w:rPr>
                <w:rFonts w:ascii="Times New Roman" w:hAnsi="Times New Roman"/>
                <w:kern w:val="0"/>
                <w:szCs w:val="21"/>
              </w:rPr>
            </w:pPr>
            <w:r>
              <w:rPr>
                <w:rFonts w:ascii="Times New Roman" w:hAnsi="Times New Roman"/>
                <w:kern w:val="0"/>
                <w:szCs w:val="21"/>
              </w:rPr>
              <w:t>保护</w:t>
            </w:r>
          </w:p>
          <w:p>
            <w:pPr>
              <w:adjustRightInd w:val="0"/>
              <w:snapToGrid w:val="0"/>
              <w:jc w:val="center"/>
              <w:rPr>
                <w:rFonts w:ascii="Times New Roman" w:hAnsi="Times New Roman"/>
                <w:kern w:val="0"/>
                <w:szCs w:val="21"/>
              </w:rPr>
            </w:pPr>
            <w:r>
              <w:rPr>
                <w:rFonts w:ascii="Times New Roman" w:hAnsi="Times New Roman"/>
                <w:kern w:val="0"/>
                <w:szCs w:val="21"/>
              </w:rPr>
              <w:t>目标</w:t>
            </w:r>
          </w:p>
        </w:tc>
        <w:tc>
          <w:tcPr>
            <w:tcW w:w="8348" w:type="dxa"/>
            <w:vAlign w:val="center"/>
          </w:tcPr>
          <w:p>
            <w:pPr>
              <w:pStyle w:val="6"/>
              <w:ind w:left="311"/>
              <w:rPr>
                <w:color w:val="auto"/>
              </w:rPr>
            </w:pPr>
            <w:r>
              <w:rPr>
                <w:color w:val="auto"/>
              </w:rPr>
              <w:t>3.2环境保护目标</w:t>
            </w:r>
          </w:p>
          <w:p>
            <w:pPr>
              <w:pStyle w:val="46"/>
              <w:rPr>
                <w:color w:val="auto"/>
                <w:highlight w:val="yellow"/>
              </w:rPr>
            </w:pPr>
            <w:bookmarkStart w:id="9" w:name="_Hlk65135411"/>
            <w:r>
              <w:rPr>
                <w:color w:val="auto"/>
              </w:rPr>
              <w:t>项目位于大田县</w:t>
            </w:r>
            <w:r>
              <w:rPr>
                <w:rFonts w:hint="eastAsia"/>
                <w:color w:val="auto"/>
              </w:rPr>
              <w:t>武陵乡大石村</w:t>
            </w:r>
            <w:r>
              <w:rPr>
                <w:color w:val="auto"/>
              </w:rPr>
              <w:t>，</w:t>
            </w:r>
            <w:bookmarkEnd w:id="9"/>
            <w:r>
              <w:rPr>
                <w:rFonts w:hint="eastAsia"/>
                <w:color w:val="auto"/>
              </w:rPr>
              <w:t>项目北侧为山林地，西侧为道路及山林地，东侧为岩盛公司遗留设备，南侧为山林地及岩盛公司铸造项目厂房</w:t>
            </w:r>
            <w:r>
              <w:rPr>
                <w:color w:val="auto"/>
              </w:rPr>
              <w:t>。</w:t>
            </w:r>
          </w:p>
          <w:p>
            <w:pPr>
              <w:spacing w:line="420" w:lineRule="atLeast"/>
              <w:ind w:firstLine="480" w:firstLineChars="200"/>
              <w:rPr>
                <w:rFonts w:ascii="Times New Roman" w:hAnsi="Times New Roman"/>
              </w:rPr>
            </w:pPr>
            <w:r>
              <w:rPr>
                <w:rFonts w:hint="eastAsia" w:ascii="Times New Roman" w:hAnsi="Times New Roman"/>
              </w:rPr>
              <w:t>卓阳达公司</w:t>
            </w:r>
            <w:r>
              <w:rPr>
                <w:rFonts w:ascii="Times New Roman" w:hAnsi="Times New Roman"/>
              </w:rPr>
              <w:t>厂界外500m范围内，不涉及地下水集中式饮用水水源和热水、矿泉水、温泉等特殊地下水资源，无地下水环境保护目标。项目</w:t>
            </w:r>
            <w:r>
              <w:rPr>
                <w:rFonts w:hint="eastAsia" w:ascii="Times New Roman" w:hAnsi="Times New Roman"/>
              </w:rPr>
              <w:t>租用岩盛公司现有闲置厂房进行建设</w:t>
            </w:r>
            <w:r>
              <w:rPr>
                <w:rFonts w:ascii="Times New Roman" w:hAnsi="Times New Roman"/>
              </w:rPr>
              <w:t>，</w:t>
            </w:r>
            <w:r>
              <w:rPr>
                <w:rFonts w:hint="eastAsia" w:ascii="Times New Roman" w:hAnsi="Times New Roman"/>
              </w:rPr>
              <w:t>无新增开发用地，</w:t>
            </w:r>
            <w:r>
              <w:rPr>
                <w:rFonts w:ascii="Times New Roman" w:hAnsi="Times New Roman"/>
              </w:rPr>
              <w:t>不涉及生态环境保护目标。</w:t>
            </w:r>
          </w:p>
          <w:p>
            <w:pPr>
              <w:pStyle w:val="46"/>
              <w:rPr>
                <w:color w:val="auto"/>
              </w:rPr>
            </w:pPr>
            <w:r>
              <w:rPr>
                <w:color w:val="auto"/>
              </w:rPr>
              <w:t>项目环境保护目标主要为厂界</w:t>
            </w:r>
            <w:r>
              <w:rPr>
                <w:rFonts w:hint="eastAsia"/>
                <w:color w:val="auto"/>
              </w:rPr>
              <w:t>西</w:t>
            </w:r>
            <w:r>
              <w:rPr>
                <w:color w:val="auto"/>
              </w:rPr>
              <w:t>侧</w:t>
            </w:r>
            <w:r>
              <w:rPr>
                <w:rFonts w:hint="eastAsia"/>
                <w:color w:val="auto"/>
              </w:rPr>
              <w:t>及西北侧</w:t>
            </w:r>
            <w:r>
              <w:rPr>
                <w:color w:val="auto"/>
              </w:rPr>
              <w:t>的</w:t>
            </w:r>
            <w:r>
              <w:rPr>
                <w:rFonts w:hint="eastAsia"/>
                <w:color w:val="auto"/>
              </w:rPr>
              <w:t>大石村及周边水域武陵溪（均溪支流）</w:t>
            </w:r>
            <w:r>
              <w:rPr>
                <w:color w:val="auto"/>
              </w:rPr>
              <w:t>，环境保护目标与项目位置关系见表3.2-1。</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表3.2-1 环境空气保护目标一览表</w:t>
            </w:r>
          </w:p>
          <w:tbl>
            <w:tblPr>
              <w:tblStyle w:val="25"/>
              <w:tblW w:w="813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1154"/>
              <w:gridCol w:w="940"/>
              <w:gridCol w:w="1990"/>
              <w:gridCol w:w="1214"/>
              <w:gridCol w:w="10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73"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名称</w:t>
                  </w:r>
                </w:p>
              </w:tc>
              <w:tc>
                <w:tcPr>
                  <w:tcW w:w="1154"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保护对象</w:t>
                  </w:r>
                </w:p>
              </w:tc>
              <w:tc>
                <w:tcPr>
                  <w:tcW w:w="94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保护内容</w:t>
                  </w:r>
                </w:p>
              </w:tc>
              <w:tc>
                <w:tcPr>
                  <w:tcW w:w="199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环境功能区</w:t>
                  </w:r>
                </w:p>
              </w:tc>
              <w:tc>
                <w:tcPr>
                  <w:tcW w:w="1214"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相对厂址方位</w:t>
                  </w:r>
                </w:p>
              </w:tc>
              <w:tc>
                <w:tcPr>
                  <w:tcW w:w="1061"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773" w:type="dxa"/>
                  <w:vAlign w:val="center"/>
                </w:tcPr>
                <w:p>
                  <w:pPr>
                    <w:pStyle w:val="48"/>
                    <w:spacing w:line="240" w:lineRule="exact"/>
                    <w:ind w:left="-72" w:leftChars="-30" w:right="-72" w:rightChars="-30"/>
                    <w:rPr>
                      <w:rFonts w:ascii="Times New Roman" w:hAnsi="Times New Roman"/>
                      <w:sz w:val="18"/>
                      <w:szCs w:val="18"/>
                    </w:rPr>
                  </w:pPr>
                  <w:r>
                    <w:rPr>
                      <w:rFonts w:hint="eastAsia" w:ascii="Times New Roman" w:hAnsi="Times New Roman"/>
                      <w:sz w:val="18"/>
                      <w:szCs w:val="18"/>
                    </w:rPr>
                    <w:t>大石村</w:t>
                  </w:r>
                </w:p>
              </w:tc>
              <w:tc>
                <w:tcPr>
                  <w:tcW w:w="1154" w:type="dxa"/>
                  <w:vAlign w:val="center"/>
                </w:tcPr>
                <w:p>
                  <w:pPr>
                    <w:jc w:val="center"/>
                    <w:rPr>
                      <w:rFonts w:ascii="Times New Roman" w:hAnsi="Times New Roman"/>
                      <w:sz w:val="18"/>
                      <w:szCs w:val="18"/>
                    </w:rPr>
                  </w:pPr>
                  <w:r>
                    <w:rPr>
                      <w:rFonts w:ascii="Times New Roman" w:hAnsi="Times New Roman"/>
                      <w:sz w:val="18"/>
                      <w:szCs w:val="18"/>
                    </w:rPr>
                    <w:t>居住区</w:t>
                  </w:r>
                </w:p>
              </w:tc>
              <w:tc>
                <w:tcPr>
                  <w:tcW w:w="940" w:type="dxa"/>
                  <w:vAlign w:val="center"/>
                </w:tcPr>
                <w:p>
                  <w:pPr>
                    <w:jc w:val="center"/>
                    <w:rPr>
                      <w:rFonts w:ascii="Times New Roman" w:hAnsi="Times New Roman"/>
                      <w:sz w:val="18"/>
                      <w:szCs w:val="18"/>
                    </w:rPr>
                  </w:pPr>
                  <w:r>
                    <w:rPr>
                      <w:rFonts w:ascii="Times New Roman" w:hAnsi="Times New Roman"/>
                      <w:sz w:val="18"/>
                      <w:szCs w:val="18"/>
                    </w:rPr>
                    <w:t>人群</w:t>
                  </w:r>
                </w:p>
              </w:tc>
              <w:tc>
                <w:tcPr>
                  <w:tcW w:w="1990" w:type="dxa"/>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环境空气二类区</w:t>
                  </w:r>
                </w:p>
              </w:tc>
              <w:tc>
                <w:tcPr>
                  <w:tcW w:w="1214" w:type="dxa"/>
                  <w:vAlign w:val="center"/>
                </w:tcPr>
                <w:p>
                  <w:pPr>
                    <w:jc w:val="center"/>
                    <w:rPr>
                      <w:rFonts w:ascii="Times New Roman" w:hAnsi="Times New Roman"/>
                      <w:sz w:val="18"/>
                      <w:szCs w:val="18"/>
                    </w:rPr>
                  </w:pPr>
                  <w:r>
                    <w:rPr>
                      <w:rFonts w:hint="eastAsia" w:ascii="Times New Roman" w:hAnsi="Times New Roman"/>
                      <w:sz w:val="18"/>
                      <w:szCs w:val="18"/>
                    </w:rPr>
                    <w:t>NW</w:t>
                  </w:r>
                </w:p>
              </w:tc>
              <w:tc>
                <w:tcPr>
                  <w:tcW w:w="1061" w:type="dxa"/>
                  <w:vAlign w:val="center"/>
                </w:tcPr>
                <w:p>
                  <w:pPr>
                    <w:jc w:val="center"/>
                    <w:rPr>
                      <w:rFonts w:ascii="Times New Roman" w:hAnsi="Times New Roman"/>
                      <w:sz w:val="18"/>
                      <w:szCs w:val="18"/>
                    </w:rPr>
                  </w:pPr>
                  <w:r>
                    <w:rPr>
                      <w:rFonts w:hint="eastAsia" w:ascii="Times New Roman" w:hAnsi="Times New Roman"/>
                      <w:sz w:val="18"/>
                      <w:szCs w:val="18"/>
                    </w:rPr>
                    <w:t>240</w:t>
                  </w:r>
                </w:p>
              </w:tc>
            </w:tr>
          </w:tbl>
          <w:p>
            <w:pPr>
              <w:tabs>
                <w:tab w:val="left" w:pos="602"/>
              </w:tabs>
              <w:ind w:firstLine="422"/>
              <w:jc w:val="center"/>
              <w:rPr>
                <w:rFonts w:ascii="Times New Roman" w:hAnsi="Times New Roman" w:eastAsia="黑体"/>
                <w:b/>
                <w:sz w:val="21"/>
                <w:szCs w:val="21"/>
              </w:rPr>
            </w:pPr>
            <w:r>
              <w:rPr>
                <w:rFonts w:ascii="Times New Roman" w:hAnsi="Times New Roman" w:eastAsia="黑体"/>
                <w:b/>
                <w:sz w:val="21"/>
                <w:szCs w:val="21"/>
              </w:rPr>
              <w:t>表3.2-</w:t>
            </w:r>
            <w:r>
              <w:rPr>
                <w:rFonts w:hint="eastAsia" w:ascii="Times New Roman" w:hAnsi="Times New Roman" w:eastAsia="黑体"/>
                <w:b/>
                <w:sz w:val="21"/>
                <w:szCs w:val="21"/>
              </w:rPr>
              <w:t>2</w:t>
            </w:r>
            <w:r>
              <w:rPr>
                <w:rFonts w:ascii="Times New Roman" w:hAnsi="Times New Roman" w:eastAsia="黑体"/>
                <w:b/>
                <w:sz w:val="21"/>
                <w:szCs w:val="21"/>
              </w:rPr>
              <w:t xml:space="preserve"> </w:t>
            </w:r>
            <w:r>
              <w:rPr>
                <w:rFonts w:hint="eastAsia" w:ascii="Times New Roman" w:hAnsi="Times New Roman" w:eastAsia="黑体"/>
                <w:b/>
                <w:sz w:val="21"/>
                <w:szCs w:val="21"/>
              </w:rPr>
              <w:t>水</w:t>
            </w:r>
            <w:r>
              <w:rPr>
                <w:rFonts w:ascii="Times New Roman" w:hAnsi="Times New Roman" w:eastAsia="黑体"/>
                <w:b/>
                <w:sz w:val="21"/>
                <w:szCs w:val="21"/>
              </w:rPr>
              <w:t>保护目标一览表</w:t>
            </w:r>
          </w:p>
          <w:tbl>
            <w:tblPr>
              <w:tblStyle w:val="25"/>
              <w:tblW w:w="8132" w:type="dxa"/>
              <w:jc w:val="center"/>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637"/>
              <w:gridCol w:w="1113"/>
              <w:gridCol w:w="2371"/>
              <w:gridCol w:w="1113"/>
              <w:gridCol w:w="957"/>
            </w:tblGrid>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环境要素</w:t>
                  </w:r>
                </w:p>
              </w:tc>
              <w:tc>
                <w:tcPr>
                  <w:tcW w:w="163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环保目标名称</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环境功能区划</w:t>
                  </w:r>
                </w:p>
              </w:tc>
              <w:tc>
                <w:tcPr>
                  <w:tcW w:w="237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环境质量标准或环保要求</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相对厂址方位</w:t>
                  </w:r>
                </w:p>
              </w:tc>
              <w:tc>
                <w:tcPr>
                  <w:tcW w:w="95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相对距离/m</w:t>
                  </w:r>
                </w:p>
              </w:tc>
            </w:tr>
            <w:tr>
              <w:tblPrEx>
                <w:tblBorders>
                  <w:top w:val="single" w:color="auto" w:sz="12"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地表水环境</w:t>
                  </w:r>
                </w:p>
              </w:tc>
              <w:tc>
                <w:tcPr>
                  <w:tcW w:w="163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武陵溪（均溪支流）</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Ⅲ类</w:t>
                  </w:r>
                </w:p>
              </w:tc>
              <w:tc>
                <w:tcPr>
                  <w:tcW w:w="2371"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ascii="Times New Roman" w:hAnsi="Times New Roman"/>
                      <w:sz w:val="18"/>
                      <w:szCs w:val="18"/>
                    </w:rPr>
                    <w:t>执行GB3838-2002中Ⅲ类标准</w:t>
                  </w:r>
                </w:p>
              </w:tc>
              <w:tc>
                <w:tcPr>
                  <w:tcW w:w="1113"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E</w:t>
                  </w:r>
                </w:p>
              </w:tc>
              <w:tc>
                <w:tcPr>
                  <w:tcW w:w="957" w:type="dxa"/>
                  <w:tcBorders>
                    <w:tl2br w:val="nil"/>
                    <w:tr2bl w:val="nil"/>
                  </w:tcBorders>
                  <w:vAlign w:val="center"/>
                </w:tcPr>
                <w:p>
                  <w:pPr>
                    <w:spacing w:line="240" w:lineRule="atLeast"/>
                    <w:ind w:left="-72" w:leftChars="-30" w:right="-72" w:rightChars="-30"/>
                    <w:jc w:val="center"/>
                    <w:rPr>
                      <w:rFonts w:ascii="Times New Roman" w:hAnsi="Times New Roman"/>
                      <w:sz w:val="18"/>
                      <w:szCs w:val="18"/>
                    </w:rPr>
                  </w:pPr>
                  <w:r>
                    <w:rPr>
                      <w:rFonts w:hint="eastAsia" w:ascii="Times New Roman" w:hAnsi="Times New Roman"/>
                      <w:sz w:val="18"/>
                      <w:szCs w:val="18"/>
                    </w:rPr>
                    <w:t>35m</w:t>
                  </w:r>
                </w:p>
              </w:tc>
            </w:tr>
          </w:tbl>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642" w:type="dxa"/>
            <w:tcMar>
              <w:left w:w="28" w:type="dxa"/>
              <w:right w:w="28" w:type="dxa"/>
            </w:tcMar>
            <w:vAlign w:val="center"/>
          </w:tcPr>
          <w:p>
            <w:pPr>
              <w:adjustRightInd w:val="0"/>
              <w:snapToGrid w:val="0"/>
              <w:jc w:val="center"/>
              <w:rPr>
                <w:rFonts w:ascii="Times New Roman" w:hAnsi="Times New Roman"/>
                <w:kern w:val="0"/>
                <w:szCs w:val="21"/>
              </w:rPr>
            </w:pPr>
            <w:r>
              <w:rPr>
                <w:rFonts w:ascii="Times New Roman" w:hAnsi="Times New Roman"/>
                <w:kern w:val="0"/>
                <w:szCs w:val="21"/>
              </w:rPr>
              <w:t>污染</w:t>
            </w:r>
          </w:p>
          <w:p>
            <w:pPr>
              <w:adjustRightInd w:val="0"/>
              <w:snapToGrid w:val="0"/>
              <w:jc w:val="center"/>
              <w:rPr>
                <w:rFonts w:ascii="Times New Roman" w:hAnsi="Times New Roman"/>
                <w:kern w:val="0"/>
                <w:szCs w:val="21"/>
              </w:rPr>
            </w:pPr>
            <w:r>
              <w:rPr>
                <w:rFonts w:ascii="Times New Roman" w:hAnsi="Times New Roman"/>
                <w:kern w:val="0"/>
                <w:szCs w:val="21"/>
              </w:rPr>
              <w:t>物排</w:t>
            </w:r>
          </w:p>
          <w:p>
            <w:pPr>
              <w:adjustRightInd w:val="0"/>
              <w:snapToGrid w:val="0"/>
              <w:jc w:val="center"/>
              <w:rPr>
                <w:rFonts w:ascii="Times New Roman" w:hAnsi="Times New Roman"/>
                <w:kern w:val="0"/>
                <w:szCs w:val="21"/>
              </w:rPr>
            </w:pPr>
            <w:r>
              <w:rPr>
                <w:rFonts w:ascii="Times New Roman" w:hAnsi="Times New Roman"/>
                <w:kern w:val="0"/>
                <w:szCs w:val="21"/>
              </w:rPr>
              <w:t>放控</w:t>
            </w:r>
          </w:p>
          <w:p>
            <w:pPr>
              <w:adjustRightInd w:val="0"/>
              <w:snapToGrid w:val="0"/>
              <w:jc w:val="center"/>
              <w:rPr>
                <w:rFonts w:ascii="Times New Roman" w:hAnsi="Times New Roman"/>
                <w:kern w:val="0"/>
                <w:szCs w:val="21"/>
              </w:rPr>
            </w:pPr>
            <w:r>
              <w:rPr>
                <w:rFonts w:ascii="Times New Roman" w:hAnsi="Times New Roman"/>
                <w:kern w:val="0"/>
                <w:szCs w:val="21"/>
              </w:rPr>
              <w:t>制标</w:t>
            </w:r>
          </w:p>
          <w:p>
            <w:pPr>
              <w:adjustRightInd w:val="0"/>
              <w:snapToGrid w:val="0"/>
              <w:jc w:val="center"/>
              <w:rPr>
                <w:rFonts w:ascii="Times New Roman" w:hAnsi="Times New Roman"/>
                <w:kern w:val="0"/>
                <w:szCs w:val="21"/>
              </w:rPr>
            </w:pPr>
            <w:r>
              <w:rPr>
                <w:rFonts w:ascii="Times New Roman" w:hAnsi="Times New Roman"/>
                <w:kern w:val="0"/>
                <w:szCs w:val="21"/>
              </w:rPr>
              <w:t>准</w:t>
            </w:r>
          </w:p>
        </w:tc>
        <w:tc>
          <w:tcPr>
            <w:tcW w:w="8348" w:type="dxa"/>
            <w:vAlign w:val="center"/>
          </w:tcPr>
          <w:p>
            <w:pPr>
              <w:pStyle w:val="6"/>
              <w:ind w:left="311"/>
              <w:rPr>
                <w:color w:val="auto"/>
              </w:rPr>
            </w:pPr>
            <w:r>
              <w:rPr>
                <w:color w:val="auto"/>
              </w:rPr>
              <w:t>3.3污染物排放控制标准</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3.3.1废水</w:t>
            </w:r>
          </w:p>
          <w:p>
            <w:pPr>
              <w:pStyle w:val="3"/>
              <w:spacing w:after="0" w:line="440" w:lineRule="exact"/>
              <w:ind w:right="-120" w:firstLine="480" w:firstLineChars="200"/>
              <w:rPr>
                <w:rFonts w:ascii="Times New Roman" w:hAnsi="Times New Roman"/>
              </w:rPr>
            </w:pPr>
            <w:r>
              <w:rPr>
                <w:rFonts w:ascii="Times New Roman" w:hAnsi="Times New Roman"/>
              </w:rPr>
              <w:t>项目生产废水经</w:t>
            </w:r>
            <w:r>
              <w:rPr>
                <w:rFonts w:hint="eastAsia" w:ascii="Times New Roman" w:hAnsi="Times New Roman"/>
              </w:rPr>
              <w:t>“隔油池+沉淀池”处理</w:t>
            </w:r>
            <w:r>
              <w:rPr>
                <w:rFonts w:ascii="Times New Roman" w:hAnsi="Times New Roman"/>
              </w:rPr>
              <w:t>后回用，不外排；生活污水经</w:t>
            </w:r>
            <w:r>
              <w:rPr>
                <w:rFonts w:hint="eastAsia" w:ascii="Times New Roman" w:hAnsi="Times New Roman"/>
              </w:rPr>
              <w:t>地埋式生活污水处理设施</w:t>
            </w:r>
            <w:r>
              <w:rPr>
                <w:rFonts w:ascii="Times New Roman" w:hAnsi="Times New Roman"/>
              </w:rPr>
              <w:t>处理后</w:t>
            </w:r>
            <w:r>
              <w:rPr>
                <w:rFonts w:hint="eastAsia" w:ascii="Times New Roman" w:hAnsi="Times New Roman"/>
              </w:rPr>
              <w:t>，用于周边山林地灌溉，执行《农田灌溉水质标准》(GB5084-2021)表1“农田灌溉水质基本控制项目限值”。</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 xml:space="preserve">表3.3-1 </w:t>
            </w:r>
            <w:r>
              <w:rPr>
                <w:rFonts w:hint="eastAsia" w:ascii="Times New Roman" w:hAnsi="Times New Roman" w:eastAsia="黑体"/>
                <w:b/>
                <w:sz w:val="21"/>
                <w:szCs w:val="21"/>
              </w:rPr>
              <w:t>农田灌溉水质标准  （摘录）     单位：mg/L</w:t>
            </w:r>
          </w:p>
          <w:tbl>
            <w:tblPr>
              <w:tblStyle w:val="25"/>
              <w:tblW w:w="8010" w:type="dxa"/>
              <w:jc w:val="center"/>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3017"/>
              <w:gridCol w:w="1167"/>
              <w:gridCol w:w="920"/>
              <w:gridCol w:w="959"/>
              <w:gridCol w:w="822"/>
              <w:gridCol w:w="1125"/>
            </w:tblGrid>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7" w:type="dxa"/>
                  <w:vAlign w:val="center"/>
                </w:tcPr>
                <w:p>
                  <w:pPr>
                    <w:jc w:val="center"/>
                    <w:rPr>
                      <w:sz w:val="18"/>
                      <w:szCs w:val="18"/>
                    </w:rPr>
                  </w:pPr>
                  <w:r>
                    <w:rPr>
                      <w:rFonts w:hint="eastAsia"/>
                      <w:sz w:val="18"/>
                      <w:szCs w:val="18"/>
                    </w:rPr>
                    <w:t>标准</w:t>
                  </w:r>
                </w:p>
              </w:tc>
              <w:tc>
                <w:tcPr>
                  <w:tcW w:w="1167"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pH</w:t>
                  </w:r>
                  <w:r>
                    <w:rPr>
                      <w:rFonts w:hint="eastAsia" w:ascii="Times New Roman" w:hAnsi="Times New Roman" w:cs="Times New Roman"/>
                      <w:kern w:val="0"/>
                      <w:sz w:val="18"/>
                      <w:szCs w:val="18"/>
                    </w:rPr>
                    <w:t>（无量纲）</w:t>
                  </w:r>
                </w:p>
              </w:tc>
              <w:tc>
                <w:tcPr>
                  <w:tcW w:w="920"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COD</w:t>
                  </w:r>
                  <w:r>
                    <w:rPr>
                      <w:rFonts w:ascii="Times New Roman" w:hAnsi="Times New Roman" w:cs="Times New Roman"/>
                      <w:kern w:val="0"/>
                      <w:sz w:val="18"/>
                      <w:szCs w:val="18"/>
                      <w:vertAlign w:val="subscript"/>
                    </w:rPr>
                    <w:t>Cr</w:t>
                  </w:r>
                </w:p>
              </w:tc>
              <w:tc>
                <w:tcPr>
                  <w:tcW w:w="959"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BOD</w:t>
                  </w:r>
                  <w:r>
                    <w:rPr>
                      <w:rFonts w:ascii="Times New Roman" w:hAnsi="Times New Roman" w:cs="Times New Roman"/>
                      <w:kern w:val="0"/>
                      <w:sz w:val="18"/>
                      <w:szCs w:val="18"/>
                      <w:vertAlign w:val="subscript"/>
                    </w:rPr>
                    <w:t>5</w:t>
                  </w:r>
                </w:p>
              </w:tc>
              <w:tc>
                <w:tcPr>
                  <w:tcW w:w="822"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SS</w:t>
                  </w:r>
                </w:p>
              </w:tc>
              <w:tc>
                <w:tcPr>
                  <w:tcW w:w="1125"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氨氮</w:t>
                  </w:r>
                </w:p>
              </w:tc>
            </w:tr>
            <w:tr>
              <w:tblPrEx>
                <w:tblBorders>
                  <w:top w:val="single" w:color="000000" w:sz="12" w:space="0"/>
                  <w:left w:val="none" w:color="auto" w:sz="0" w:space="0"/>
                  <w:bottom w:val="single" w:color="000000"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17" w:type="dxa"/>
                  <w:vAlign w:val="center"/>
                </w:tcPr>
                <w:p>
                  <w:pPr>
                    <w:jc w:val="center"/>
                    <w:rPr>
                      <w:sz w:val="18"/>
                      <w:szCs w:val="18"/>
                    </w:rPr>
                  </w:pPr>
                  <w:r>
                    <w:rPr>
                      <w:rFonts w:ascii="Times New Roman" w:hAnsi="Times New Roman"/>
                      <w:sz w:val="18"/>
                      <w:szCs w:val="18"/>
                    </w:rPr>
                    <w:t>农田灌溉水质标准》(GB5084-</w:t>
                  </w:r>
                  <w:r>
                    <w:rPr>
                      <w:rFonts w:hint="eastAsia" w:ascii="Times New Roman" w:hAnsi="Times New Roman"/>
                      <w:sz w:val="18"/>
                      <w:szCs w:val="18"/>
                    </w:rPr>
                    <w:t>2021</w:t>
                  </w:r>
                  <w:r>
                    <w:rPr>
                      <w:rFonts w:ascii="Times New Roman" w:hAnsi="Times New Roman"/>
                      <w:sz w:val="18"/>
                      <w:szCs w:val="18"/>
                    </w:rPr>
                    <w:t>)表1“</w:t>
                  </w:r>
                  <w:r>
                    <w:rPr>
                      <w:rFonts w:hint="eastAsia" w:ascii="Times New Roman" w:hAnsi="Times New Roman"/>
                      <w:sz w:val="18"/>
                      <w:szCs w:val="18"/>
                    </w:rPr>
                    <w:t>农田灌溉水质基本控制项目限值</w:t>
                  </w:r>
                  <w:r>
                    <w:rPr>
                      <w:rFonts w:ascii="Times New Roman" w:hAnsi="Times New Roman"/>
                      <w:sz w:val="18"/>
                      <w:szCs w:val="18"/>
                    </w:rPr>
                    <w:t>”</w:t>
                  </w:r>
                </w:p>
              </w:tc>
              <w:tc>
                <w:tcPr>
                  <w:tcW w:w="1167"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5.5-8.5</w:t>
                  </w:r>
                </w:p>
              </w:tc>
              <w:tc>
                <w:tcPr>
                  <w:tcW w:w="920"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200</w:t>
                  </w:r>
                </w:p>
              </w:tc>
              <w:tc>
                <w:tcPr>
                  <w:tcW w:w="959"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p>
              </w:tc>
              <w:tc>
                <w:tcPr>
                  <w:tcW w:w="822" w:type="dxa"/>
                  <w:vAlign w:val="center"/>
                </w:tcPr>
                <w:p>
                  <w:pPr>
                    <w:pStyle w:val="92"/>
                    <w:adjustRightInd w:val="0"/>
                    <w:snapToGrid w:val="0"/>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p>
              </w:tc>
              <w:tc>
                <w:tcPr>
                  <w:tcW w:w="1125" w:type="dxa"/>
                  <w:vAlign w:val="center"/>
                </w:tcPr>
                <w:p>
                  <w:pPr>
                    <w:pStyle w:val="92"/>
                    <w:adjustRightInd w:val="0"/>
                    <w:snapToGrid w:val="0"/>
                    <w:jc w:val="center"/>
                    <w:rPr>
                      <w:rFonts w:ascii="Times New Roman" w:hAnsi="Times New Roman" w:cs="Times New Roman"/>
                      <w:kern w:val="0"/>
                      <w:sz w:val="18"/>
                      <w:szCs w:val="18"/>
                    </w:rPr>
                  </w:pPr>
                  <w:r>
                    <w:rPr>
                      <w:rFonts w:ascii="Times New Roman" w:hAnsi="Times New Roman" w:cs="Times New Roman"/>
                      <w:kern w:val="0"/>
                      <w:sz w:val="18"/>
                      <w:szCs w:val="18"/>
                    </w:rPr>
                    <w:t>45</w:t>
                  </w:r>
                </w:p>
              </w:tc>
            </w:tr>
          </w:tbl>
          <w:p>
            <w:pPr>
              <w:pStyle w:val="3"/>
              <w:spacing w:after="0" w:line="440" w:lineRule="exact"/>
              <w:ind w:right="-120" w:firstLine="0" w:firstLineChars="0"/>
              <w:rPr>
                <w:rFonts w:ascii="Times New Roman" w:hAnsi="Times New Roman" w:eastAsia="黑体"/>
                <w:b/>
                <w:bCs/>
              </w:rPr>
            </w:pPr>
            <w:r>
              <w:rPr>
                <w:rFonts w:ascii="Times New Roman" w:hAnsi="Times New Roman" w:eastAsia="黑体"/>
                <w:b/>
                <w:bCs/>
              </w:rPr>
              <w:t>3.3.2</w:t>
            </w:r>
            <w:r>
              <w:rPr>
                <w:rFonts w:hint="eastAsia" w:ascii="Times New Roman" w:hAnsi="Times New Roman" w:eastAsia="黑体"/>
                <w:b/>
                <w:bCs/>
              </w:rPr>
              <w:t>废气</w:t>
            </w:r>
          </w:p>
          <w:p>
            <w:pPr>
              <w:adjustRightInd w:val="0"/>
              <w:snapToGrid w:val="0"/>
              <w:spacing w:line="440" w:lineRule="exact"/>
              <w:ind w:firstLine="480" w:firstLineChars="200"/>
              <w:rPr>
                <w:rFonts w:ascii="Times New Roman" w:hAnsi="Times New Roman"/>
                <w:szCs w:val="22"/>
              </w:rPr>
            </w:pPr>
            <w:r>
              <w:rPr>
                <w:rFonts w:ascii="Times New Roman" w:hAnsi="Times New Roman"/>
                <w:kern w:val="0"/>
                <w:szCs w:val="25"/>
              </w:rPr>
              <w:t>项目废气主要来源于</w:t>
            </w:r>
            <w:r>
              <w:rPr>
                <w:rFonts w:hint="eastAsia" w:ascii="Times New Roman" w:hAnsi="Times New Roman"/>
                <w:kern w:val="0"/>
                <w:szCs w:val="25"/>
              </w:rPr>
              <w:t>装卸、堆放、运输及破碎筛分等工序产生的粉尘。厂界粉尘</w:t>
            </w:r>
            <w:r>
              <w:rPr>
                <w:rFonts w:ascii="Times New Roman" w:hAnsi="Times New Roman"/>
                <w:kern w:val="0"/>
                <w:szCs w:val="25"/>
              </w:rPr>
              <w:t>排放</w:t>
            </w:r>
            <w:r>
              <w:rPr>
                <w:rFonts w:ascii="Times New Roman" w:hAnsi="Times New Roman"/>
                <w:szCs w:val="22"/>
              </w:rPr>
              <w:t>执行《大气污染物综合排放标准》（GB16297-1996）表2标准，见下表。</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表3.3-</w:t>
            </w:r>
            <w:r>
              <w:rPr>
                <w:rFonts w:hint="eastAsia" w:ascii="Times New Roman" w:hAnsi="Times New Roman" w:eastAsia="黑体"/>
                <w:b/>
                <w:sz w:val="21"/>
                <w:szCs w:val="21"/>
              </w:rPr>
              <w:t>2</w:t>
            </w:r>
            <w:r>
              <w:rPr>
                <w:rFonts w:ascii="Times New Roman" w:hAnsi="Times New Roman" w:eastAsia="黑体"/>
                <w:b/>
                <w:sz w:val="21"/>
                <w:szCs w:val="21"/>
              </w:rPr>
              <w:t xml:space="preserve"> 颗粒物无组织排放浓度限值</w:t>
            </w:r>
          </w:p>
          <w:tbl>
            <w:tblPr>
              <w:tblStyle w:val="25"/>
              <w:tblW w:w="813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487"/>
              <w:gridCol w:w="46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954"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监控点</w:t>
                  </w:r>
                </w:p>
              </w:tc>
              <w:tc>
                <w:tcPr>
                  <w:tcW w:w="1487"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浓度（mg/m</w:t>
                  </w:r>
                  <w:r>
                    <w:rPr>
                      <w:rFonts w:ascii="Times New Roman" w:hAnsi="Times New Roman"/>
                      <w:kern w:val="0"/>
                      <w:sz w:val="18"/>
                      <w:szCs w:val="18"/>
                      <w:vertAlign w:val="superscript"/>
                    </w:rPr>
                    <w:t>3</w:t>
                  </w:r>
                  <w:r>
                    <w:rPr>
                      <w:rFonts w:ascii="Times New Roman" w:hAnsi="Times New Roman"/>
                      <w:kern w:val="0"/>
                      <w:sz w:val="18"/>
                      <w:szCs w:val="18"/>
                    </w:rPr>
                    <w:t>）</w:t>
                  </w:r>
                </w:p>
              </w:tc>
              <w:tc>
                <w:tcPr>
                  <w:tcW w:w="4689" w:type="dxa"/>
                  <w:tcBorders>
                    <w:bottom w:val="single" w:color="auto" w:sz="4" w:space="0"/>
                  </w:tcBorders>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1954"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周界外浓度最高点</w:t>
                  </w:r>
                </w:p>
              </w:tc>
              <w:tc>
                <w:tcPr>
                  <w:tcW w:w="1487" w:type="dxa"/>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1.0</w:t>
                  </w:r>
                </w:p>
              </w:tc>
              <w:tc>
                <w:tcPr>
                  <w:tcW w:w="4689" w:type="dxa"/>
                  <w:tcBorders>
                    <w:top w:val="single" w:color="auto" w:sz="4" w:space="0"/>
                  </w:tcBorders>
                  <w:vAlign w:val="center"/>
                </w:tcPr>
                <w:p>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t>《大气污染物综合排放标准》（GB16297-1996）</w:t>
                  </w:r>
                </w:p>
              </w:tc>
            </w:tr>
          </w:tbl>
          <w:p>
            <w:pPr>
              <w:pStyle w:val="2"/>
            </w:pP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3.3.3固废</w:t>
            </w:r>
          </w:p>
          <w:p>
            <w:pPr>
              <w:spacing w:line="440" w:lineRule="exact"/>
              <w:ind w:firstLine="480" w:firstLineChars="200"/>
              <w:rPr>
                <w:rFonts w:ascii="Times New Roman" w:hAnsi="Times New Roman" w:eastAsiaTheme="minorEastAsia"/>
              </w:rPr>
            </w:pPr>
            <w:r>
              <w:rPr>
                <w:rFonts w:ascii="Times New Roman" w:hAnsi="Times New Roman"/>
              </w:rPr>
              <w:t>危险废物的收集、暂存执行《危险废物贮存污染控制标准》（GB18597-2023）的相关要求；</w:t>
            </w:r>
            <w:r>
              <w:rPr>
                <w:rFonts w:ascii="Times New Roman" w:hAnsi="Times New Roman" w:eastAsiaTheme="minorEastAsia"/>
              </w:rPr>
              <w:t>一般工业固体废物在厂区内暂时贮存参照执行</w:t>
            </w:r>
            <w:r>
              <w:rPr>
                <w:rFonts w:ascii="Times New Roman" w:hAnsi="Times New Roman" w:eastAsiaTheme="minorEastAsia"/>
                <w:szCs w:val="20"/>
              </w:rPr>
              <w:t>《一般工业固体废物贮存和填埋污染控制标准》（GB18599-2020）。</w:t>
            </w:r>
          </w:p>
          <w:p>
            <w:pPr>
              <w:pStyle w:val="3"/>
              <w:spacing w:line="400" w:lineRule="exact"/>
              <w:ind w:right="-120" w:firstLine="0" w:firstLineChars="0"/>
              <w:rPr>
                <w:rFonts w:ascii="Times New Roman" w:hAnsi="Times New Roman" w:eastAsia="黑体"/>
                <w:b/>
                <w:bCs/>
              </w:rPr>
            </w:pPr>
            <w:r>
              <w:rPr>
                <w:rFonts w:ascii="Times New Roman" w:hAnsi="Times New Roman" w:eastAsia="黑体"/>
                <w:b/>
                <w:bCs/>
              </w:rPr>
              <w:t>3.3.4噪声</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项目施工期厂界噪声执行《建筑施工场界环境噪声排放标准》（GB- 12523-2011）表1规定排放限值；</w:t>
            </w:r>
            <w:r>
              <w:rPr>
                <w:rFonts w:ascii="Times New Roman" w:hAnsi="Times New Roman"/>
                <w:kern w:val="0"/>
                <w:szCs w:val="25"/>
              </w:rPr>
              <w:t>项目运营期厂界噪声排放执行《工业企业厂界环境噪声排放标准》（GB12348-2008）2类标准，见下表：</w:t>
            </w:r>
          </w:p>
          <w:p>
            <w:pPr>
              <w:tabs>
                <w:tab w:val="left" w:pos="602"/>
              </w:tabs>
              <w:spacing w:before="120" w:beforeLines="50"/>
              <w:ind w:firstLine="422"/>
              <w:jc w:val="center"/>
              <w:rPr>
                <w:rFonts w:ascii="Times New Roman" w:hAnsi="Times New Roman" w:eastAsia="黑体"/>
                <w:b/>
                <w:sz w:val="21"/>
                <w:szCs w:val="21"/>
              </w:rPr>
            </w:pPr>
            <w:r>
              <w:rPr>
                <w:rFonts w:ascii="Times New Roman" w:hAnsi="Times New Roman" w:eastAsia="黑体"/>
                <w:b/>
                <w:sz w:val="21"/>
                <w:szCs w:val="21"/>
              </w:rPr>
              <w:t>表3.3-</w:t>
            </w:r>
            <w:r>
              <w:rPr>
                <w:rFonts w:hint="eastAsia" w:ascii="Times New Roman" w:hAnsi="Times New Roman" w:eastAsia="黑体"/>
                <w:b/>
                <w:sz w:val="21"/>
                <w:szCs w:val="21"/>
              </w:rPr>
              <w:t>3</w:t>
            </w:r>
            <w:r>
              <w:rPr>
                <w:rFonts w:ascii="Times New Roman" w:hAnsi="Times New Roman" w:eastAsia="黑体"/>
                <w:b/>
                <w:sz w:val="21"/>
                <w:szCs w:val="21"/>
              </w:rPr>
              <w:t xml:space="preserve"> 建筑施工场界环境噪声排放限值  单位：dB(A)</w:t>
            </w:r>
          </w:p>
          <w:tbl>
            <w:tblPr>
              <w:tblStyle w:val="25"/>
              <w:tblpPr w:bottomFromText="170" w:vertAnchor="text" w:tblpXSpec="center" w:tblpY="1"/>
              <w:tblOverlap w:val="never"/>
              <w:tblW w:w="79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923"/>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昼间</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60" w:type="dxa"/>
                  <w:vAlign w:val="center"/>
                </w:tcPr>
                <w:p>
                  <w:pPr>
                    <w:ind w:firstLine="360"/>
                    <w:jc w:val="center"/>
                    <w:rPr>
                      <w:rFonts w:ascii="Times New Roman" w:hAnsi="Times New Roman"/>
                      <w:sz w:val="18"/>
                      <w:szCs w:val="18"/>
                    </w:rPr>
                  </w:pPr>
                  <w:r>
                    <w:rPr>
                      <w:rFonts w:hint="eastAsia" w:ascii="Times New Roman" w:hAnsi="Times New Roman"/>
                      <w:sz w:val="18"/>
                      <w:szCs w:val="18"/>
                    </w:rPr>
                    <w:t>《建筑施工场界环境噪声排放标准》</w:t>
                  </w:r>
                </w:p>
                <w:p>
                  <w:pPr>
                    <w:ind w:firstLine="360"/>
                    <w:jc w:val="center"/>
                    <w:rPr>
                      <w:rFonts w:ascii="Times New Roman" w:hAnsi="Times New Roman"/>
                      <w:sz w:val="18"/>
                      <w:szCs w:val="18"/>
                    </w:rPr>
                  </w:pPr>
                  <w:r>
                    <w:rPr>
                      <w:rFonts w:hint="eastAsia" w:ascii="Times New Roman" w:hAnsi="Times New Roman"/>
                      <w:sz w:val="18"/>
                      <w:szCs w:val="18"/>
                    </w:rPr>
                    <w:t>（GB- 12523-2011）表1现值</w:t>
                  </w:r>
                </w:p>
              </w:tc>
              <w:tc>
                <w:tcPr>
                  <w:tcW w:w="1923" w:type="dxa"/>
                  <w:vAlign w:val="center"/>
                </w:tcPr>
                <w:p>
                  <w:pPr>
                    <w:ind w:firstLine="360"/>
                    <w:jc w:val="center"/>
                    <w:rPr>
                      <w:rFonts w:ascii="Times New Roman" w:hAnsi="Times New Roman"/>
                      <w:sz w:val="18"/>
                      <w:szCs w:val="18"/>
                    </w:rPr>
                  </w:pPr>
                  <w:r>
                    <w:rPr>
                      <w:rFonts w:hint="eastAsia" w:ascii="Times New Roman" w:hAnsi="Times New Roman"/>
                      <w:sz w:val="18"/>
                      <w:szCs w:val="18"/>
                    </w:rPr>
                    <w:t>70</w:t>
                  </w:r>
                </w:p>
              </w:tc>
              <w:tc>
                <w:tcPr>
                  <w:tcW w:w="2035" w:type="dxa"/>
                  <w:vAlign w:val="center"/>
                </w:tcPr>
                <w:p>
                  <w:pPr>
                    <w:ind w:firstLine="360"/>
                    <w:jc w:val="center"/>
                    <w:rPr>
                      <w:rFonts w:ascii="Times New Roman" w:hAnsi="Times New Roman"/>
                      <w:sz w:val="18"/>
                      <w:szCs w:val="18"/>
                    </w:rPr>
                  </w:pPr>
                  <w:r>
                    <w:rPr>
                      <w:rFonts w:hint="eastAsia" w:ascii="Times New Roman" w:hAnsi="Times New Roman"/>
                      <w:sz w:val="18"/>
                      <w:szCs w:val="18"/>
                    </w:rPr>
                    <w:t>55</w:t>
                  </w:r>
                </w:p>
              </w:tc>
            </w:tr>
          </w:tbl>
          <w:p>
            <w:pPr>
              <w:tabs>
                <w:tab w:val="left" w:pos="602"/>
              </w:tabs>
              <w:spacing w:before="120" w:beforeLines="50"/>
              <w:ind w:firstLine="422"/>
              <w:jc w:val="center"/>
              <w:rPr>
                <w:rFonts w:ascii="Times New Roman" w:hAnsi="Times New Roman" w:eastAsia="黑体"/>
                <w:b/>
                <w:sz w:val="21"/>
                <w:szCs w:val="21"/>
              </w:rPr>
            </w:pPr>
            <w:bookmarkStart w:id="10" w:name="_Ref349722264"/>
            <w:bookmarkStart w:id="11" w:name="_Ref52284636"/>
            <w:r>
              <w:rPr>
                <w:rFonts w:ascii="Times New Roman" w:hAnsi="Times New Roman" w:eastAsia="黑体"/>
                <w:b/>
                <w:sz w:val="21"/>
                <w:szCs w:val="21"/>
              </w:rPr>
              <w:t>表3.3-</w:t>
            </w:r>
            <w:r>
              <w:rPr>
                <w:rFonts w:hint="eastAsia" w:ascii="Times New Roman" w:hAnsi="Times New Roman" w:eastAsia="黑体"/>
                <w:b/>
                <w:sz w:val="21"/>
                <w:szCs w:val="21"/>
              </w:rPr>
              <w:t>4</w:t>
            </w:r>
            <w:r>
              <w:rPr>
                <w:rFonts w:ascii="Times New Roman" w:hAnsi="Times New Roman" w:eastAsia="黑体"/>
                <w:b/>
                <w:sz w:val="21"/>
                <w:szCs w:val="21"/>
              </w:rPr>
              <w:t xml:space="preserve"> 《工业企业厂界环境噪声排放标准》(摘录)  单位：dB(A)</w:t>
            </w:r>
            <w:bookmarkEnd w:id="10"/>
            <w:bookmarkEnd w:id="11"/>
          </w:p>
          <w:tbl>
            <w:tblPr>
              <w:tblStyle w:val="25"/>
              <w:tblpPr w:bottomFromText="170" w:vertAnchor="text" w:tblpXSpec="center" w:tblpY="1"/>
              <w:tblOverlap w:val="never"/>
              <w:tblW w:w="791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1923"/>
              <w:gridCol w:w="20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昼间</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60" w:type="dxa"/>
                  <w:vAlign w:val="center"/>
                </w:tcPr>
                <w:p>
                  <w:pPr>
                    <w:ind w:firstLine="360"/>
                    <w:jc w:val="center"/>
                    <w:rPr>
                      <w:rFonts w:ascii="Times New Roman" w:hAnsi="Times New Roman"/>
                      <w:sz w:val="18"/>
                      <w:szCs w:val="18"/>
                    </w:rPr>
                  </w:pPr>
                  <w:r>
                    <w:rPr>
                      <w:rFonts w:ascii="Times New Roman" w:hAnsi="Times New Roman"/>
                      <w:sz w:val="18"/>
                      <w:szCs w:val="18"/>
                    </w:rPr>
                    <w:t>《工业企业厂界环境噪声排放标准》（GB12348-2008）2类标准</w:t>
                  </w:r>
                </w:p>
              </w:tc>
              <w:tc>
                <w:tcPr>
                  <w:tcW w:w="1923" w:type="dxa"/>
                  <w:vAlign w:val="center"/>
                </w:tcPr>
                <w:p>
                  <w:pPr>
                    <w:ind w:firstLine="360"/>
                    <w:jc w:val="center"/>
                    <w:rPr>
                      <w:rFonts w:ascii="Times New Roman" w:hAnsi="Times New Roman"/>
                      <w:sz w:val="18"/>
                      <w:szCs w:val="18"/>
                    </w:rPr>
                  </w:pPr>
                  <w:r>
                    <w:rPr>
                      <w:rFonts w:ascii="Times New Roman" w:hAnsi="Times New Roman"/>
                      <w:sz w:val="18"/>
                      <w:szCs w:val="18"/>
                    </w:rPr>
                    <w:t>60</w:t>
                  </w:r>
                </w:p>
              </w:tc>
              <w:tc>
                <w:tcPr>
                  <w:tcW w:w="2035" w:type="dxa"/>
                  <w:vAlign w:val="center"/>
                </w:tcPr>
                <w:p>
                  <w:pPr>
                    <w:ind w:firstLine="360"/>
                    <w:jc w:val="center"/>
                    <w:rPr>
                      <w:rFonts w:ascii="Times New Roman" w:hAnsi="Times New Roman"/>
                      <w:sz w:val="18"/>
                      <w:szCs w:val="18"/>
                    </w:rPr>
                  </w:pPr>
                  <w:r>
                    <w:rPr>
                      <w:rFonts w:ascii="Times New Roman" w:hAnsi="Times New Roman"/>
                      <w:sz w:val="18"/>
                      <w:szCs w:val="18"/>
                    </w:rPr>
                    <w:t>50</w:t>
                  </w:r>
                </w:p>
              </w:tc>
            </w:tr>
          </w:tbl>
          <w:p>
            <w:pPr>
              <w:pStyle w:val="2"/>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0" w:hRule="atLeast"/>
          <w:jc w:val="center"/>
        </w:trPr>
        <w:tc>
          <w:tcPr>
            <w:tcW w:w="642" w:type="dxa"/>
            <w:tcMar>
              <w:left w:w="28" w:type="dxa"/>
              <w:right w:w="28" w:type="dxa"/>
            </w:tcMar>
            <w:vAlign w:val="center"/>
          </w:tcPr>
          <w:p>
            <w:pPr>
              <w:adjustRightInd w:val="0"/>
              <w:snapToGrid w:val="0"/>
              <w:jc w:val="center"/>
              <w:rPr>
                <w:rFonts w:ascii="Times New Roman" w:hAnsi="Times New Roman"/>
                <w:kern w:val="0"/>
                <w:szCs w:val="21"/>
              </w:rPr>
            </w:pPr>
            <w:r>
              <w:rPr>
                <w:rFonts w:ascii="Times New Roman" w:hAnsi="Times New Roman"/>
                <w:kern w:val="0"/>
                <w:szCs w:val="21"/>
              </w:rPr>
              <w:t>总量</w:t>
            </w:r>
          </w:p>
          <w:p>
            <w:pPr>
              <w:adjustRightInd w:val="0"/>
              <w:snapToGrid w:val="0"/>
              <w:jc w:val="center"/>
              <w:rPr>
                <w:rFonts w:ascii="Times New Roman" w:hAnsi="Times New Roman"/>
                <w:kern w:val="0"/>
                <w:szCs w:val="21"/>
              </w:rPr>
            </w:pPr>
            <w:r>
              <w:rPr>
                <w:rFonts w:ascii="Times New Roman" w:hAnsi="Times New Roman"/>
                <w:kern w:val="0"/>
                <w:szCs w:val="21"/>
              </w:rPr>
              <w:t>控制</w:t>
            </w:r>
          </w:p>
          <w:p>
            <w:pPr>
              <w:adjustRightInd w:val="0"/>
              <w:snapToGrid w:val="0"/>
              <w:jc w:val="center"/>
              <w:rPr>
                <w:rFonts w:ascii="Times New Roman" w:hAnsi="Times New Roman"/>
                <w:kern w:val="0"/>
                <w:szCs w:val="21"/>
              </w:rPr>
            </w:pPr>
            <w:r>
              <w:rPr>
                <w:rFonts w:ascii="Times New Roman" w:hAnsi="Times New Roman"/>
                <w:kern w:val="0"/>
                <w:szCs w:val="21"/>
              </w:rPr>
              <w:t>指标</w:t>
            </w:r>
          </w:p>
          <w:p>
            <w:pPr>
              <w:adjustRightInd w:val="0"/>
              <w:snapToGrid w:val="0"/>
              <w:jc w:val="center"/>
              <w:rPr>
                <w:rFonts w:ascii="Times New Roman" w:hAnsi="Times New Roman"/>
                <w:kern w:val="0"/>
                <w:szCs w:val="21"/>
              </w:rPr>
            </w:pPr>
          </w:p>
        </w:tc>
        <w:tc>
          <w:tcPr>
            <w:tcW w:w="8348" w:type="dxa"/>
          </w:tcPr>
          <w:p>
            <w:pPr>
              <w:spacing w:line="440" w:lineRule="exact"/>
              <w:ind w:firstLine="480" w:firstLineChars="200"/>
              <w:rPr>
                <w:rFonts w:ascii="Times New Roman" w:hAnsi="Times New Roman"/>
                <w:kern w:val="0"/>
                <w:szCs w:val="25"/>
              </w:rPr>
            </w:pPr>
            <w:r>
              <w:rPr>
                <w:rFonts w:hint="eastAsia" w:ascii="Times New Roman" w:hAnsi="Times New Roman"/>
                <w:kern w:val="0"/>
                <w:szCs w:val="25"/>
              </w:rPr>
              <w:t>（1）水污染物排放总量控制指标</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项目生产污水处理后完全回用，不外排；生活污水经地埋式污水处理设施处理后用于周边山林地灌溉。根据《福建省环保厅关于进一步明确排污权工作有关问题的通知》（闽环保财[2017]22号），生活污水</w:t>
            </w:r>
            <w:r>
              <w:rPr>
                <w:rFonts w:hint="eastAsia"/>
              </w:rPr>
              <w:t>排放不纳入建设项目主要污染物排放总量指标管理范围，无需进行排污权交易</w:t>
            </w:r>
            <w:r>
              <w:rPr>
                <w:rFonts w:hint="eastAsia" w:ascii="Times New Roman" w:hAnsi="Times New Roman"/>
                <w:kern w:val="0"/>
                <w:szCs w:val="25"/>
              </w:rPr>
              <w:t>。因此项目不涉及废水总量控制指标。</w:t>
            </w:r>
          </w:p>
          <w:p>
            <w:pPr>
              <w:spacing w:line="440" w:lineRule="exact"/>
              <w:ind w:firstLine="480" w:firstLineChars="200"/>
              <w:rPr>
                <w:rFonts w:ascii="Times New Roman" w:hAnsi="Times New Roman"/>
                <w:kern w:val="0"/>
                <w:szCs w:val="25"/>
              </w:rPr>
            </w:pPr>
            <w:r>
              <w:rPr>
                <w:rFonts w:hint="eastAsia" w:ascii="Times New Roman" w:hAnsi="Times New Roman"/>
                <w:kern w:val="0"/>
                <w:szCs w:val="25"/>
              </w:rPr>
              <w:t>（2）大气污染物污染物排放总量控制指标</w:t>
            </w:r>
          </w:p>
          <w:p>
            <w:pPr>
              <w:spacing w:line="440" w:lineRule="exact"/>
              <w:ind w:firstLine="480" w:firstLineChars="200"/>
              <w:rPr>
                <w:rFonts w:ascii="Times New Roman" w:hAnsi="Times New Roman"/>
                <w:b/>
                <w:bCs/>
              </w:rPr>
            </w:pPr>
            <w:r>
              <w:rPr>
                <w:rFonts w:hint="eastAsia" w:ascii="Times New Roman" w:hAnsi="Times New Roman"/>
                <w:kern w:val="0"/>
                <w:szCs w:val="25"/>
              </w:rPr>
              <w:t>本项目大气污染物为颗粒物，</w:t>
            </w:r>
            <w:r>
              <w:rPr>
                <w:rFonts w:hint="eastAsia"/>
                <w:snapToGrid w:val="0"/>
              </w:rPr>
              <w:t>不涉</w:t>
            </w:r>
            <w:r>
              <w:rPr>
                <w:rFonts w:hint="default" w:ascii="Times New Roman" w:hAnsi="Times New Roman" w:cs="Times New Roman"/>
                <w:snapToGrid w:val="0"/>
              </w:rPr>
              <w:t>及SO</w:t>
            </w:r>
            <w:r>
              <w:rPr>
                <w:rFonts w:hint="default" w:ascii="Times New Roman" w:hAnsi="Times New Roman" w:cs="Times New Roman"/>
                <w:snapToGrid w:val="0"/>
                <w:vertAlign w:val="subscript"/>
              </w:rPr>
              <w:t>2</w:t>
            </w:r>
            <w:r>
              <w:rPr>
                <w:rFonts w:hint="default" w:ascii="Times New Roman" w:hAnsi="Times New Roman" w:cs="Times New Roman"/>
                <w:snapToGrid w:val="0"/>
              </w:rPr>
              <w:t>和NO</w:t>
            </w:r>
            <w:r>
              <w:rPr>
                <w:rFonts w:hint="default" w:ascii="Times New Roman" w:hAnsi="Times New Roman" w:cs="Times New Roman"/>
                <w:snapToGrid w:val="0"/>
                <w:vertAlign w:val="subscript"/>
              </w:rPr>
              <w:t>x</w:t>
            </w:r>
            <w:r>
              <w:rPr>
                <w:rFonts w:hint="eastAsia"/>
                <w:snapToGrid w:val="0"/>
              </w:rPr>
              <w:t>等总量控制因子。</w:t>
            </w:r>
          </w:p>
        </w:tc>
      </w:tr>
    </w:tbl>
    <w:p>
      <w:pPr>
        <w:pStyle w:val="23"/>
        <w:outlineLvl w:val="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pStyle w:val="23"/>
        <w:outlineLvl w:val="0"/>
        <w:rPr>
          <w:rFonts w:ascii="Times New Roman" w:hAnsi="Times New Roman" w:eastAsia="黑体"/>
          <w:snapToGrid w:val="0"/>
          <w:sz w:val="30"/>
          <w:szCs w:val="30"/>
        </w:rPr>
      </w:pPr>
      <w:r>
        <w:rPr>
          <w:rFonts w:ascii="Times New Roman" w:hAnsi="Times New Roman" w:eastAsia="黑体"/>
          <w:snapToGrid w:val="0"/>
          <w:sz w:val="30"/>
          <w:szCs w:val="30"/>
        </w:rPr>
        <w:t>四、主要环境影响和保护措施</w:t>
      </w:r>
    </w:p>
    <w:tbl>
      <w:tblPr>
        <w:tblStyle w:val="25"/>
        <w:tblW w:w="92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98"/>
        <w:gridCol w:w="8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98" w:type="dxa"/>
            <w:tcMar>
              <w:left w:w="28" w:type="dxa"/>
              <w:right w:w="28" w:type="dxa"/>
            </w:tcMar>
            <w:vAlign w:val="center"/>
          </w:tcPr>
          <w:p>
            <w:pPr>
              <w:adjustRightInd w:val="0"/>
              <w:snapToGrid w:val="0"/>
              <w:jc w:val="center"/>
              <w:rPr>
                <w:rFonts w:ascii="Times New Roman" w:hAnsi="Times New Roman"/>
                <w:bCs/>
                <w:szCs w:val="21"/>
              </w:rPr>
            </w:pPr>
            <w:r>
              <w:rPr>
                <w:rFonts w:ascii="Times New Roman" w:hAnsi="Times New Roman"/>
                <w:bCs/>
                <w:szCs w:val="21"/>
              </w:rPr>
              <w:t>施工</w:t>
            </w:r>
          </w:p>
          <w:p>
            <w:pPr>
              <w:adjustRightInd w:val="0"/>
              <w:snapToGrid w:val="0"/>
              <w:jc w:val="center"/>
              <w:rPr>
                <w:rFonts w:ascii="Times New Roman" w:hAnsi="Times New Roman"/>
                <w:bCs/>
                <w:szCs w:val="21"/>
              </w:rPr>
            </w:pPr>
            <w:r>
              <w:rPr>
                <w:rFonts w:ascii="Times New Roman" w:hAnsi="Times New Roman"/>
                <w:bCs/>
                <w:szCs w:val="21"/>
              </w:rPr>
              <w:t>期环</w:t>
            </w:r>
          </w:p>
          <w:p>
            <w:pPr>
              <w:adjustRightInd w:val="0"/>
              <w:snapToGrid w:val="0"/>
              <w:jc w:val="center"/>
              <w:rPr>
                <w:rFonts w:ascii="Times New Roman" w:hAnsi="Times New Roman"/>
                <w:bCs/>
                <w:szCs w:val="21"/>
              </w:rPr>
            </w:pPr>
            <w:r>
              <w:rPr>
                <w:rFonts w:ascii="Times New Roman" w:hAnsi="Times New Roman"/>
                <w:bCs/>
                <w:szCs w:val="21"/>
              </w:rPr>
              <w:t>境保</w:t>
            </w:r>
          </w:p>
          <w:p>
            <w:pPr>
              <w:adjustRightInd w:val="0"/>
              <w:snapToGrid w:val="0"/>
              <w:jc w:val="center"/>
              <w:rPr>
                <w:rFonts w:ascii="Times New Roman" w:hAnsi="Times New Roman"/>
                <w:bCs/>
                <w:szCs w:val="21"/>
              </w:rPr>
            </w:pPr>
            <w:r>
              <w:rPr>
                <w:rFonts w:ascii="Times New Roman" w:hAnsi="Times New Roman"/>
                <w:bCs/>
                <w:szCs w:val="21"/>
              </w:rPr>
              <w:t>护措</w:t>
            </w:r>
          </w:p>
          <w:p>
            <w:pPr>
              <w:adjustRightInd w:val="0"/>
              <w:snapToGrid w:val="0"/>
              <w:jc w:val="center"/>
              <w:rPr>
                <w:rFonts w:ascii="Times New Roman" w:hAnsi="Times New Roman"/>
                <w:bCs/>
                <w:szCs w:val="21"/>
              </w:rPr>
            </w:pPr>
            <w:r>
              <w:rPr>
                <w:rFonts w:ascii="Times New Roman" w:hAnsi="Times New Roman"/>
                <w:bCs/>
                <w:szCs w:val="21"/>
              </w:rPr>
              <w:t>施</w:t>
            </w:r>
          </w:p>
        </w:tc>
        <w:tc>
          <w:tcPr>
            <w:tcW w:w="8950" w:type="dxa"/>
            <w:vAlign w:val="center"/>
          </w:tcPr>
          <w:p>
            <w:pPr>
              <w:pStyle w:val="6"/>
              <w:ind w:left="311"/>
              <w:rPr>
                <w:color w:val="auto"/>
              </w:rPr>
            </w:pPr>
            <w:r>
              <w:rPr>
                <w:color w:val="auto"/>
              </w:rPr>
              <w:t>4.1施工期环境</w:t>
            </w:r>
            <w:r>
              <w:rPr>
                <w:rFonts w:hint="eastAsia"/>
                <w:color w:val="auto"/>
              </w:rPr>
              <w:t>影响及</w:t>
            </w:r>
            <w:r>
              <w:rPr>
                <w:color w:val="auto"/>
              </w:rPr>
              <w:t>保护措施</w:t>
            </w:r>
          </w:p>
          <w:p>
            <w:pPr>
              <w:adjustRightInd w:val="0"/>
              <w:snapToGrid w:val="0"/>
              <w:spacing w:line="440" w:lineRule="exact"/>
              <w:ind w:firstLine="480" w:firstLineChars="200"/>
              <w:rPr>
                <w:rFonts w:ascii="Times New Roman" w:hAnsi="Times New Roman"/>
              </w:rPr>
            </w:pPr>
            <w:r>
              <w:rPr>
                <w:rFonts w:hint="eastAsia" w:ascii="Times New Roman" w:hAnsi="Times New Roman"/>
              </w:rPr>
              <w:t>项目租用岩盛公司原低品位矿堆场及破碎车间作为生产厂房，租用厂房设置了顶棚搭盖，采取了地面硬化，施工期建设内容主要为设备安装及隔油池、沉淀池、初期雨水沉淀池等建构筑物建设，施工周期短，对周边环境影响很小，本次评价根据项目特点进行简单分析。</w:t>
            </w:r>
          </w:p>
          <w:p>
            <w:pPr>
              <w:pStyle w:val="8"/>
              <w:numPr>
                <w:ilvl w:val="0"/>
                <w:numId w:val="0"/>
              </w:numPr>
              <w:spacing w:line="400" w:lineRule="exact"/>
            </w:pPr>
            <w:r>
              <w:rPr>
                <w:rFonts w:ascii="Times New Roman" w:hAnsi="Times New Roman"/>
              </w:rPr>
              <w:t>4.</w:t>
            </w:r>
            <w:r>
              <w:rPr>
                <w:rFonts w:hint="eastAsia" w:ascii="Times New Roman" w:hAnsi="Times New Roman"/>
              </w:rPr>
              <w:t>1</w:t>
            </w:r>
            <w:r>
              <w:rPr>
                <w:rFonts w:ascii="Times New Roman" w:hAnsi="Times New Roman"/>
              </w:rPr>
              <w:t>.1</w:t>
            </w:r>
            <w:r>
              <w:rPr>
                <w:rFonts w:hint="eastAsia" w:ascii="Times New Roman" w:hAnsi="Times New Roman"/>
              </w:rPr>
              <w:t>废水</w:t>
            </w:r>
          </w:p>
          <w:p>
            <w:pPr>
              <w:adjustRightInd w:val="0"/>
              <w:snapToGrid w:val="0"/>
              <w:spacing w:line="440" w:lineRule="exact"/>
              <w:ind w:firstLine="480" w:firstLineChars="200"/>
              <w:rPr>
                <w:rFonts w:ascii="Times New Roman" w:hAnsi="Times New Roman"/>
              </w:rPr>
            </w:pPr>
            <w:r>
              <w:rPr>
                <w:rFonts w:hint="eastAsia" w:ascii="Times New Roman" w:hAnsi="Times New Roman"/>
              </w:rPr>
              <w:t>施工期间会产生少量车辆、设备冲洗废水及设施养护废水等建筑施工废水；施工期抑尘洒水由土壤吸收和蒸发；施工人员</w:t>
            </w:r>
            <w:r>
              <w:rPr>
                <w:rFonts w:ascii="Times New Roman" w:hAnsi="Times New Roman"/>
              </w:rPr>
              <w:t>均不住施工现场，无生活污水产生</w:t>
            </w:r>
            <w:r>
              <w:rPr>
                <w:rFonts w:hint="eastAsia" w:ascii="Times New Roman" w:hAnsi="Times New Roman"/>
              </w:rPr>
              <w:t>。</w:t>
            </w:r>
          </w:p>
          <w:p>
            <w:pPr>
              <w:adjustRightInd w:val="0"/>
              <w:snapToGrid w:val="0"/>
              <w:spacing w:line="440" w:lineRule="exact"/>
              <w:ind w:firstLine="480" w:firstLineChars="200"/>
              <w:rPr>
                <w:rFonts w:ascii="Times New Roman" w:hAnsi="Times New Roman"/>
              </w:rPr>
            </w:pPr>
            <w:r>
              <w:rPr>
                <w:rFonts w:hint="eastAsia" w:ascii="宋体" w:hAnsi="宋体" w:cs="宋体"/>
              </w:rPr>
              <w:t>施工期冲洗废水、养护</w:t>
            </w:r>
            <w:r>
              <w:rPr>
                <w:rFonts w:ascii="宋体" w:hAnsi="宋体" w:cs="宋体"/>
              </w:rPr>
              <w:t>废水产生量较少，经简易沉淀处理后可全部回用，不外排</w:t>
            </w:r>
            <w:r>
              <w:rPr>
                <w:rFonts w:hint="eastAsia" w:ascii="宋体" w:hAnsi="宋体" w:cs="宋体"/>
              </w:rPr>
              <w:t>。</w:t>
            </w:r>
            <w:r>
              <w:rPr>
                <w:rFonts w:hint="eastAsia" w:ascii="Times New Roman" w:hAnsi="Times New Roman"/>
              </w:rPr>
              <w:t>综上，项目施工期无生产废水外排，对周围水环境影响小。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2废气</w:t>
            </w:r>
          </w:p>
          <w:p>
            <w:pPr>
              <w:adjustRightInd w:val="0"/>
              <w:snapToGrid w:val="0"/>
              <w:spacing w:line="440" w:lineRule="exact"/>
              <w:ind w:firstLine="480" w:firstLineChars="200"/>
              <w:rPr>
                <w:rFonts w:ascii="Times New Roman" w:hAnsi="Times New Roman"/>
              </w:rPr>
            </w:pPr>
            <w:r>
              <w:rPr>
                <w:rFonts w:hint="eastAsia" w:ascii="Times New Roman" w:hAnsi="Times New Roman"/>
              </w:rPr>
              <w:t>本项目施工期对环境空气的影响主要为池体开挖、材料运输产生的扬尘污染和施工机械尾气污染。为减少施工扬尘对周边单位的影响，本评价要求施工单位在施工过程中应采取以下污染控制措施。</w:t>
            </w:r>
          </w:p>
          <w:p>
            <w:pPr>
              <w:adjustRightInd w:val="0"/>
              <w:snapToGrid w:val="0"/>
              <w:spacing w:line="440" w:lineRule="exact"/>
              <w:ind w:firstLine="480" w:firstLineChars="200"/>
              <w:rPr>
                <w:rFonts w:ascii="Times New Roman" w:hAnsi="Times New Roman"/>
              </w:rPr>
            </w:pPr>
            <w:r>
              <w:rPr>
                <w:rFonts w:hint="eastAsia" w:ascii="Times New Roman" w:hAnsi="Times New Roman"/>
              </w:rPr>
              <w:t>（1）扬尘污染</w:t>
            </w:r>
          </w:p>
          <w:p>
            <w:pPr>
              <w:adjustRightInd w:val="0"/>
              <w:snapToGrid w:val="0"/>
              <w:spacing w:line="440" w:lineRule="exact"/>
              <w:ind w:firstLine="480" w:firstLineChars="200"/>
              <w:rPr>
                <w:rFonts w:ascii="Times New Roman" w:hAnsi="Times New Roman"/>
              </w:rPr>
            </w:pPr>
            <w:r>
              <w:rPr>
                <w:rFonts w:ascii="Times New Roman" w:hAnsi="Times New Roman"/>
              </w:rPr>
              <w:t>①针对施工任务和施工场地环境状况，制定合理的施工计划，缩短施工周期，减少施工现场的工作面，减轻施工扬尘对环境的影响。</w:t>
            </w:r>
          </w:p>
          <w:p>
            <w:pPr>
              <w:adjustRightInd w:val="0"/>
              <w:snapToGrid w:val="0"/>
              <w:spacing w:line="440" w:lineRule="exact"/>
              <w:ind w:firstLine="480" w:firstLineChars="200"/>
              <w:rPr>
                <w:rFonts w:ascii="Times New Roman" w:hAnsi="Times New Roman"/>
              </w:rPr>
            </w:pPr>
            <w:r>
              <w:rPr>
                <w:rFonts w:ascii="Times New Roman" w:hAnsi="Times New Roman"/>
              </w:rPr>
              <w:t>②施工期必须打围作业、必须设置冲洗设施、必须湿法作业、必须配齐保洁人员、必须定时清扫施工现场，不准车辆带泥出门、不准运渣车辆冒顶装载、不准高空抛撒建渣、不准现场搅拌混凝土、不准场地积水、不准现场焚烧废弃物；加强车辆保养和维护，减少超载，减少停车怠速时间；施工现场应沿四周连续设置封闭围挡，围挡设置应安全可靠。围挡上落尘应定期清洗，围档底部应密封，不得有泥浆外漏。围挡顶端应设置喷雾降尘装置，喷雾喷头水平间隔不大于5m，喷射水雾方向应向工地内部倾斜。工程结朿前，不得拆除施工现场围挡。做好围挡维护工作，出现破损及时更换。</w:t>
            </w:r>
          </w:p>
          <w:p>
            <w:pPr>
              <w:adjustRightInd w:val="0"/>
              <w:snapToGrid w:val="0"/>
              <w:spacing w:line="440" w:lineRule="exact"/>
              <w:ind w:firstLine="480" w:firstLineChars="200"/>
              <w:rPr>
                <w:rFonts w:ascii="Times New Roman" w:hAnsi="Times New Roman"/>
              </w:rPr>
            </w:pPr>
            <w:r>
              <w:rPr>
                <w:rFonts w:hint="eastAsia" w:ascii="Times New Roman" w:hAnsi="Times New Roman"/>
              </w:rPr>
              <w:t>（2）施工机械尾气</w:t>
            </w:r>
          </w:p>
          <w:p>
            <w:pPr>
              <w:adjustRightInd w:val="0"/>
              <w:snapToGrid w:val="0"/>
              <w:spacing w:line="440" w:lineRule="exact"/>
              <w:ind w:firstLine="480" w:firstLineChars="200"/>
              <w:rPr>
                <w:rFonts w:ascii="Times New Roman" w:hAnsi="Times New Roman"/>
              </w:rPr>
            </w:pPr>
            <w:r>
              <w:rPr>
                <w:rFonts w:ascii="Times New Roman" w:hAnsi="Times New Roman"/>
              </w:rPr>
              <w:t>由于本工程建设需要动用少量机械设备，会产生较少的燃油废气，此外车辆运输也会产生一部分的汽车尾气，其主要污染物为 CH、CO、NO</w:t>
            </w:r>
            <w:r>
              <w:rPr>
                <w:rFonts w:ascii="Times New Roman" w:hAnsi="Times New Roman"/>
                <w:vertAlign w:val="subscript"/>
              </w:rPr>
              <w:t>2</w:t>
            </w:r>
            <w:r>
              <w:rPr>
                <w:rFonts w:ascii="Times New Roman" w:hAnsi="Times New Roman"/>
              </w:rPr>
              <w:t>。但是由于施工期较短，施工过程中采用先进的施工机械，做好设备的维修和养护工作，燃油机械选用低硫优质柴油作燃料，减少大气污染物的排放，并尽量将其工作场所移至当地常年主导风下风向和场地开阔的地方，产生的废气经自然扩散后能达标排放，故对当地大气环境影响很小。</w:t>
            </w:r>
          </w:p>
          <w:p>
            <w:pPr>
              <w:adjustRightInd w:val="0"/>
              <w:snapToGrid w:val="0"/>
              <w:spacing w:line="440" w:lineRule="exact"/>
              <w:ind w:firstLine="480" w:firstLineChars="200"/>
              <w:rPr>
                <w:rFonts w:ascii="Times New Roman" w:hAnsi="Times New Roman"/>
              </w:rPr>
            </w:pPr>
            <w:r>
              <w:rPr>
                <w:rFonts w:ascii="Times New Roman" w:hAnsi="Times New Roman"/>
              </w:rPr>
              <w:t>严格按照</w:t>
            </w:r>
            <w:r>
              <w:rPr>
                <w:rFonts w:hint="eastAsia" w:ascii="Times New Roman" w:hAnsi="Times New Roman"/>
              </w:rPr>
              <w:t>以上废气</w:t>
            </w:r>
            <w:r>
              <w:rPr>
                <w:rFonts w:ascii="Times New Roman" w:hAnsi="Times New Roman"/>
              </w:rPr>
              <w:t>控制措施，则项目施工期产生的</w:t>
            </w:r>
            <w:r>
              <w:rPr>
                <w:rFonts w:hint="eastAsia" w:ascii="Times New Roman" w:hAnsi="Times New Roman"/>
              </w:rPr>
              <w:t>废气</w:t>
            </w:r>
            <w:r>
              <w:rPr>
                <w:rFonts w:ascii="Times New Roman" w:hAnsi="Times New Roman"/>
              </w:rPr>
              <w:t>对环境空气质量影响较小。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3噪声</w:t>
            </w:r>
          </w:p>
          <w:p>
            <w:pPr>
              <w:adjustRightInd w:val="0"/>
              <w:snapToGrid w:val="0"/>
              <w:spacing w:line="440" w:lineRule="exact"/>
              <w:ind w:firstLine="480" w:firstLineChars="200"/>
              <w:rPr>
                <w:rFonts w:ascii="Times New Roman" w:hAnsi="Times New Roman"/>
              </w:rPr>
            </w:pPr>
            <w:r>
              <w:rPr>
                <w:rFonts w:hint="eastAsia" w:ascii="Times New Roman" w:hAnsi="Times New Roman"/>
              </w:rPr>
              <w:t>为避免项目施工期对周边环境造成影响，建设单位应监督施工单位合理安排好施工时间及施工工序，尽量缩短施工周期；合理安排运输路线及时间，尽量绕开声环境敏感点，途经敏感点时控制车速，减少鸣笛等；设备选型尽量采用低噪声设备、做好施工场所设备维护管理，合理进行施工平面布置，同时在午休时间减少施工，最大限度减轻施工活动对群众生活带来的不利影响。</w:t>
            </w:r>
          </w:p>
          <w:p>
            <w:pPr>
              <w:adjustRightInd w:val="0"/>
              <w:snapToGrid w:val="0"/>
              <w:spacing w:line="440" w:lineRule="exact"/>
              <w:ind w:firstLine="480" w:firstLineChars="200"/>
              <w:rPr>
                <w:rFonts w:ascii="Times New Roman" w:hAnsi="Times New Roman"/>
              </w:rPr>
            </w:pPr>
            <w:r>
              <w:rPr>
                <w:rFonts w:hint="eastAsia" w:ascii="Times New Roman" w:hAnsi="Times New Roman"/>
              </w:rPr>
              <w:t>通过以上噪声控制措施，施工期对环境影响较小。</w:t>
            </w:r>
          </w:p>
          <w:p>
            <w:pPr>
              <w:pStyle w:val="8"/>
              <w:numPr>
                <w:ilvl w:val="0"/>
                <w:numId w:val="0"/>
              </w:numPr>
              <w:spacing w:line="400" w:lineRule="exact"/>
              <w:rPr>
                <w:rFonts w:ascii="Times New Roman" w:hAnsi="Times New Roman"/>
              </w:rPr>
            </w:pPr>
            <w:r>
              <w:rPr>
                <w:rFonts w:ascii="Times New Roman" w:hAnsi="Times New Roman"/>
              </w:rPr>
              <w:t>4.</w:t>
            </w:r>
            <w:r>
              <w:rPr>
                <w:rFonts w:hint="eastAsia" w:ascii="Times New Roman" w:hAnsi="Times New Roman"/>
              </w:rPr>
              <w:t>1</w:t>
            </w:r>
            <w:r>
              <w:rPr>
                <w:rFonts w:ascii="Times New Roman" w:hAnsi="Times New Roman"/>
              </w:rPr>
              <w:t>.</w:t>
            </w:r>
            <w:r>
              <w:rPr>
                <w:rFonts w:hint="eastAsia" w:ascii="Times New Roman" w:hAnsi="Times New Roman"/>
              </w:rPr>
              <w:t>4固体废物</w:t>
            </w:r>
          </w:p>
          <w:p>
            <w:pPr>
              <w:adjustRightInd w:val="0"/>
              <w:snapToGrid w:val="0"/>
              <w:spacing w:line="440" w:lineRule="exact"/>
              <w:ind w:firstLine="480" w:firstLineChars="200"/>
              <w:rPr>
                <w:rFonts w:ascii="Times New Roman" w:hAnsi="Times New Roman"/>
              </w:rPr>
            </w:pPr>
            <w:r>
              <w:rPr>
                <w:rFonts w:hint="eastAsia" w:ascii="Times New Roman" w:hAnsi="Times New Roman"/>
              </w:rPr>
              <w:t>施工期产生的固体废物主要为生活垃圾、施工弃土、建筑垃圾等。生活垃圾：施工期间生活垃圾收集后由环卫部门清运，对环境影响较小。施工弃土及时回填和利用，严禁长时间放置，临时放置时应采用苫布进行遮盖，防止造成水土流失。建筑垃圾：建筑垃圾尽量回收利用，不能利用的交由建筑垃圾清运公司及时清运至政府部门指定的建筑垃圾堆放场所，不得随意处理。</w:t>
            </w:r>
          </w:p>
          <w:p>
            <w:pPr>
              <w:adjustRightInd w:val="0"/>
              <w:snapToGrid w:val="0"/>
              <w:spacing w:line="440" w:lineRule="exact"/>
              <w:ind w:firstLine="480" w:firstLineChars="200"/>
              <w:rPr>
                <w:rFonts w:ascii="宋体" w:hAnsi="宋体" w:cs="宋体"/>
              </w:rPr>
            </w:pPr>
            <w:r>
              <w:rPr>
                <w:rFonts w:hint="eastAsia" w:ascii="Times New Roman" w:hAnsi="Times New Roman"/>
              </w:rPr>
              <w:t>通过以上固体废物控制措施。使固体废物能得以妥善处置，不会对环境造成污染影响。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78" w:hRule="atLeast"/>
          <w:jc w:val="center"/>
        </w:trPr>
        <w:tc>
          <w:tcPr>
            <w:tcW w:w="298" w:type="dxa"/>
            <w:tcMar>
              <w:left w:w="28" w:type="dxa"/>
              <w:right w:w="28" w:type="dxa"/>
            </w:tcMar>
            <w:vAlign w:val="center"/>
          </w:tcPr>
          <w:p>
            <w:pPr>
              <w:adjustRightInd w:val="0"/>
              <w:snapToGrid w:val="0"/>
              <w:jc w:val="center"/>
              <w:rPr>
                <w:rFonts w:ascii="Times New Roman" w:hAnsi="Times New Roman"/>
                <w:bCs/>
                <w:szCs w:val="21"/>
              </w:rPr>
            </w:pPr>
            <w:r>
              <w:rPr>
                <w:rFonts w:hint="eastAsia" w:ascii="Times New Roman" w:hAnsi="Times New Roman"/>
                <w:bCs/>
                <w:szCs w:val="21"/>
              </w:rPr>
              <w:t>运营</w:t>
            </w:r>
          </w:p>
          <w:p>
            <w:pPr>
              <w:adjustRightInd w:val="0"/>
              <w:snapToGrid w:val="0"/>
              <w:jc w:val="center"/>
              <w:rPr>
                <w:rFonts w:ascii="Times New Roman" w:hAnsi="Times New Roman"/>
                <w:bCs/>
                <w:szCs w:val="21"/>
              </w:rPr>
            </w:pPr>
            <w:r>
              <w:rPr>
                <w:rFonts w:ascii="Times New Roman" w:hAnsi="Times New Roman"/>
                <w:bCs/>
                <w:szCs w:val="21"/>
              </w:rPr>
              <w:t>期环</w:t>
            </w:r>
          </w:p>
          <w:p>
            <w:pPr>
              <w:adjustRightInd w:val="0"/>
              <w:snapToGrid w:val="0"/>
              <w:jc w:val="center"/>
              <w:rPr>
                <w:rFonts w:ascii="Times New Roman" w:hAnsi="Times New Roman"/>
                <w:bCs/>
                <w:szCs w:val="21"/>
              </w:rPr>
            </w:pPr>
            <w:r>
              <w:rPr>
                <w:rFonts w:ascii="Times New Roman" w:hAnsi="Times New Roman"/>
                <w:bCs/>
                <w:szCs w:val="21"/>
              </w:rPr>
              <w:t>境保</w:t>
            </w:r>
          </w:p>
          <w:p>
            <w:pPr>
              <w:adjustRightInd w:val="0"/>
              <w:snapToGrid w:val="0"/>
              <w:jc w:val="center"/>
              <w:rPr>
                <w:rFonts w:ascii="Times New Roman" w:hAnsi="Times New Roman"/>
                <w:bCs/>
                <w:szCs w:val="21"/>
              </w:rPr>
            </w:pPr>
            <w:r>
              <w:rPr>
                <w:rFonts w:ascii="Times New Roman" w:hAnsi="Times New Roman"/>
                <w:bCs/>
                <w:szCs w:val="21"/>
              </w:rPr>
              <w:t>护措</w:t>
            </w:r>
          </w:p>
          <w:p>
            <w:pPr>
              <w:adjustRightInd w:val="0"/>
              <w:snapToGrid w:val="0"/>
              <w:jc w:val="center"/>
              <w:rPr>
                <w:rFonts w:ascii="Times New Roman" w:hAnsi="Times New Roman"/>
                <w:bCs/>
                <w:sz w:val="21"/>
                <w:szCs w:val="21"/>
              </w:rPr>
            </w:pPr>
            <w:r>
              <w:rPr>
                <w:rFonts w:ascii="Times New Roman" w:hAnsi="Times New Roman"/>
                <w:bCs/>
                <w:szCs w:val="21"/>
              </w:rPr>
              <w:t>施</w:t>
            </w:r>
          </w:p>
        </w:tc>
        <w:tc>
          <w:tcPr>
            <w:tcW w:w="8950" w:type="dxa"/>
            <w:vAlign w:val="center"/>
          </w:tcPr>
          <w:p>
            <w:pPr>
              <w:pStyle w:val="6"/>
              <w:ind w:left="311"/>
              <w:rPr>
                <w:color w:val="auto"/>
              </w:rPr>
            </w:pPr>
            <w:bookmarkStart w:id="12" w:name="_Toc83203087"/>
            <w:r>
              <w:rPr>
                <w:color w:val="auto"/>
              </w:rPr>
              <w:t>4.2运营期环境影响和保护措施</w:t>
            </w:r>
            <w:bookmarkEnd w:id="12"/>
          </w:p>
          <w:p>
            <w:pPr>
              <w:pStyle w:val="8"/>
              <w:numPr>
                <w:ilvl w:val="0"/>
                <w:numId w:val="0"/>
              </w:numPr>
              <w:spacing w:line="400" w:lineRule="exact"/>
            </w:pPr>
            <w:r>
              <w:rPr>
                <w:rFonts w:ascii="Times New Roman" w:hAnsi="Times New Roman"/>
              </w:rPr>
              <w:t>4.2.1</w:t>
            </w:r>
            <w:r>
              <w:rPr>
                <w:rFonts w:hint="eastAsia" w:ascii="Times New Roman" w:hAnsi="Times New Roman"/>
              </w:rPr>
              <w:t>核算方法</w:t>
            </w:r>
          </w:p>
          <w:p>
            <w:pPr>
              <w:snapToGrid w:val="0"/>
              <w:spacing w:line="440" w:lineRule="exact"/>
              <w:ind w:firstLine="480" w:firstLineChars="200"/>
              <w:rPr>
                <w:rFonts w:ascii="Times New Roman" w:hAnsi="Times New Roman" w:eastAsiaTheme="minorEastAsia"/>
                <w:bCs/>
              </w:rPr>
            </w:pPr>
            <w:r>
              <w:rPr>
                <w:rFonts w:ascii="Times New Roman" w:hAnsi="Times New Roman" w:eastAsiaTheme="minorEastAsia"/>
                <w:bCs/>
              </w:rPr>
              <w:t>本项目</w:t>
            </w:r>
            <w:r>
              <w:rPr>
                <w:rFonts w:hint="eastAsia" w:ascii="Times New Roman" w:hAnsi="Times New Roman" w:eastAsiaTheme="minorEastAsia"/>
                <w:bCs/>
              </w:rPr>
              <w:t>主要从事</w:t>
            </w:r>
            <w:r>
              <w:rPr>
                <w:rFonts w:hint="eastAsia" w:ascii="Times New Roman" w:hAnsi="Times New Roman"/>
                <w:bCs/>
              </w:rPr>
              <w:t>铸铁渣、铸造砂、转炉渣及钢渣等固体废物的回收利用</w:t>
            </w:r>
            <w:r>
              <w:rPr>
                <w:rFonts w:ascii="Times New Roman" w:hAnsi="Times New Roman" w:eastAsiaTheme="minorEastAsia"/>
                <w:bCs/>
              </w:rPr>
              <w:t>，目前尚未发布相关污染源强核算技术指南，根据《污染源源强核算技术指南 准则》，本项目污染源强核算方法汇总如下表。</w:t>
            </w:r>
          </w:p>
          <w:p>
            <w:pPr>
              <w:pStyle w:val="34"/>
              <w:spacing w:before="120" w:line="440" w:lineRule="exact"/>
              <w:ind w:firstLine="422"/>
              <w:rPr>
                <w:rFonts w:ascii="Times New Roman" w:hAnsi="Times New Roman"/>
                <w:b/>
                <w:bCs/>
                <w:sz w:val="21"/>
                <w:szCs w:val="21"/>
              </w:rPr>
            </w:pPr>
            <w:r>
              <w:rPr>
                <w:rFonts w:ascii="Times New Roman" w:hAnsi="Times New Roman"/>
                <w:b/>
                <w:bCs/>
                <w:sz w:val="21"/>
                <w:szCs w:val="21"/>
              </w:rPr>
              <w:t>表4.2-1  本项目污染源强核算方法汇总</w:t>
            </w:r>
          </w:p>
          <w:tbl>
            <w:tblPr>
              <w:tblStyle w:val="25"/>
              <w:tblW w:w="873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80"/>
              <w:gridCol w:w="1921"/>
              <w:gridCol w:w="3237"/>
              <w:gridCol w:w="18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序号</w:t>
                  </w:r>
                </w:p>
              </w:tc>
              <w:tc>
                <w:tcPr>
                  <w:tcW w:w="980" w:type="dxa"/>
                  <w:vAlign w:val="center"/>
                </w:tcPr>
                <w:p>
                  <w:pPr>
                    <w:pStyle w:val="72"/>
                    <w:jc w:val="center"/>
                    <w:rPr>
                      <w:sz w:val="21"/>
                      <w:szCs w:val="21"/>
                    </w:rPr>
                  </w:pPr>
                  <w:r>
                    <w:rPr>
                      <w:sz w:val="21"/>
                      <w:szCs w:val="21"/>
                    </w:rPr>
                    <w:t>要素</w:t>
                  </w:r>
                </w:p>
              </w:tc>
              <w:tc>
                <w:tcPr>
                  <w:tcW w:w="1921" w:type="dxa"/>
                  <w:vAlign w:val="center"/>
                </w:tcPr>
                <w:p>
                  <w:pPr>
                    <w:pStyle w:val="72"/>
                    <w:jc w:val="center"/>
                    <w:rPr>
                      <w:sz w:val="21"/>
                      <w:szCs w:val="21"/>
                    </w:rPr>
                  </w:pPr>
                  <w:r>
                    <w:rPr>
                      <w:sz w:val="21"/>
                      <w:szCs w:val="21"/>
                    </w:rPr>
                    <w:t>污染源</w:t>
                  </w:r>
                </w:p>
              </w:tc>
              <w:tc>
                <w:tcPr>
                  <w:tcW w:w="3237" w:type="dxa"/>
                  <w:vAlign w:val="center"/>
                </w:tcPr>
                <w:p>
                  <w:pPr>
                    <w:pStyle w:val="72"/>
                    <w:jc w:val="center"/>
                    <w:rPr>
                      <w:sz w:val="21"/>
                      <w:szCs w:val="21"/>
                    </w:rPr>
                  </w:pPr>
                  <w:r>
                    <w:rPr>
                      <w:sz w:val="21"/>
                      <w:szCs w:val="21"/>
                    </w:rPr>
                    <w:t>核算物或核算因子</w:t>
                  </w:r>
                </w:p>
              </w:tc>
              <w:tc>
                <w:tcPr>
                  <w:tcW w:w="1812" w:type="dxa"/>
                  <w:vAlign w:val="center"/>
                </w:tcPr>
                <w:p>
                  <w:pPr>
                    <w:pStyle w:val="72"/>
                    <w:jc w:val="center"/>
                    <w:rPr>
                      <w:sz w:val="21"/>
                      <w:szCs w:val="21"/>
                    </w:rPr>
                  </w:pPr>
                  <w:r>
                    <w:rPr>
                      <w:sz w:val="21"/>
                      <w:szCs w:val="21"/>
                    </w:rPr>
                    <w:t>核算方法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restart"/>
                  <w:vAlign w:val="center"/>
                </w:tcPr>
                <w:p>
                  <w:pPr>
                    <w:pStyle w:val="72"/>
                    <w:jc w:val="center"/>
                    <w:rPr>
                      <w:sz w:val="21"/>
                      <w:szCs w:val="21"/>
                    </w:rPr>
                  </w:pPr>
                  <w:r>
                    <w:rPr>
                      <w:sz w:val="21"/>
                      <w:szCs w:val="21"/>
                    </w:rPr>
                    <w:t>1</w:t>
                  </w:r>
                </w:p>
              </w:tc>
              <w:tc>
                <w:tcPr>
                  <w:tcW w:w="980" w:type="dxa"/>
                  <w:vMerge w:val="restart"/>
                  <w:vAlign w:val="center"/>
                </w:tcPr>
                <w:p>
                  <w:pPr>
                    <w:pStyle w:val="72"/>
                    <w:jc w:val="center"/>
                    <w:rPr>
                      <w:sz w:val="21"/>
                      <w:szCs w:val="21"/>
                    </w:rPr>
                  </w:pPr>
                  <w:r>
                    <w:rPr>
                      <w:sz w:val="21"/>
                      <w:szCs w:val="21"/>
                    </w:rPr>
                    <w:t>废气</w:t>
                  </w:r>
                </w:p>
              </w:tc>
              <w:tc>
                <w:tcPr>
                  <w:tcW w:w="1921" w:type="dxa"/>
                  <w:vAlign w:val="center"/>
                </w:tcPr>
                <w:p>
                  <w:pPr>
                    <w:pStyle w:val="72"/>
                    <w:jc w:val="center"/>
                    <w:rPr>
                      <w:sz w:val="21"/>
                      <w:szCs w:val="21"/>
                    </w:rPr>
                  </w:pPr>
                  <w:r>
                    <w:rPr>
                      <w:sz w:val="21"/>
                      <w:szCs w:val="21"/>
                    </w:rPr>
                    <w:t>堆放、装卸粉尘</w:t>
                  </w:r>
                </w:p>
              </w:tc>
              <w:tc>
                <w:tcPr>
                  <w:tcW w:w="3237" w:type="dxa"/>
                  <w:vAlign w:val="center"/>
                </w:tcPr>
                <w:p>
                  <w:pPr>
                    <w:pStyle w:val="72"/>
                    <w:jc w:val="center"/>
                    <w:rPr>
                      <w:sz w:val="21"/>
                      <w:szCs w:val="21"/>
                    </w:rPr>
                  </w:pPr>
                  <w:r>
                    <w:rPr>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vAlign w:val="center"/>
                </w:tcPr>
                <w:p>
                  <w:pPr>
                    <w:pStyle w:val="72"/>
                    <w:jc w:val="center"/>
                    <w:rPr>
                      <w:sz w:val="21"/>
                      <w:szCs w:val="21"/>
                    </w:rPr>
                  </w:pPr>
                </w:p>
              </w:tc>
              <w:tc>
                <w:tcPr>
                  <w:tcW w:w="980" w:type="dxa"/>
                  <w:vMerge w:val="continue"/>
                  <w:vAlign w:val="center"/>
                </w:tcPr>
                <w:p>
                  <w:pPr>
                    <w:pStyle w:val="72"/>
                    <w:jc w:val="center"/>
                    <w:rPr>
                      <w:sz w:val="21"/>
                      <w:szCs w:val="21"/>
                    </w:rPr>
                  </w:pPr>
                </w:p>
              </w:tc>
              <w:tc>
                <w:tcPr>
                  <w:tcW w:w="1921" w:type="dxa"/>
                  <w:vAlign w:val="center"/>
                </w:tcPr>
                <w:p>
                  <w:pPr>
                    <w:pStyle w:val="72"/>
                    <w:jc w:val="center"/>
                    <w:rPr>
                      <w:sz w:val="21"/>
                      <w:szCs w:val="21"/>
                    </w:rPr>
                  </w:pPr>
                  <w:r>
                    <w:rPr>
                      <w:rFonts w:hint="eastAsia"/>
                      <w:sz w:val="21"/>
                      <w:szCs w:val="21"/>
                    </w:rPr>
                    <w:t>破碎、筛分粉尘</w:t>
                  </w:r>
                </w:p>
              </w:tc>
              <w:tc>
                <w:tcPr>
                  <w:tcW w:w="3237" w:type="dxa"/>
                  <w:vAlign w:val="center"/>
                </w:tcPr>
                <w:p>
                  <w:pPr>
                    <w:pStyle w:val="72"/>
                    <w:jc w:val="center"/>
                    <w:rPr>
                      <w:sz w:val="21"/>
                      <w:szCs w:val="21"/>
                    </w:rPr>
                  </w:pPr>
                  <w:r>
                    <w:rPr>
                      <w:rFonts w:hint="eastAsia"/>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Merge w:val="continue"/>
                  <w:vAlign w:val="center"/>
                </w:tcPr>
                <w:p>
                  <w:pPr>
                    <w:pStyle w:val="72"/>
                    <w:jc w:val="center"/>
                    <w:rPr>
                      <w:sz w:val="21"/>
                      <w:szCs w:val="21"/>
                    </w:rPr>
                  </w:pPr>
                </w:p>
              </w:tc>
              <w:tc>
                <w:tcPr>
                  <w:tcW w:w="980" w:type="dxa"/>
                  <w:vMerge w:val="continue"/>
                  <w:vAlign w:val="center"/>
                </w:tcPr>
                <w:p>
                  <w:pPr>
                    <w:pStyle w:val="72"/>
                    <w:jc w:val="center"/>
                    <w:rPr>
                      <w:sz w:val="21"/>
                      <w:szCs w:val="21"/>
                    </w:rPr>
                  </w:pPr>
                </w:p>
              </w:tc>
              <w:tc>
                <w:tcPr>
                  <w:tcW w:w="1921" w:type="dxa"/>
                  <w:vAlign w:val="center"/>
                </w:tcPr>
                <w:p>
                  <w:pPr>
                    <w:pStyle w:val="72"/>
                    <w:jc w:val="center"/>
                    <w:rPr>
                      <w:sz w:val="21"/>
                      <w:szCs w:val="21"/>
                    </w:rPr>
                  </w:pPr>
                  <w:r>
                    <w:rPr>
                      <w:rFonts w:hint="eastAsia"/>
                      <w:sz w:val="21"/>
                      <w:szCs w:val="21"/>
                    </w:rPr>
                    <w:t>车辆运输行驶扬尘</w:t>
                  </w:r>
                </w:p>
              </w:tc>
              <w:tc>
                <w:tcPr>
                  <w:tcW w:w="3237" w:type="dxa"/>
                  <w:vAlign w:val="center"/>
                </w:tcPr>
                <w:p>
                  <w:pPr>
                    <w:pStyle w:val="72"/>
                    <w:jc w:val="center"/>
                    <w:rPr>
                      <w:sz w:val="21"/>
                      <w:szCs w:val="21"/>
                    </w:rPr>
                  </w:pPr>
                  <w:r>
                    <w:rPr>
                      <w:rFonts w:hint="eastAsia"/>
                      <w:sz w:val="21"/>
                      <w:szCs w:val="21"/>
                    </w:rPr>
                    <w:t>颗粒物</w:t>
                  </w:r>
                </w:p>
              </w:tc>
              <w:tc>
                <w:tcPr>
                  <w:tcW w:w="1812" w:type="dxa"/>
                  <w:vAlign w:val="center"/>
                </w:tcPr>
                <w:p>
                  <w:pPr>
                    <w:pStyle w:val="72"/>
                    <w:jc w:val="center"/>
                    <w:rPr>
                      <w:sz w:val="21"/>
                      <w:szCs w:val="21"/>
                    </w:rPr>
                  </w:pPr>
                  <w:r>
                    <w:rPr>
                      <w:sz w:val="21"/>
                      <w:szCs w:val="21"/>
                    </w:rPr>
                    <w:t>产污系数法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2</w:t>
                  </w:r>
                </w:p>
              </w:tc>
              <w:tc>
                <w:tcPr>
                  <w:tcW w:w="980" w:type="dxa"/>
                  <w:vAlign w:val="center"/>
                </w:tcPr>
                <w:p>
                  <w:pPr>
                    <w:pStyle w:val="72"/>
                    <w:jc w:val="center"/>
                    <w:rPr>
                      <w:sz w:val="21"/>
                      <w:szCs w:val="21"/>
                    </w:rPr>
                  </w:pPr>
                  <w:r>
                    <w:rPr>
                      <w:sz w:val="21"/>
                      <w:szCs w:val="21"/>
                    </w:rPr>
                    <w:t>废水</w:t>
                  </w:r>
                </w:p>
              </w:tc>
              <w:tc>
                <w:tcPr>
                  <w:tcW w:w="1921" w:type="dxa"/>
                  <w:vAlign w:val="center"/>
                </w:tcPr>
                <w:p>
                  <w:pPr>
                    <w:pStyle w:val="72"/>
                    <w:jc w:val="center"/>
                    <w:rPr>
                      <w:sz w:val="21"/>
                      <w:szCs w:val="21"/>
                    </w:rPr>
                  </w:pPr>
                  <w:r>
                    <w:rPr>
                      <w:sz w:val="21"/>
                      <w:szCs w:val="21"/>
                    </w:rPr>
                    <w:t>生产废水</w:t>
                  </w:r>
                </w:p>
              </w:tc>
              <w:tc>
                <w:tcPr>
                  <w:tcW w:w="3237" w:type="dxa"/>
                  <w:vAlign w:val="center"/>
                </w:tcPr>
                <w:p>
                  <w:pPr>
                    <w:pStyle w:val="72"/>
                    <w:jc w:val="center"/>
                    <w:rPr>
                      <w:sz w:val="21"/>
                      <w:szCs w:val="21"/>
                    </w:rPr>
                  </w:pPr>
                  <w:r>
                    <w:rPr>
                      <w:sz w:val="21"/>
                      <w:szCs w:val="21"/>
                    </w:rPr>
                    <w:t>废水量</w:t>
                  </w:r>
                </w:p>
              </w:tc>
              <w:tc>
                <w:tcPr>
                  <w:tcW w:w="1812" w:type="dxa"/>
                  <w:vAlign w:val="center"/>
                </w:tcPr>
                <w:p>
                  <w:pPr>
                    <w:pStyle w:val="72"/>
                    <w:jc w:val="center"/>
                    <w:rPr>
                      <w:sz w:val="21"/>
                      <w:szCs w:val="21"/>
                    </w:rPr>
                  </w:pPr>
                  <w:r>
                    <w:rPr>
                      <w:sz w:val="21"/>
                      <w:szCs w:val="21"/>
                    </w:rPr>
                    <w:t>物料衡算法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3</w:t>
                  </w:r>
                </w:p>
              </w:tc>
              <w:tc>
                <w:tcPr>
                  <w:tcW w:w="980" w:type="dxa"/>
                  <w:vAlign w:val="center"/>
                </w:tcPr>
                <w:p>
                  <w:pPr>
                    <w:pStyle w:val="72"/>
                    <w:jc w:val="center"/>
                    <w:rPr>
                      <w:sz w:val="21"/>
                      <w:szCs w:val="21"/>
                    </w:rPr>
                  </w:pPr>
                  <w:r>
                    <w:rPr>
                      <w:sz w:val="21"/>
                      <w:szCs w:val="21"/>
                    </w:rPr>
                    <w:t>噪声</w:t>
                  </w:r>
                </w:p>
              </w:tc>
              <w:tc>
                <w:tcPr>
                  <w:tcW w:w="1921" w:type="dxa"/>
                  <w:vAlign w:val="center"/>
                </w:tcPr>
                <w:p>
                  <w:pPr>
                    <w:pStyle w:val="72"/>
                    <w:jc w:val="center"/>
                    <w:rPr>
                      <w:sz w:val="21"/>
                      <w:szCs w:val="21"/>
                    </w:rPr>
                  </w:pPr>
                  <w:r>
                    <w:rPr>
                      <w:sz w:val="21"/>
                      <w:szCs w:val="21"/>
                    </w:rPr>
                    <w:t>主要高噪声设备</w:t>
                  </w:r>
                </w:p>
              </w:tc>
              <w:tc>
                <w:tcPr>
                  <w:tcW w:w="3237" w:type="dxa"/>
                  <w:vAlign w:val="center"/>
                </w:tcPr>
                <w:p>
                  <w:pPr>
                    <w:pStyle w:val="72"/>
                    <w:jc w:val="center"/>
                    <w:rPr>
                      <w:sz w:val="21"/>
                      <w:szCs w:val="21"/>
                    </w:rPr>
                  </w:pPr>
                  <w:r>
                    <w:rPr>
                      <w:sz w:val="21"/>
                      <w:szCs w:val="21"/>
                    </w:rPr>
                    <w:t>设备噪声声压级</w:t>
                  </w:r>
                </w:p>
              </w:tc>
              <w:tc>
                <w:tcPr>
                  <w:tcW w:w="1812" w:type="dxa"/>
                  <w:vAlign w:val="center"/>
                </w:tcPr>
                <w:p>
                  <w:pPr>
                    <w:pStyle w:val="72"/>
                    <w:jc w:val="center"/>
                    <w:rPr>
                      <w:sz w:val="21"/>
                      <w:szCs w:val="21"/>
                    </w:rPr>
                  </w:pPr>
                  <w:r>
                    <w:rPr>
                      <w:rFonts w:hint="eastAsia"/>
                      <w:sz w:val="21"/>
                      <w:szCs w:val="21"/>
                    </w:rPr>
                    <w:t>类比法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1" w:type="dxa"/>
                  <w:vAlign w:val="center"/>
                </w:tcPr>
                <w:p>
                  <w:pPr>
                    <w:pStyle w:val="72"/>
                    <w:jc w:val="center"/>
                    <w:rPr>
                      <w:sz w:val="21"/>
                      <w:szCs w:val="21"/>
                    </w:rPr>
                  </w:pPr>
                  <w:r>
                    <w:rPr>
                      <w:sz w:val="21"/>
                      <w:szCs w:val="21"/>
                    </w:rPr>
                    <w:t>4</w:t>
                  </w:r>
                </w:p>
              </w:tc>
              <w:tc>
                <w:tcPr>
                  <w:tcW w:w="980" w:type="dxa"/>
                  <w:vAlign w:val="center"/>
                </w:tcPr>
                <w:p>
                  <w:pPr>
                    <w:pStyle w:val="72"/>
                    <w:jc w:val="center"/>
                    <w:rPr>
                      <w:sz w:val="21"/>
                      <w:szCs w:val="21"/>
                    </w:rPr>
                  </w:pPr>
                  <w:r>
                    <w:rPr>
                      <w:sz w:val="21"/>
                      <w:szCs w:val="21"/>
                    </w:rPr>
                    <w:t>固废</w:t>
                  </w:r>
                </w:p>
              </w:tc>
              <w:tc>
                <w:tcPr>
                  <w:tcW w:w="1921" w:type="dxa"/>
                  <w:vAlign w:val="center"/>
                </w:tcPr>
                <w:p>
                  <w:pPr>
                    <w:pStyle w:val="72"/>
                    <w:jc w:val="center"/>
                    <w:rPr>
                      <w:sz w:val="21"/>
                      <w:szCs w:val="21"/>
                    </w:rPr>
                  </w:pPr>
                  <w:r>
                    <w:rPr>
                      <w:sz w:val="21"/>
                      <w:szCs w:val="21"/>
                    </w:rPr>
                    <w:t>一般工业固废</w:t>
                  </w:r>
                </w:p>
              </w:tc>
              <w:tc>
                <w:tcPr>
                  <w:tcW w:w="3237" w:type="dxa"/>
                  <w:vAlign w:val="center"/>
                </w:tcPr>
                <w:p>
                  <w:pPr>
                    <w:pStyle w:val="72"/>
                    <w:jc w:val="center"/>
                    <w:rPr>
                      <w:sz w:val="21"/>
                      <w:szCs w:val="21"/>
                    </w:rPr>
                  </w:pPr>
                  <w:r>
                    <w:rPr>
                      <w:rFonts w:hint="eastAsia"/>
                      <w:sz w:val="21"/>
                      <w:szCs w:val="21"/>
                    </w:rPr>
                    <w:t>尾渣、废滤布、污泥等</w:t>
                  </w:r>
                </w:p>
              </w:tc>
              <w:tc>
                <w:tcPr>
                  <w:tcW w:w="1812" w:type="dxa"/>
                  <w:vAlign w:val="center"/>
                </w:tcPr>
                <w:p>
                  <w:pPr>
                    <w:pStyle w:val="72"/>
                    <w:jc w:val="center"/>
                    <w:rPr>
                      <w:sz w:val="21"/>
                      <w:szCs w:val="21"/>
                    </w:rPr>
                  </w:pPr>
                  <w:r>
                    <w:rPr>
                      <w:sz w:val="21"/>
                      <w:szCs w:val="21"/>
                    </w:rPr>
                    <w:t>物料衡算法</w:t>
                  </w:r>
                </w:p>
              </w:tc>
            </w:tr>
          </w:tbl>
          <w:p>
            <w:pPr>
              <w:pStyle w:val="8"/>
              <w:numPr>
                <w:ilvl w:val="0"/>
                <w:numId w:val="0"/>
              </w:numPr>
              <w:spacing w:line="400" w:lineRule="exact"/>
              <w:rPr>
                <w:rFonts w:ascii="Times New Roman" w:hAnsi="Times New Roman"/>
              </w:rPr>
            </w:pPr>
            <w:r>
              <w:rPr>
                <w:rFonts w:ascii="Times New Roman" w:hAnsi="Times New Roman"/>
              </w:rPr>
              <w:t>4.2.</w:t>
            </w:r>
            <w:r>
              <w:rPr>
                <w:rFonts w:hint="eastAsia" w:ascii="Times New Roman" w:hAnsi="Times New Roman"/>
              </w:rPr>
              <w:t>2</w:t>
            </w:r>
            <w:r>
              <w:rPr>
                <w:rFonts w:ascii="Times New Roman" w:hAnsi="Times New Roman"/>
              </w:rPr>
              <w:t>废气</w:t>
            </w:r>
          </w:p>
          <w:p>
            <w:pPr>
              <w:adjustRightInd w:val="0"/>
              <w:snapToGrid w:val="0"/>
              <w:spacing w:line="440" w:lineRule="exact"/>
              <w:ind w:firstLine="481" w:firstLineChars="200"/>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.1污染源强核算</w:t>
            </w:r>
          </w:p>
          <w:p>
            <w:pPr>
              <w:adjustRightInd w:val="0"/>
              <w:snapToGrid w:val="0"/>
              <w:spacing w:line="440" w:lineRule="exact"/>
              <w:ind w:firstLine="480" w:firstLineChars="200"/>
              <w:rPr>
                <w:rFonts w:ascii="Times New Roman" w:hAnsi="Times New Roman"/>
              </w:rPr>
            </w:pPr>
            <w:r>
              <w:rPr>
                <w:rFonts w:ascii="Times New Roman" w:hAnsi="Times New Roman"/>
              </w:rPr>
              <w:t>本项目生产废气主要为</w:t>
            </w:r>
            <w:r>
              <w:rPr>
                <w:rFonts w:hint="eastAsia" w:ascii="Times New Roman" w:hAnsi="Times New Roman"/>
              </w:rPr>
              <w:t>堆场扬尘、破碎、筛分过程中</w:t>
            </w:r>
            <w:r>
              <w:rPr>
                <w:rFonts w:ascii="Times New Roman" w:hAnsi="Times New Roman"/>
              </w:rPr>
              <w:t>产生的粉尘</w:t>
            </w:r>
            <w:r>
              <w:rPr>
                <w:rFonts w:hint="eastAsia" w:ascii="Times New Roman" w:hAnsi="Times New Roman"/>
              </w:rPr>
              <w:t>及车辆运输行驶扬尘。</w:t>
            </w:r>
          </w:p>
          <w:p>
            <w:pPr>
              <w:adjustRightInd w:val="0"/>
              <w:snapToGrid w:val="0"/>
              <w:spacing w:line="440" w:lineRule="exact"/>
              <w:ind w:firstLine="480" w:firstLineChars="200"/>
              <w:rPr>
                <w:rFonts w:ascii="Times New Roman" w:hAnsi="Times New Roman"/>
              </w:rPr>
            </w:pPr>
            <w:r>
              <w:rPr>
                <w:rFonts w:ascii="Times New Roman" w:hAnsi="Times New Roman"/>
              </w:rPr>
              <w:t>（1）</w:t>
            </w:r>
            <w:r>
              <w:rPr>
                <w:rFonts w:hint="eastAsia" w:ascii="Times New Roman" w:hAnsi="Times New Roman"/>
              </w:rPr>
              <w:t>堆场扬尘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堆场扬尘主要包括原料、产品、尾渣装卸过程中产生的扬尘和堆放过程中产生的扬尘。扬尘排放量</w:t>
            </w:r>
            <w:r>
              <w:rPr>
                <w:rFonts w:ascii="Times New Roman" w:hAnsi="Times New Roman"/>
              </w:rPr>
              <w:t>采用</w:t>
            </w:r>
            <w:r>
              <w:rPr>
                <w:rFonts w:hint="eastAsia" w:ascii="Times New Roman" w:hAnsi="Times New Roman"/>
              </w:rPr>
              <w:t>《扬尘颗粒物排放清单编制技术指南（试行）》（公告2014年第92号）（以下简称“扬尘指南”）计算</w:t>
            </w:r>
            <w:r>
              <w:rPr>
                <w:rFonts w:ascii="Times New Roman" w:hAnsi="Times New Roman"/>
              </w:rPr>
              <w:t>：</w:t>
            </w:r>
          </w:p>
          <w:tbl>
            <w:tblPr>
              <w:tblStyle w:val="26"/>
              <w:tblW w:w="8644" w:type="dxa"/>
              <w:tblInd w:w="9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45"/>
              <w:gridCol w:w="4099"/>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5" w:hRule="atLeast"/>
              </w:trPr>
              <w:tc>
                <w:tcPr>
                  <w:tcW w:w="4545"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2428875" cy="428625"/>
                        <wp:effectExtent l="0" t="0" r="0" b="825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5"/>
                                <a:stretch>
                                  <a:fillRect/>
                                </a:stretch>
                              </pic:blipFill>
                              <pic:spPr>
                                <a:xfrm>
                                  <a:off x="0" y="0"/>
                                  <a:ext cx="2428875" cy="428625"/>
                                </a:xfrm>
                                <a:prstGeom prst="rect">
                                  <a:avLst/>
                                </a:prstGeom>
                                <a:noFill/>
                                <a:ln>
                                  <a:noFill/>
                                </a:ln>
                              </pic:spPr>
                            </pic:pic>
                          </a:graphicData>
                        </a:graphic>
                      </wp:inline>
                    </w:drawing>
                  </w:r>
                </w:p>
              </w:tc>
              <w:tc>
                <w:tcPr>
                  <w:tcW w:w="4099" w:type="dxa"/>
                  <w:tcBorders>
                    <w:tl2br w:val="nil"/>
                    <w:tr2bl w:val="nil"/>
                  </w:tcBorders>
                  <w:vAlign w:val="center"/>
                </w:tcPr>
                <w:p>
                  <w:pPr>
                    <w:adjustRightInd w:val="0"/>
                    <w:snapToGrid w:val="0"/>
                    <w:jc w:val="center"/>
                    <w:rPr>
                      <w:rFonts w:ascii="Times New Roman" w:hAnsi="Times New Roman"/>
                    </w:rPr>
                  </w:pPr>
                  <w:r>
                    <w:rPr>
                      <w:rFonts w:hint="eastAsia" w:ascii="Times New Roman" w:hAnsi="Times New Roman"/>
                    </w:rPr>
                    <w:t>（1）</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公式（1）中：</w:t>
            </w:r>
          </w:p>
          <w:p>
            <w:pPr>
              <w:adjustRightInd w:val="0"/>
              <w:snapToGrid w:val="0"/>
              <w:spacing w:line="440" w:lineRule="exact"/>
              <w:ind w:firstLine="480" w:firstLineChars="200"/>
              <w:rPr>
                <w:rFonts w:ascii="Times New Roman" w:hAnsi="Times New Roman"/>
              </w:rPr>
            </w:pPr>
            <w:r>
              <w:rPr>
                <w:rFonts w:hint="eastAsia" w:ascii="Times New Roman" w:hAnsi="Times New Roman"/>
              </w:rPr>
              <w:t>1）W</w:t>
            </w:r>
            <w:r>
              <w:rPr>
                <w:rFonts w:hint="eastAsia" w:ascii="Times New Roman" w:hAnsi="Times New Roman"/>
                <w:vertAlign w:val="subscript"/>
              </w:rPr>
              <w:t xml:space="preserve">Y </w:t>
            </w:r>
            <w:r>
              <w:rPr>
                <w:rFonts w:hint="eastAsia" w:ascii="Times New Roman" w:hAnsi="Times New Roman"/>
              </w:rPr>
              <w:t>为堆场扬尘源中颗粒物总排放量，t/a。</w:t>
            </w:r>
          </w:p>
          <w:p>
            <w:pPr>
              <w:adjustRightInd w:val="0"/>
              <w:snapToGrid w:val="0"/>
              <w:spacing w:line="440" w:lineRule="exact"/>
              <w:ind w:firstLine="480" w:firstLineChars="200"/>
              <w:rPr>
                <w:rFonts w:ascii="Times New Roman" w:hAnsi="Times New Roman"/>
              </w:rPr>
            </w:pPr>
            <w:r>
              <w:rPr>
                <w:rFonts w:hint="eastAsia" w:ascii="Times New Roman" w:hAnsi="Times New Roman"/>
              </w:rPr>
              <w:t>2）E</w:t>
            </w:r>
            <w:r>
              <w:rPr>
                <w:rFonts w:hint="eastAsia" w:ascii="Times New Roman" w:hAnsi="Times New Roman"/>
                <w:vertAlign w:val="subscript"/>
              </w:rPr>
              <w:t>h</w:t>
            </w:r>
            <w:r>
              <w:rPr>
                <w:rFonts w:hint="eastAsia" w:ascii="Times New Roman" w:hAnsi="Times New Roman"/>
              </w:rPr>
              <w:t>为堆场装卸运输过程的扬尘颗粒物排放系数，kg/t，估算公式见（2）。</w:t>
            </w:r>
          </w:p>
          <w:p>
            <w:pPr>
              <w:adjustRightInd w:val="0"/>
              <w:snapToGrid w:val="0"/>
              <w:spacing w:line="440" w:lineRule="exact"/>
              <w:ind w:firstLine="480" w:firstLineChars="200"/>
              <w:rPr>
                <w:rFonts w:ascii="Times New Roman" w:hAnsi="Times New Roman"/>
              </w:rPr>
            </w:pPr>
            <w:r>
              <w:rPr>
                <w:rFonts w:hint="eastAsia" w:ascii="Times New Roman" w:hAnsi="Times New Roman"/>
              </w:rPr>
              <w:t>3）m为每年料堆物料装卸总次数。</w:t>
            </w:r>
          </w:p>
          <w:p>
            <w:pPr>
              <w:adjustRightInd w:val="0"/>
              <w:snapToGrid w:val="0"/>
              <w:spacing w:line="440" w:lineRule="exact"/>
              <w:ind w:firstLine="480" w:firstLineChars="200"/>
              <w:rPr>
                <w:rFonts w:ascii="Times New Roman" w:hAnsi="Times New Roman"/>
              </w:rPr>
            </w:pPr>
            <w:r>
              <w:rPr>
                <w:rFonts w:hint="eastAsia" w:ascii="Times New Roman" w:hAnsi="Times New Roman"/>
              </w:rPr>
              <w:t>4）G</w:t>
            </w:r>
            <w:r>
              <w:rPr>
                <w:rFonts w:hint="eastAsia" w:ascii="Times New Roman" w:hAnsi="Times New Roman"/>
                <w:vertAlign w:val="subscript"/>
              </w:rPr>
              <w:t>Yi</w:t>
            </w:r>
            <w:r>
              <w:rPr>
                <w:rFonts w:hint="eastAsia" w:ascii="Times New Roman" w:hAnsi="Times New Roman"/>
              </w:rPr>
              <w:t>为第i次装卸过程的物料装卸量，t。</w:t>
            </w:r>
          </w:p>
          <w:p>
            <w:pPr>
              <w:adjustRightInd w:val="0"/>
              <w:snapToGrid w:val="0"/>
              <w:spacing w:line="440" w:lineRule="exact"/>
              <w:ind w:firstLine="480" w:firstLineChars="200"/>
              <w:rPr>
                <w:rFonts w:ascii="Times New Roman" w:hAnsi="Times New Roman"/>
              </w:rPr>
            </w:pPr>
            <w:r>
              <w:rPr>
                <w:rFonts w:hint="eastAsia" w:ascii="Times New Roman" w:hAnsi="Times New Roman"/>
              </w:rPr>
              <w:t>5）E</w:t>
            </w:r>
            <w:r>
              <w:rPr>
                <w:rFonts w:hint="eastAsia" w:ascii="Times New Roman" w:hAnsi="Times New Roman"/>
                <w:vertAlign w:val="subscript"/>
              </w:rPr>
              <w:t>w</w:t>
            </w:r>
            <w:r>
              <w:rPr>
                <w:rFonts w:hint="eastAsia" w:ascii="Times New Roman" w:hAnsi="Times New Roman"/>
              </w:rPr>
              <w:t>为料堆受到风蚀作用的颗粒物排放系数，kg/m</w:t>
            </w:r>
            <w:r>
              <w:rPr>
                <w:rFonts w:hint="eastAsia" w:ascii="Times New Roman" w:hAnsi="Times New Roman"/>
                <w:vertAlign w:val="superscript"/>
              </w:rPr>
              <w:t>2</w:t>
            </w:r>
            <w:r>
              <w:rPr>
                <w:rFonts w:hint="eastAsia" w:ascii="Times New Roman" w:hAnsi="Times New Roman"/>
              </w:rPr>
              <w:t>，估算公式见公式（3）。</w:t>
            </w:r>
          </w:p>
          <w:p>
            <w:pPr>
              <w:adjustRightInd w:val="0"/>
              <w:snapToGrid w:val="0"/>
              <w:spacing w:line="440" w:lineRule="exact"/>
              <w:ind w:firstLine="480" w:firstLineChars="200"/>
              <w:rPr>
                <w:rFonts w:ascii="Times New Roman" w:hAnsi="Times New Roman"/>
                <w:vertAlign w:val="superscript"/>
              </w:rPr>
            </w:pPr>
            <w:r>
              <w:rPr>
                <w:rFonts w:hint="eastAsia" w:ascii="Times New Roman" w:hAnsi="Times New Roman"/>
              </w:rPr>
              <w:t>6）Ay为料堆表面积，m</w:t>
            </w:r>
            <w:r>
              <w:rPr>
                <w:rFonts w:hint="eastAsia" w:ascii="Times New Roman" w:hAnsi="Times New Roman"/>
                <w:vertAlign w:val="superscript"/>
              </w:rPr>
              <w:t>2</w:t>
            </w:r>
          </w:p>
          <w:tbl>
            <w:tblPr>
              <w:tblStyle w:val="26"/>
              <w:tblW w:w="8729" w:type="dxa"/>
              <w:tblInd w:w="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421"/>
              <w:gridCol w:w="330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5" w:hRule="atLeast"/>
              </w:trPr>
              <w:tc>
                <w:tcPr>
                  <w:tcW w:w="5421"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2990850" cy="228600"/>
                        <wp:effectExtent l="0" t="0" r="0" b="0"/>
                        <wp:docPr id="6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
                                <pic:cNvPicPr>
                                  <a:picLocks noChangeAspect="1"/>
                                </pic:cNvPicPr>
                              </pic:nvPicPr>
                              <pic:blipFill>
                                <a:blip r:embed="rId16"/>
                                <a:stretch>
                                  <a:fillRect/>
                                </a:stretch>
                              </pic:blipFill>
                              <pic:spPr>
                                <a:xfrm>
                                  <a:off x="0" y="0"/>
                                  <a:ext cx="2990850" cy="228600"/>
                                </a:xfrm>
                                <a:prstGeom prst="rect">
                                  <a:avLst/>
                                </a:prstGeom>
                                <a:noFill/>
                                <a:ln>
                                  <a:noFill/>
                                </a:ln>
                              </pic:spPr>
                            </pic:pic>
                          </a:graphicData>
                        </a:graphic>
                      </wp:inline>
                    </w:drawing>
                  </w:r>
                </w:p>
              </w:tc>
              <w:tc>
                <w:tcPr>
                  <w:tcW w:w="3308" w:type="dxa"/>
                  <w:tcBorders>
                    <w:tl2br w:val="nil"/>
                    <w:tr2bl w:val="nil"/>
                  </w:tcBorders>
                  <w:vAlign w:val="center"/>
                </w:tcPr>
                <w:p>
                  <w:pPr>
                    <w:adjustRightInd w:val="0"/>
                    <w:snapToGrid w:val="0"/>
                    <w:ind w:firstLine="960" w:firstLineChars="400"/>
                    <w:rPr>
                      <w:rFonts w:ascii="Times New Roman" w:hAnsi="Times New Roman"/>
                    </w:rPr>
                  </w:pPr>
                  <w:r>
                    <w:rPr>
                      <w:rFonts w:hint="eastAsia" w:ascii="Times New Roman" w:hAnsi="Times New Roman"/>
                    </w:rPr>
                    <w:t>（2）</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公式（2）中：</w:t>
            </w:r>
          </w:p>
          <w:p>
            <w:pPr>
              <w:adjustRightInd w:val="0"/>
              <w:snapToGrid w:val="0"/>
              <w:spacing w:line="440" w:lineRule="exact"/>
              <w:ind w:firstLine="480" w:firstLineChars="200"/>
              <w:rPr>
                <w:rFonts w:ascii="Times New Roman" w:hAnsi="Times New Roman"/>
              </w:rPr>
            </w:pPr>
            <w:r>
              <w:rPr>
                <w:rFonts w:hint="eastAsia" w:ascii="Times New Roman" w:hAnsi="Times New Roman"/>
              </w:rPr>
              <w:t>1）E</w:t>
            </w:r>
            <w:r>
              <w:rPr>
                <w:rFonts w:hint="eastAsia" w:ascii="Times New Roman" w:hAnsi="Times New Roman"/>
                <w:vertAlign w:val="subscript"/>
              </w:rPr>
              <w:t>h</w:t>
            </w:r>
            <w:r>
              <w:rPr>
                <w:rFonts w:hint="eastAsia" w:ascii="Times New Roman" w:hAnsi="Times New Roman"/>
              </w:rPr>
              <w:t>为堆场装卸扬尘的排放系数，kg/t。</w:t>
            </w:r>
          </w:p>
          <w:p>
            <w:pPr>
              <w:adjustRightInd w:val="0"/>
              <w:snapToGrid w:val="0"/>
              <w:spacing w:line="440" w:lineRule="exact"/>
              <w:ind w:firstLine="480" w:firstLineChars="200"/>
              <w:rPr>
                <w:rFonts w:ascii="Times New Roman" w:hAnsi="Times New Roman"/>
              </w:rPr>
            </w:pPr>
            <w:r>
              <w:rPr>
                <w:rFonts w:hint="eastAsia" w:ascii="Times New Roman" w:hAnsi="Times New Roman"/>
              </w:rPr>
              <w:t>2）K</w:t>
            </w:r>
            <w:r>
              <w:rPr>
                <w:rFonts w:hint="eastAsia" w:ascii="Times New Roman" w:hAnsi="Times New Roman"/>
                <w:vertAlign w:val="subscript"/>
              </w:rPr>
              <w:t>i</w:t>
            </w:r>
            <w:r>
              <w:rPr>
                <w:rFonts w:hint="eastAsia" w:ascii="Times New Roman" w:hAnsi="Times New Roman"/>
              </w:rPr>
              <w:t>为物料的粒度乘数，根据“扬尘指南”表10颗粒物粒度乘数，取0.74</w:t>
            </w:r>
          </w:p>
          <w:p>
            <w:pPr>
              <w:adjustRightInd w:val="0"/>
              <w:snapToGrid w:val="0"/>
              <w:spacing w:line="440" w:lineRule="exact"/>
              <w:ind w:firstLine="480" w:firstLineChars="200"/>
              <w:rPr>
                <w:rFonts w:ascii="Times New Roman" w:hAnsi="Times New Roman"/>
              </w:rPr>
            </w:pPr>
            <w:r>
              <w:rPr>
                <w:rFonts w:hint="eastAsia" w:ascii="Times New Roman" w:hAnsi="Times New Roman"/>
              </w:rPr>
              <w:t>3）u为地面平均风速，取1.5m/s。</w:t>
            </w:r>
          </w:p>
          <w:p>
            <w:pPr>
              <w:adjustRightInd w:val="0"/>
              <w:snapToGrid w:val="0"/>
              <w:spacing w:line="440" w:lineRule="exact"/>
              <w:ind w:firstLine="480" w:firstLineChars="200"/>
              <w:rPr>
                <w:rFonts w:ascii="Times New Roman" w:hAnsi="Times New Roman"/>
              </w:rPr>
            </w:pPr>
            <w:r>
              <w:rPr>
                <w:rFonts w:hint="eastAsia" w:ascii="Times New Roman" w:hAnsi="Times New Roman"/>
              </w:rPr>
              <w:t>4）M为物料含水率，原料及干选尾渣取8%，铁粉取10%，粗磁选尾渣取12%，细磁选尾渣取值15-17%。</w:t>
            </w:r>
          </w:p>
          <w:p>
            <w:pPr>
              <w:adjustRightInd w:val="0"/>
              <w:snapToGrid w:val="0"/>
              <w:spacing w:line="440" w:lineRule="exact"/>
              <w:ind w:firstLine="480" w:firstLineChars="200"/>
              <w:rPr>
                <w:rFonts w:ascii="Times New Roman" w:hAnsi="Times New Roman"/>
              </w:rPr>
            </w:pPr>
            <w:r>
              <w:rPr>
                <w:rFonts w:hint="eastAsia" w:ascii="Times New Roman" w:hAnsi="Times New Roman"/>
              </w:rPr>
              <w:t>5）</w:t>
            </w:r>
            <w:r>
              <w:rPr>
                <w:rFonts w:hint="eastAsia" w:ascii="微软雅黑" w:hAnsi="微软雅黑" w:eastAsia="微软雅黑" w:cs="微软雅黑"/>
              </w:rPr>
              <w:t>η</w:t>
            </w:r>
            <w:r>
              <w:rPr>
                <w:rFonts w:ascii="Times New Roman" w:hAnsi="Times New Roman"/>
              </w:rPr>
              <w:t>为污染控制技术对扬尘的去除效率，%。</w:t>
            </w:r>
            <w:r>
              <w:rPr>
                <w:rFonts w:hint="eastAsia" w:ascii="Times New Roman" w:hAnsi="Times New Roman"/>
              </w:rPr>
              <w:t>本项目原料卸料过程中采取喷水抑尘；尾渣、铁粉装卸过程中尽量降低高差，减少粉尘排放；堆场设置顶棚，周边半围挡，根据“扬尘指南”表12，去除效率取90%。</w:t>
            </w:r>
          </w:p>
          <w:tbl>
            <w:tblPr>
              <w:tblStyle w:val="26"/>
              <w:tblW w:w="8729"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44"/>
              <w:gridCol w:w="2064"/>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944" w:type="dxa"/>
                  <w:tcBorders>
                    <w:tl2br w:val="nil"/>
                    <w:tr2bl w:val="nil"/>
                  </w:tcBorders>
                  <w:vAlign w:val="center"/>
                </w:tcPr>
                <w:p>
                  <w:pPr>
                    <w:adjustRightInd w:val="0"/>
                    <w:snapToGrid w:val="0"/>
                    <w:jc w:val="center"/>
                    <w:rPr>
                      <w:rFonts w:ascii="Times New Roman" w:hAnsi="Times New Roman"/>
                    </w:rPr>
                  </w:pPr>
                  <w:r>
                    <w:drawing>
                      <wp:inline distT="0" distB="0" distL="114300" distR="114300">
                        <wp:extent cx="1885950" cy="428625"/>
                        <wp:effectExtent l="0" t="0" r="0" b="8255"/>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7"/>
                                <a:stretch>
                                  <a:fillRect/>
                                </a:stretch>
                              </pic:blipFill>
                              <pic:spPr>
                                <a:xfrm>
                                  <a:off x="0" y="0"/>
                                  <a:ext cx="1885950" cy="428625"/>
                                </a:xfrm>
                                <a:prstGeom prst="rect">
                                  <a:avLst/>
                                </a:prstGeom>
                                <a:noFill/>
                                <a:ln>
                                  <a:noFill/>
                                </a:ln>
                              </pic:spPr>
                            </pic:pic>
                          </a:graphicData>
                        </a:graphic>
                      </wp:inline>
                    </w:drawing>
                  </w:r>
                </w:p>
              </w:tc>
              <w:tc>
                <w:tcPr>
                  <w:tcW w:w="4785" w:type="dxa"/>
                  <w:gridSpan w:val="2"/>
                  <w:tcBorders>
                    <w:tl2br w:val="nil"/>
                    <w:tr2bl w:val="nil"/>
                  </w:tcBorders>
                  <w:vAlign w:val="center"/>
                </w:tcPr>
                <w:p>
                  <w:pPr>
                    <w:adjustRightInd w:val="0"/>
                    <w:snapToGrid w:val="0"/>
                    <w:ind w:firstLine="2640" w:firstLineChars="1100"/>
                    <w:rPr>
                      <w:rFonts w:ascii="Times New Roman" w:hAnsi="Times New Roman"/>
                    </w:rPr>
                  </w:pPr>
                  <w:r>
                    <w:rPr>
                      <w:rFonts w:hint="eastAsia" w:ascii="Times New Roman" w:hAnsi="Times New Roma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008" w:type="dxa"/>
                  <w:gridSpan w:val="2"/>
                  <w:tcBorders>
                    <w:tl2br w:val="nil"/>
                    <w:tr2bl w:val="nil"/>
                  </w:tcBorders>
                  <w:vAlign w:val="center"/>
                </w:tcPr>
                <w:p>
                  <w:pPr>
                    <w:adjustRightInd w:val="0"/>
                    <w:snapToGrid w:val="0"/>
                    <w:jc w:val="center"/>
                    <w:rPr>
                      <w:rFonts w:ascii="Times New Roman" w:hAnsi="Times New Roman"/>
                    </w:rPr>
                  </w:pPr>
                  <w:r>
                    <w:drawing>
                      <wp:inline distT="0" distB="0" distL="114300" distR="114300">
                        <wp:extent cx="3219450" cy="504825"/>
                        <wp:effectExtent l="0" t="0" r="0" b="889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8"/>
                                <a:stretch>
                                  <a:fillRect/>
                                </a:stretch>
                              </pic:blipFill>
                              <pic:spPr>
                                <a:xfrm>
                                  <a:off x="0" y="0"/>
                                  <a:ext cx="3219450" cy="504825"/>
                                </a:xfrm>
                                <a:prstGeom prst="rect">
                                  <a:avLst/>
                                </a:prstGeom>
                                <a:noFill/>
                                <a:ln>
                                  <a:noFill/>
                                </a:ln>
                              </pic:spPr>
                            </pic:pic>
                          </a:graphicData>
                        </a:graphic>
                      </wp:inline>
                    </w:drawing>
                  </w:r>
                </w:p>
              </w:tc>
              <w:tc>
                <w:tcPr>
                  <w:tcW w:w="2721" w:type="dxa"/>
                  <w:tcBorders>
                    <w:tl2br w:val="nil"/>
                    <w:tr2bl w:val="nil"/>
                  </w:tcBorders>
                  <w:vAlign w:val="center"/>
                </w:tcPr>
                <w:p>
                  <w:pPr>
                    <w:adjustRightInd w:val="0"/>
                    <w:snapToGrid w:val="0"/>
                    <w:ind w:firstLine="720" w:firstLineChars="300"/>
                    <w:rPr>
                      <w:rFonts w:ascii="Times New Roman" w:hAnsi="Times New Roman"/>
                    </w:rPr>
                  </w:pPr>
                  <w:r>
                    <w:rPr>
                      <w:rFonts w:hint="eastAsia" w:ascii="Times New Roman" w:hAnsi="Times New Roman"/>
                    </w:rPr>
                    <w:t>（4）</w:t>
                  </w:r>
                </w:p>
              </w:tc>
            </w:tr>
          </w:tbl>
          <w:p>
            <w:pPr>
              <w:adjustRightInd w:val="0"/>
              <w:snapToGrid w:val="0"/>
              <w:ind w:firstLine="480" w:firstLineChars="200"/>
            </w:pPr>
            <w:r>
              <w:rPr>
                <w:rFonts w:hint="eastAsia"/>
              </w:rPr>
              <w:t>公式（3）及（4）中：</w:t>
            </w:r>
          </w:p>
          <w:p>
            <w:pPr>
              <w:adjustRightInd w:val="0"/>
              <w:snapToGrid w:val="0"/>
              <w:spacing w:line="440" w:lineRule="exact"/>
              <w:ind w:firstLine="480" w:firstLineChars="20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Ew为堆场风蚀</w:t>
            </w:r>
            <w:r>
              <w:rPr>
                <w:rFonts w:hint="eastAsia" w:ascii="Times New Roman" w:hAnsi="Times New Roman"/>
              </w:rPr>
              <w:t>扬尘</w:t>
            </w:r>
            <w:r>
              <w:rPr>
                <w:rFonts w:ascii="Times New Roman" w:hAnsi="Times New Roman"/>
              </w:rPr>
              <w:t>的排放系数，kg/m</w:t>
            </w:r>
            <w:r>
              <w:rPr>
                <w:rFonts w:ascii="Times New Roman" w:hAnsi="Times New Roman"/>
                <w:vertAlign w:val="superscript"/>
              </w:rPr>
              <w:t>2</w:t>
            </w:r>
          </w:p>
          <w:p>
            <w:pPr>
              <w:adjustRightInd w:val="0"/>
              <w:snapToGrid w:val="0"/>
              <w:spacing w:line="440" w:lineRule="exact"/>
              <w:ind w:firstLine="480" w:firstLineChars="20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K为物料的粒度乘数，</w:t>
            </w:r>
            <w:r>
              <w:rPr>
                <w:rFonts w:hint="eastAsia" w:ascii="Times New Roman" w:hAnsi="Times New Roman"/>
              </w:rPr>
              <w:t>根据“扬尘指南”</w:t>
            </w:r>
            <w:r>
              <w:rPr>
                <w:rFonts w:ascii="Times New Roman" w:hAnsi="Times New Roman"/>
              </w:rPr>
              <w:t>表13</w:t>
            </w:r>
            <w:r>
              <w:rPr>
                <w:rFonts w:hint="eastAsia" w:ascii="Times New Roman" w:hAnsi="Times New Roman"/>
              </w:rPr>
              <w:t>，取1.0</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3</w:t>
            </w:r>
            <w:r>
              <w:rPr>
                <w:rFonts w:hint="eastAsia" w:ascii="Times New Roman" w:hAnsi="Times New Roman"/>
              </w:rPr>
              <w:t>）</w:t>
            </w:r>
            <w:r>
              <w:rPr>
                <w:rFonts w:ascii="Times New Roman" w:hAnsi="Times New Roman"/>
              </w:rPr>
              <w:t>n为料堆每年受扰动的次数。</w:t>
            </w:r>
          </w:p>
          <w:p>
            <w:pPr>
              <w:adjustRightInd w:val="0"/>
              <w:snapToGrid w:val="0"/>
              <w:spacing w:line="440" w:lineRule="exact"/>
              <w:ind w:firstLine="480" w:firstLineChars="200"/>
              <w:rPr>
                <w:rFonts w:ascii="Times New Roman" w:hAnsi="Times New Roman"/>
              </w:rPr>
            </w:pPr>
            <w:r>
              <w:rPr>
                <w:rFonts w:ascii="Times New Roman" w:hAnsi="Times New Roman"/>
              </w:rPr>
              <w:t>4</w:t>
            </w:r>
            <w:r>
              <w:rPr>
                <w:rFonts w:hint="eastAsia" w:ascii="Times New Roman" w:hAnsi="Times New Roman"/>
              </w:rPr>
              <w:t>）</w:t>
            </w:r>
            <w:r>
              <w:rPr>
                <w:rFonts w:ascii="Times New Roman" w:hAnsi="Times New Roman"/>
              </w:rPr>
              <w:t>Pi为第i次扰动中观测的最大风速的风潜势，g/m</w:t>
            </w:r>
            <w:r>
              <w:rPr>
                <w:rFonts w:ascii="Times New Roman" w:hAnsi="Times New Roman"/>
                <w:vertAlign w:val="superscript"/>
              </w:rPr>
              <w:t>2</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5</w:t>
            </w:r>
            <w:r>
              <w:rPr>
                <w:rFonts w:hint="eastAsia" w:ascii="Times New Roman" w:hAnsi="Times New Roman"/>
              </w:rPr>
              <w:t>）</w:t>
            </w:r>
            <w:r>
              <w:rPr>
                <w:rFonts w:hint="eastAsia" w:ascii="微软雅黑" w:hAnsi="微软雅黑" w:eastAsia="微软雅黑" w:cs="微软雅黑"/>
              </w:rPr>
              <w:t>η</w:t>
            </w:r>
            <w:r>
              <w:rPr>
                <w:rFonts w:ascii="Times New Roman" w:hAnsi="Times New Roman"/>
              </w:rPr>
              <w:t>为污染控制技术对扬尘的去除效率，%。</w:t>
            </w:r>
          </w:p>
          <w:p>
            <w:pPr>
              <w:adjustRightInd w:val="0"/>
              <w:snapToGrid w:val="0"/>
              <w:spacing w:line="440" w:lineRule="exact"/>
              <w:ind w:firstLine="480" w:firstLineChars="200"/>
              <w:rPr>
                <w:rFonts w:ascii="Times New Roman" w:hAnsi="Times New Roman"/>
              </w:rPr>
            </w:pPr>
            <w:r>
              <w:rPr>
                <w:rFonts w:ascii="Times New Roman" w:hAnsi="Times New Roman"/>
              </w:rPr>
              <w:t>6</w:t>
            </w:r>
            <w:r>
              <w:rPr>
                <w:rFonts w:hint="eastAsia" w:ascii="Times New Roman" w:hAnsi="Times New Roman"/>
              </w:rPr>
              <w:t>）</w:t>
            </w:r>
            <w:r>
              <w:rPr>
                <w:rFonts w:ascii="Times New Roman" w:hAnsi="Times New Roman"/>
              </w:rPr>
              <w:t>u*为摩擦风速，m/s。计算方法见公式(</w:t>
            </w:r>
            <w:r>
              <w:rPr>
                <w:rFonts w:hint="eastAsia" w:ascii="Times New Roman" w:hAnsi="Times New Roman"/>
              </w:rPr>
              <w:t>5</w:t>
            </w:r>
            <w:r>
              <w:rPr>
                <w:rFonts w:ascii="Times New Roman" w:hAnsi="Times New Roman"/>
              </w:rPr>
              <w:t>)。</w:t>
            </w:r>
          </w:p>
          <w:p>
            <w:pPr>
              <w:adjustRightInd w:val="0"/>
              <w:snapToGrid w:val="0"/>
              <w:spacing w:line="440" w:lineRule="exact"/>
              <w:ind w:firstLine="480" w:firstLineChars="200"/>
              <w:rPr>
                <w:rFonts w:ascii="Times New Roman" w:hAnsi="Times New Roman"/>
              </w:rPr>
            </w:pPr>
            <w:r>
              <w:rPr>
                <w:rFonts w:ascii="Times New Roman" w:hAnsi="Times New Roman"/>
              </w:rPr>
              <w:t>7</w:t>
            </w:r>
            <w:r>
              <w:rPr>
                <w:rFonts w:hint="eastAsia" w:ascii="Times New Roman" w:hAnsi="Times New Roman"/>
              </w:rPr>
              <w:t>）</w:t>
            </w:r>
            <w:r>
              <w:rPr>
                <w:rFonts w:ascii="Times New Roman" w:hAnsi="Times New Roman"/>
              </w:rPr>
              <w:t>u</w:t>
            </w:r>
            <w:r>
              <w:rPr>
                <w:rFonts w:hint="eastAsia" w:ascii="Times New Roman" w:hAnsi="Times New Roman"/>
                <w:vertAlign w:val="subscript"/>
              </w:rPr>
              <w:t>t</w:t>
            </w:r>
            <w:r>
              <w:rPr>
                <w:rFonts w:ascii="Times New Roman" w:hAnsi="Times New Roman"/>
              </w:rPr>
              <w:t>*为</w:t>
            </w:r>
            <w:r>
              <w:rPr>
                <w:rFonts w:hint="eastAsia" w:ascii="Times New Roman" w:hAnsi="Times New Roman"/>
              </w:rPr>
              <w:t>阈值</w:t>
            </w:r>
            <w:r>
              <w:rPr>
                <w:rFonts w:ascii="Times New Roman" w:hAnsi="Times New Roman"/>
              </w:rPr>
              <w:t>摩擦风速，即起尘的临界摩擦风速，m/s，</w:t>
            </w:r>
            <w:r>
              <w:rPr>
                <w:rFonts w:hint="eastAsia" w:ascii="Times New Roman" w:hAnsi="Times New Roman"/>
              </w:rPr>
              <w:t>根据“扬尘指南”表15，本项目取1.33m/s。</w:t>
            </w:r>
          </w:p>
          <w:p>
            <w:pPr>
              <w:adjustRightInd w:val="0"/>
              <w:snapToGrid w:val="0"/>
              <w:spacing w:line="440" w:lineRule="exact"/>
              <w:ind w:firstLine="480" w:firstLineChars="200"/>
              <w:rPr>
                <w:rFonts w:ascii="Times New Roman" w:hAnsi="Times New Roman"/>
              </w:rPr>
            </w:pPr>
            <w:r>
              <w:rPr>
                <w:rFonts w:hint="eastAsia" w:ascii="Times New Roman" w:hAnsi="Times New Roman"/>
              </w:rPr>
              <w:t>U*=0.4u（z）/ln（z/z</w:t>
            </w:r>
            <w:r>
              <w:rPr>
                <w:rFonts w:hint="eastAsia" w:ascii="Times New Roman" w:hAnsi="Times New Roman"/>
                <w:vertAlign w:val="subscript"/>
              </w:rPr>
              <w:t>0</w:t>
            </w:r>
            <w:r>
              <w:rPr>
                <w:rFonts w:hint="eastAsia" w:ascii="Times New Roman" w:hAnsi="Times New Roman"/>
              </w:rPr>
              <w:t>）（z＞z</w:t>
            </w:r>
            <w:r>
              <w:rPr>
                <w:rFonts w:hint="eastAsia" w:ascii="Times New Roman" w:hAnsi="Times New Roman"/>
                <w:vertAlign w:val="subscript"/>
              </w:rPr>
              <w:t>0</w:t>
            </w:r>
            <w:r>
              <w:rPr>
                <w:rFonts w:hint="eastAsia" w:ascii="Times New Roman" w:hAnsi="Times New Roman"/>
              </w:rPr>
              <w:t>）                        （5）</w:t>
            </w:r>
          </w:p>
          <w:p>
            <w:pPr>
              <w:adjustRightInd w:val="0"/>
              <w:snapToGrid w:val="0"/>
              <w:spacing w:line="440" w:lineRule="exact"/>
              <w:ind w:firstLine="480" w:firstLineChars="200"/>
              <w:rPr>
                <w:rFonts w:ascii="Times New Roman" w:hAnsi="Times New Roman"/>
              </w:rPr>
            </w:pPr>
            <w:r>
              <w:rPr>
                <w:rFonts w:hint="eastAsia" w:ascii="Times New Roman" w:hAnsi="Times New Roman"/>
              </w:rPr>
              <w:t>公式（5）中：</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u（z）为地面风速，m/s，按大田县多年平均风速取1.5m/s；</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z为地面风速检测高度，m，取2m。</w:t>
            </w:r>
          </w:p>
          <w:p>
            <w:pPr>
              <w:numPr>
                <w:ilvl w:val="0"/>
                <w:numId w:val="10"/>
              </w:numPr>
              <w:adjustRightInd w:val="0"/>
              <w:snapToGrid w:val="0"/>
              <w:spacing w:line="440" w:lineRule="exact"/>
              <w:ind w:firstLine="480" w:firstLineChars="200"/>
              <w:rPr>
                <w:rFonts w:ascii="Times New Roman" w:hAnsi="Times New Roman"/>
              </w:rPr>
            </w:pPr>
            <w:r>
              <w:rPr>
                <w:rFonts w:hint="eastAsia" w:ascii="Times New Roman" w:hAnsi="Times New Roman"/>
              </w:rPr>
              <w:t>z</w:t>
            </w:r>
            <w:r>
              <w:rPr>
                <w:rFonts w:hint="eastAsia" w:ascii="Times New Roman" w:hAnsi="Times New Roman"/>
                <w:vertAlign w:val="subscript"/>
              </w:rPr>
              <w:t>0</w:t>
            </w:r>
            <w:r>
              <w:rPr>
                <w:rFonts w:hint="eastAsia" w:ascii="Times New Roman" w:hAnsi="Times New Roman"/>
              </w:rPr>
              <w:t>为地面粗糙度，m，城市取值0.6，郊区取值0.2。取0.2。</w:t>
            </w:r>
          </w:p>
          <w:p>
            <w:pPr>
              <w:adjustRightInd w:val="0"/>
              <w:snapToGrid w:val="0"/>
              <w:spacing w:line="440" w:lineRule="exact"/>
              <w:ind w:firstLine="480" w:firstLineChars="200"/>
              <w:rPr>
                <w:rFonts w:ascii="Times New Roman" w:hAnsi="Times New Roman"/>
              </w:rPr>
            </w:pPr>
            <w:r>
              <w:rPr>
                <w:rFonts w:hint="eastAsia" w:ascii="Times New Roman" w:hAnsi="Times New Roman"/>
              </w:rPr>
              <w:t>①堆场装卸扬尘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不同含水率的物料装卸过程的扬尘颗粒物排放系数E</w:t>
            </w:r>
            <w:r>
              <w:rPr>
                <w:rFonts w:hint="eastAsia" w:ascii="Times New Roman" w:hAnsi="Times New Roman"/>
                <w:vertAlign w:val="subscript"/>
              </w:rPr>
              <w:t>h</w:t>
            </w:r>
            <w:r>
              <w:rPr>
                <w:rFonts w:hint="eastAsia" w:ascii="Times New Roman" w:hAnsi="Times New Roman"/>
              </w:rPr>
              <w:t>不同，计算结果如下表：</w:t>
            </w:r>
          </w:p>
          <w:p>
            <w:pPr>
              <w:pStyle w:val="34"/>
              <w:spacing w:before="120" w:line="440" w:lineRule="exact"/>
              <w:ind w:firstLine="422"/>
              <w:rPr>
                <w:rFonts w:ascii="Times New Roman" w:hAnsi="Times New Roman"/>
                <w:b/>
                <w:bCs/>
                <w:sz w:val="21"/>
                <w:szCs w:val="21"/>
              </w:rPr>
            </w:pPr>
          </w:p>
          <w:p>
            <w:pPr>
              <w:pStyle w:val="34"/>
              <w:spacing w:before="120" w:line="440" w:lineRule="exact"/>
              <w:ind w:firstLine="422"/>
              <w:rPr>
                <w:rFonts w:ascii="Times New Roman" w:hAnsi="Times New Roman"/>
              </w:rPr>
            </w:pPr>
            <w:r>
              <w:rPr>
                <w:rFonts w:ascii="Times New Roman" w:hAnsi="Times New Roman"/>
                <w:b/>
                <w:bCs/>
                <w:sz w:val="21"/>
                <w:szCs w:val="21"/>
              </w:rPr>
              <w:t>表4.2-</w:t>
            </w:r>
            <w:r>
              <w:rPr>
                <w:rFonts w:hint="eastAsia" w:ascii="Times New Roman" w:hAnsi="Times New Roman"/>
                <w:b/>
                <w:bCs/>
                <w:sz w:val="21"/>
                <w:szCs w:val="21"/>
              </w:rPr>
              <w:t>2</w:t>
            </w:r>
            <w:r>
              <w:rPr>
                <w:rFonts w:ascii="Times New Roman" w:hAnsi="Times New Roman"/>
                <w:b/>
                <w:bCs/>
                <w:sz w:val="21"/>
                <w:szCs w:val="21"/>
              </w:rPr>
              <w:t xml:space="preserve">  </w:t>
            </w:r>
            <w:r>
              <w:rPr>
                <w:rFonts w:hint="eastAsia" w:ascii="Times New Roman" w:hAnsi="Times New Roman"/>
                <w:b/>
                <w:bCs/>
                <w:sz w:val="21"/>
                <w:szCs w:val="21"/>
              </w:rPr>
              <w:t>堆场扬尘计算结果</w:t>
            </w:r>
            <w:r>
              <w:rPr>
                <w:rFonts w:ascii="Times New Roman" w:hAnsi="Times New Roman"/>
                <w:b/>
                <w:bCs/>
                <w:sz w:val="21"/>
                <w:szCs w:val="21"/>
              </w:rPr>
              <w:t>汇总表</w:t>
            </w:r>
          </w:p>
          <w:tbl>
            <w:tblPr>
              <w:tblStyle w:val="26"/>
              <w:tblW w:w="8729" w:type="dxa"/>
              <w:tblInd w:w="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198"/>
              <w:gridCol w:w="2189"/>
              <w:gridCol w:w="21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物料</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E</w:t>
                  </w:r>
                  <w:r>
                    <w:rPr>
                      <w:rFonts w:hint="eastAsia" w:ascii="Times New Roman" w:hAnsi="Times New Roman"/>
                      <w:sz w:val="21"/>
                      <w:szCs w:val="21"/>
                      <w:vertAlign w:val="subscript"/>
                    </w:rPr>
                    <w:t>h</w:t>
                  </w:r>
                  <w:r>
                    <w:rPr>
                      <w:rFonts w:hint="eastAsia" w:ascii="Times New Roman" w:hAnsi="Times New Roman"/>
                      <w:sz w:val="21"/>
                      <w:szCs w:val="21"/>
                    </w:rPr>
                    <w:t>（kg/t）</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装卸物料量（t/a）</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装卸扬尘（t）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原料</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0.0167</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100000（卸料）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干选尾渣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0.0167</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40000（装料）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0.668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铁粉</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0.0046</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30000（装料）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粗磁选尾渣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0.0036</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15000（装料）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细磁选尾渣</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0.0024</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17600（装料）</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0.0422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15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合计</w:t>
                  </w:r>
                </w:p>
              </w:tc>
              <w:tc>
                <w:tcPr>
                  <w:tcW w:w="2198"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w:t>
                  </w:r>
                </w:p>
              </w:tc>
              <w:tc>
                <w:tcPr>
                  <w:tcW w:w="2189"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202600</w:t>
                  </w:r>
                </w:p>
              </w:tc>
              <w:tc>
                <w:tcPr>
                  <w:tcW w:w="2186" w:type="dxa"/>
                  <w:tcBorders>
                    <w:tl2br w:val="nil"/>
                    <w:tr2bl w:val="nil"/>
                  </w:tcBorders>
                  <w:vAlign w:val="center"/>
                </w:tcPr>
                <w:p>
                  <w:pPr>
                    <w:adjustRightInd w:val="0"/>
                    <w:snapToGrid w:val="0"/>
                    <w:spacing w:line="280" w:lineRule="exact"/>
                    <w:jc w:val="center"/>
                    <w:rPr>
                      <w:rFonts w:ascii="Times New Roman" w:hAnsi="Times New Roman"/>
                      <w:sz w:val="21"/>
                      <w:szCs w:val="21"/>
                    </w:rPr>
                  </w:pPr>
                  <w:r>
                    <w:rPr>
                      <w:rFonts w:hint="eastAsia" w:ascii="Times New Roman" w:hAnsi="Times New Roman"/>
                      <w:sz w:val="21"/>
                      <w:szCs w:val="21"/>
                    </w:rPr>
                    <w:t>2.5722</w:t>
                  </w:r>
                </w:p>
              </w:tc>
            </w:tr>
          </w:tbl>
          <w:p>
            <w:pPr>
              <w:adjustRightInd w:val="0"/>
              <w:snapToGrid w:val="0"/>
              <w:spacing w:line="440" w:lineRule="exact"/>
              <w:ind w:firstLine="480" w:firstLineChars="200"/>
              <w:rPr>
                <w:rFonts w:ascii="Times New Roman" w:hAnsi="Times New Roman"/>
              </w:rPr>
            </w:pPr>
            <w:r>
              <w:rPr>
                <w:rFonts w:hint="eastAsia" w:ascii="Times New Roman" w:hAnsi="Times New Roman"/>
              </w:rPr>
              <w:t>经计算，堆场装卸产生的扬尘量为W</w:t>
            </w:r>
            <w:r>
              <w:rPr>
                <w:rFonts w:hint="eastAsia" w:ascii="Times New Roman" w:hAnsi="Times New Roman"/>
                <w:vertAlign w:val="subscript"/>
              </w:rPr>
              <w:t>1</w:t>
            </w:r>
            <w:r>
              <w:rPr>
                <w:rFonts w:hint="eastAsia" w:ascii="Times New Roman" w:hAnsi="Times New Roman"/>
              </w:rPr>
              <w:t>=2.5722t/a（0.8574kg/h）。</w:t>
            </w:r>
          </w:p>
          <w:p>
            <w:pPr>
              <w:adjustRightInd w:val="0"/>
              <w:snapToGrid w:val="0"/>
              <w:spacing w:line="440" w:lineRule="exact"/>
              <w:ind w:firstLine="480" w:firstLineChars="200"/>
              <w:rPr>
                <w:rFonts w:ascii="Times New Roman" w:hAnsi="Times New Roman"/>
              </w:rPr>
            </w:pPr>
            <w:r>
              <w:rPr>
                <w:rFonts w:hint="eastAsia" w:ascii="Times New Roman" w:hAnsi="Times New Roman"/>
              </w:rPr>
              <w:t>②风蚀扬尘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经计算，u*=0.26m/s＜</w:t>
            </w:r>
            <w:r>
              <w:rPr>
                <w:rFonts w:ascii="Times New Roman" w:hAnsi="Times New Roman"/>
              </w:rPr>
              <w:t>u</w:t>
            </w:r>
            <w:r>
              <w:rPr>
                <w:rFonts w:hint="eastAsia" w:ascii="Times New Roman" w:hAnsi="Times New Roman"/>
              </w:rPr>
              <w:t>t</w:t>
            </w:r>
            <w:r>
              <w:rPr>
                <w:rFonts w:ascii="Times New Roman" w:hAnsi="Times New Roman"/>
              </w:rPr>
              <w:t>*</w:t>
            </w:r>
            <w:r>
              <w:rPr>
                <w:rFonts w:hint="eastAsia" w:ascii="Times New Roman" w:hAnsi="Times New Roman"/>
              </w:rPr>
              <w:t>，故最大风速潜势pi=0，受到风蚀作用的颗粒物排放系数Ew=0，风蚀扬尘W</w:t>
            </w:r>
            <w:r>
              <w:rPr>
                <w:rFonts w:hint="eastAsia" w:ascii="Times New Roman" w:hAnsi="Times New Roman"/>
                <w:vertAlign w:val="subscript"/>
              </w:rPr>
              <w:t>2</w:t>
            </w:r>
            <w:r>
              <w:rPr>
                <w:rFonts w:hint="eastAsia" w:ascii="Times New Roman" w:hAnsi="Times New Roman"/>
              </w:rPr>
              <w:t>=0。</w:t>
            </w:r>
          </w:p>
          <w:p>
            <w:pPr>
              <w:adjustRightInd w:val="0"/>
              <w:snapToGrid w:val="0"/>
              <w:spacing w:line="440" w:lineRule="exact"/>
              <w:ind w:firstLine="480" w:firstLineChars="200"/>
              <w:rPr>
                <w:rFonts w:ascii="Times New Roman" w:hAnsi="Times New Roman"/>
              </w:rPr>
            </w:pPr>
            <w:r>
              <w:rPr>
                <w:rFonts w:hint="eastAsia" w:ascii="Times New Roman" w:hAnsi="Times New Roman"/>
              </w:rPr>
              <w:t>本项目堆场采取喷雾抑尘，原料为大块状物料，堆场背后靠山，周边设置半围挡，围挡高度约为2m，控制物料堆放高度低于围挡高度可减少风蚀扬尘。查阅大田县气象数据，近二十年静风频率约18.42%，静风频率高，静风条件下不会产生风蚀扬尘；有风条件下，通过原料堆场围挡、顶棚和喷雾抑尘（堆场四周设置10个喷嘴，确保喷雾覆盖整个堆场）等综合措施可有效抑尘，基本不会产生风蚀扬尘。</w:t>
            </w:r>
          </w:p>
          <w:p>
            <w:pPr>
              <w:adjustRightInd w:val="0"/>
              <w:snapToGrid w:val="0"/>
              <w:spacing w:line="440" w:lineRule="exact"/>
              <w:ind w:firstLine="480" w:firstLineChars="200"/>
              <w:rPr>
                <w:rFonts w:ascii="Times New Roman" w:hAnsi="Times New Roman"/>
              </w:rPr>
            </w:pPr>
            <w:r>
              <w:rPr>
                <w:rFonts w:hint="eastAsia" w:ascii="Times New Roman" w:hAnsi="Times New Roman"/>
              </w:rPr>
              <w:t>综上分析，堆场基本不产生风蚀扬尘。</w:t>
            </w:r>
          </w:p>
          <w:p>
            <w:pPr>
              <w:adjustRightInd w:val="0"/>
              <w:snapToGrid w:val="0"/>
              <w:spacing w:line="440" w:lineRule="exact"/>
              <w:ind w:firstLine="480" w:firstLineChars="200"/>
              <w:rPr>
                <w:rFonts w:ascii="Times New Roman" w:hAnsi="Times New Roman"/>
              </w:rPr>
            </w:pPr>
            <w:r>
              <w:rPr>
                <w:rFonts w:hint="eastAsia" w:ascii="宋体" w:hAnsi="宋体"/>
              </w:rPr>
              <w:t>③</w:t>
            </w:r>
            <w:r>
              <w:rPr>
                <w:rFonts w:hint="eastAsia" w:ascii="Times New Roman" w:hAnsi="Times New Roman"/>
              </w:rPr>
              <w:t>小结</w:t>
            </w:r>
          </w:p>
          <w:p>
            <w:pPr>
              <w:adjustRightInd w:val="0"/>
              <w:snapToGrid w:val="0"/>
              <w:spacing w:line="440" w:lineRule="exact"/>
              <w:ind w:firstLine="480" w:firstLineChars="200"/>
              <w:rPr>
                <w:rFonts w:ascii="Times New Roman" w:hAnsi="Times New Roman"/>
              </w:rPr>
            </w:pPr>
            <w:r>
              <w:rPr>
                <w:rFonts w:hint="eastAsia" w:ascii="Times New Roman" w:hAnsi="Times New Roman"/>
              </w:rPr>
              <w:t>堆场扬尘W</w:t>
            </w:r>
            <w:r>
              <w:rPr>
                <w:rFonts w:hint="eastAsia" w:ascii="Times New Roman" w:hAnsi="Times New Roman"/>
                <w:vertAlign w:val="subscript"/>
              </w:rPr>
              <w:t>Y</w:t>
            </w:r>
            <w:r>
              <w:rPr>
                <w:rFonts w:hint="eastAsia" w:ascii="Times New Roman" w:hAnsi="Times New Roman"/>
              </w:rPr>
              <w:t>=W</w:t>
            </w:r>
            <w:r>
              <w:rPr>
                <w:rFonts w:hint="eastAsia" w:ascii="Times New Roman" w:hAnsi="Times New Roman"/>
                <w:vertAlign w:val="subscript"/>
              </w:rPr>
              <w:t>1</w:t>
            </w:r>
            <w:r>
              <w:rPr>
                <w:rFonts w:hint="eastAsia" w:ascii="Times New Roman" w:hAnsi="Times New Roman"/>
              </w:rPr>
              <w:t>+W</w:t>
            </w:r>
            <w:r>
              <w:rPr>
                <w:rFonts w:hint="eastAsia" w:ascii="Times New Roman" w:hAnsi="Times New Roman"/>
                <w:vertAlign w:val="subscript"/>
              </w:rPr>
              <w:t>2</w:t>
            </w:r>
            <w:r>
              <w:rPr>
                <w:rFonts w:hint="eastAsia" w:ascii="Times New Roman" w:hAnsi="Times New Roman"/>
              </w:rPr>
              <w:t>=2.5722t/a。</w:t>
            </w:r>
          </w:p>
          <w:p>
            <w:pPr>
              <w:adjustRightInd w:val="0"/>
              <w:snapToGrid w:val="0"/>
              <w:spacing w:line="440" w:lineRule="exact"/>
              <w:ind w:firstLine="240" w:firstLineChars="100"/>
            </w:pPr>
            <w:r>
              <w:rPr>
                <w:rFonts w:ascii="Times New Roman" w:hAnsi="Times New Roman"/>
              </w:rPr>
              <w:t>（2）</w:t>
            </w:r>
            <w:r>
              <w:rPr>
                <w:rFonts w:hint="eastAsia" w:ascii="Times New Roman" w:hAnsi="Times New Roman"/>
              </w:rPr>
              <w:t>破碎、筛分系统粉尘</w:t>
            </w:r>
          </w:p>
          <w:p>
            <w:pPr>
              <w:pStyle w:val="11"/>
              <w:spacing w:line="440" w:lineRule="exact"/>
              <w:ind w:firstLine="480"/>
              <w:rPr>
                <w:rFonts w:ascii="Times New Roman" w:hAnsi="Times New Roman"/>
              </w:rPr>
            </w:pPr>
            <w:r>
              <w:rPr>
                <w:rFonts w:hint="eastAsia" w:ascii="Times New Roman" w:hAnsi="Times New Roman"/>
              </w:rPr>
              <w:t>本项目物料经过一破、筛分和二破工序处理，会产生粉尘。本项目原料直径较大，粒径大小介于矿渣与砾石（0.2-6cm）之间，</w:t>
            </w:r>
            <w:r>
              <w:rPr>
                <w:rFonts w:ascii="Times New Roman" w:hAnsi="Times New Roman"/>
              </w:rPr>
              <w:t>根据《逸散性工业粉尘控制技术》(中国环境科学出版社，1989.12，J.A.奥里蒙等编著，张良璧等编译)中粒料加工厂逸散尘的排放因子表18-1</w:t>
            </w:r>
            <w:r>
              <w:rPr>
                <w:rFonts w:hint="eastAsia" w:ascii="Times New Roman" w:hAnsi="Times New Roman"/>
              </w:rPr>
              <w:t>，本项目一破、筛分工序粉尘排放因子取0.15kg/t-破碎料。</w:t>
            </w:r>
            <w:r>
              <w:rPr>
                <w:rFonts w:ascii="Times New Roman" w:hAnsi="Times New Roman"/>
              </w:rPr>
              <w:t>本项目原料总量</w:t>
            </w:r>
            <w:r>
              <w:rPr>
                <w:rFonts w:hint="eastAsia" w:ascii="Times New Roman" w:hAnsi="Times New Roman"/>
              </w:rPr>
              <w:t>100000</w:t>
            </w:r>
            <w:r>
              <w:rPr>
                <w:rFonts w:ascii="Times New Roman" w:hAnsi="Times New Roman"/>
              </w:rPr>
              <w:t>t/a</w:t>
            </w:r>
            <w:r>
              <w:rPr>
                <w:rFonts w:hint="eastAsia" w:ascii="Times New Roman" w:hAnsi="Times New Roman"/>
              </w:rPr>
              <w:t>，则一次破碎、筛分的粉尘产生量为15t/a。</w:t>
            </w:r>
          </w:p>
          <w:p>
            <w:pPr>
              <w:pStyle w:val="11"/>
              <w:spacing w:line="440" w:lineRule="exact"/>
              <w:ind w:firstLine="480"/>
              <w:rPr>
                <w:rFonts w:ascii="Times New Roman" w:hAnsi="Times New Roman"/>
              </w:rPr>
            </w:pPr>
            <w:r>
              <w:rPr>
                <w:rFonts w:hint="eastAsia" w:ascii="Times New Roman" w:hAnsi="Times New Roman"/>
              </w:rPr>
              <w:t>本项目一次筛分后的物料进行二破，不经过二次筛选，根据</w:t>
            </w:r>
            <w:r>
              <w:rPr>
                <w:rFonts w:ascii="Times New Roman" w:hAnsi="Times New Roman"/>
              </w:rPr>
              <w:t>《逸散性工业粉尘控制技术》</w:t>
            </w:r>
            <w:r>
              <w:rPr>
                <w:rFonts w:hint="eastAsia" w:ascii="Times New Roman" w:hAnsi="Times New Roman"/>
              </w:rPr>
              <w:t>说明，砾石原</w:t>
            </w:r>
            <w:r>
              <w:rPr>
                <w:rFonts w:hint="eastAsia" w:ascii="Times New Roman" w:hAnsi="Times New Roman"/>
                <w:highlight w:val="none"/>
              </w:rPr>
              <w:t>料本身带水，故粉尘排放量少。进入二破的物料表面带有一破、一筛的喷淋水，粒径</w:t>
            </w:r>
            <w:r>
              <w:rPr>
                <w:rFonts w:hint="eastAsia" w:ascii="宋体" w:hAnsi="宋体"/>
                <w:highlight w:val="none"/>
              </w:rPr>
              <w:t>≥</w:t>
            </w:r>
            <w:r>
              <w:rPr>
                <w:rFonts w:hint="eastAsia" w:ascii="Times New Roman" w:hAnsi="Times New Roman"/>
                <w:highlight w:val="none"/>
              </w:rPr>
              <w:t>3cm（接近砾石粒径），且</w:t>
            </w:r>
            <w:r>
              <w:rPr>
                <w:rFonts w:hint="eastAsia" w:ascii="Times New Roman" w:hAnsi="Times New Roman"/>
              </w:rPr>
              <w:t>二破过程采取喷淋抑尘，故二破的排放因子参照砾石排放因子0.05kg/t破碎料。进入二破的物料料量约为40000t/a，</w:t>
            </w:r>
            <w:r>
              <w:rPr>
                <w:rFonts w:ascii="Times New Roman" w:hAnsi="Times New Roman"/>
              </w:rPr>
              <w:t>则</w:t>
            </w:r>
            <w:r>
              <w:rPr>
                <w:rFonts w:hint="eastAsia" w:ascii="Times New Roman" w:hAnsi="Times New Roman"/>
              </w:rPr>
              <w:t>二</w:t>
            </w:r>
            <w:r>
              <w:rPr>
                <w:rFonts w:ascii="Times New Roman" w:hAnsi="Times New Roman"/>
              </w:rPr>
              <w:t>破粉尘产生量</w:t>
            </w:r>
            <w:r>
              <w:rPr>
                <w:rFonts w:hint="eastAsia" w:ascii="Times New Roman" w:hAnsi="Times New Roman"/>
              </w:rPr>
              <w:t>2</w:t>
            </w:r>
            <w:r>
              <w:rPr>
                <w:rFonts w:ascii="Times New Roman" w:hAnsi="Times New Roman"/>
              </w:rPr>
              <w:t>t/a</w:t>
            </w:r>
            <w:r>
              <w:rPr>
                <w:rFonts w:hint="eastAsia" w:ascii="Times New Roman" w:hAnsi="Times New Roman"/>
              </w:rPr>
              <w:t>。</w:t>
            </w:r>
          </w:p>
          <w:p>
            <w:pPr>
              <w:pStyle w:val="11"/>
              <w:spacing w:line="440" w:lineRule="exact"/>
              <w:ind w:firstLine="480"/>
              <w:rPr>
                <w:rFonts w:ascii="Times New Roman" w:hAnsi="Times New Roman"/>
              </w:rPr>
            </w:pPr>
            <w:r>
              <w:rPr>
                <w:rFonts w:ascii="Times New Roman" w:hAnsi="Times New Roman"/>
              </w:rPr>
              <w:t>抑尘措施：破碎机、</w:t>
            </w:r>
            <w:r>
              <w:rPr>
                <w:rFonts w:hint="eastAsia" w:ascii="Times New Roman" w:hAnsi="Times New Roman"/>
              </w:rPr>
              <w:t>振动筛</w:t>
            </w:r>
            <w:r>
              <w:rPr>
                <w:rFonts w:ascii="Times New Roman" w:hAnsi="Times New Roman"/>
              </w:rPr>
              <w:t>采取围挡及水喷淋措施抑尘，在破碎机进料口上方、设备内和振动筛上方分别设置喷淋水管</w:t>
            </w:r>
            <w:r>
              <w:rPr>
                <w:rFonts w:hint="eastAsia" w:ascii="Times New Roman" w:hAnsi="Times New Roman"/>
              </w:rPr>
              <w:t>。为保证有效抑尘，初破喷淋水量为0.02m</w:t>
            </w:r>
            <w:r>
              <w:rPr>
                <w:rFonts w:hint="eastAsia" w:ascii="Times New Roman" w:hAnsi="Times New Roman"/>
                <w:vertAlign w:val="superscript"/>
              </w:rPr>
              <w:t>3</w:t>
            </w:r>
            <w:r>
              <w:rPr>
                <w:rFonts w:hint="eastAsia" w:ascii="Times New Roman" w:hAnsi="Times New Roman"/>
              </w:rPr>
              <w:t>/t物料，保证物料表层含水率10%以上；后续筛分及二破可减少喷淋水量，喷淋水量为0.002m</w:t>
            </w:r>
            <w:r>
              <w:rPr>
                <w:rFonts w:hint="eastAsia" w:ascii="Times New Roman" w:hAnsi="Times New Roman"/>
                <w:vertAlign w:val="superscript"/>
              </w:rPr>
              <w:t>3</w:t>
            </w:r>
            <w:r>
              <w:rPr>
                <w:rFonts w:hint="eastAsia" w:ascii="Times New Roman" w:hAnsi="Times New Roman"/>
              </w:rPr>
              <w:t>/t物料，0.001m</w:t>
            </w:r>
            <w:r>
              <w:rPr>
                <w:rFonts w:hint="eastAsia" w:ascii="Times New Roman" w:hAnsi="Times New Roman"/>
                <w:vertAlign w:val="superscript"/>
              </w:rPr>
              <w:t>3</w:t>
            </w:r>
            <w:r>
              <w:rPr>
                <w:rFonts w:hint="eastAsia" w:ascii="Times New Roman" w:hAnsi="Times New Roman"/>
              </w:rPr>
              <w:t>/t物料。</w:t>
            </w:r>
            <w:r>
              <w:rPr>
                <w:rFonts w:ascii="Times New Roman" w:hAnsi="Times New Roman"/>
              </w:rPr>
              <w:t>喷淋水管朝向破碎及筛分作业区，并与破碎作业端及筛面保持一定距离，保证喷淋水能覆盖破碎、筛分作业区</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根据《固体物料堆存颗粒物产排污核算系数手册》，水喷淋抑尘及围挡措施对粉尘的控制效率分别可以达到74%、60%。综合考虑，在破碎、筛分过程采取围挡、水喷淋抑尘的措施下，对粉尘的控制效率可达到90%，</w:t>
            </w:r>
            <w:r>
              <w:rPr>
                <w:rFonts w:ascii="Times New Roman" w:hAnsi="Times New Roman"/>
              </w:rPr>
              <w:t>则破碎、筛分</w:t>
            </w:r>
            <w:r>
              <w:rPr>
                <w:rFonts w:hint="eastAsia" w:ascii="Times New Roman" w:hAnsi="Times New Roman"/>
              </w:rPr>
              <w:t>系统</w:t>
            </w:r>
            <w:r>
              <w:rPr>
                <w:rFonts w:ascii="Times New Roman" w:hAnsi="Times New Roman"/>
              </w:rPr>
              <w:t>的粉尘排放量为</w:t>
            </w:r>
            <w:r>
              <w:rPr>
                <w:rFonts w:hint="eastAsia" w:ascii="Times New Roman" w:hAnsi="Times New Roman"/>
              </w:rPr>
              <w:t>1.7</w:t>
            </w:r>
            <w:r>
              <w:rPr>
                <w:rFonts w:ascii="Times New Roman" w:hAnsi="Times New Roman"/>
              </w:rPr>
              <w:t>t/a</w:t>
            </w:r>
            <w:r>
              <w:rPr>
                <w:rFonts w:hint="eastAsia" w:ascii="Times New Roman" w:hAnsi="Times New Roman"/>
              </w:rPr>
              <w:t>，即0.57kg/h</w:t>
            </w:r>
            <w:r>
              <w:rPr>
                <w:rFonts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（3）</w:t>
            </w:r>
            <w:r>
              <w:rPr>
                <w:rFonts w:ascii="Times New Roman" w:hAnsi="Times New Roman"/>
              </w:rPr>
              <w:t>车辆运输行驶扬尘</w:t>
            </w:r>
          </w:p>
          <w:p>
            <w:pPr>
              <w:pStyle w:val="11"/>
              <w:spacing w:line="440" w:lineRule="exact"/>
              <w:ind w:firstLine="480"/>
              <w:rPr>
                <w:rFonts w:ascii="Times New Roman" w:hAnsi="Times New Roman"/>
              </w:rPr>
            </w:pPr>
            <w:r>
              <w:rPr>
                <w:rFonts w:ascii="Times New Roman" w:hAnsi="Times New Roman"/>
              </w:rPr>
              <w:t>项目的主要运输工具有铲车等，在运输过程中不可避免地要产生扬尘，特别是当气候条件不利时，扬尘现象就更严重。项目运输起尘采用下述公式进行计算：</w:t>
            </w:r>
          </w:p>
          <w:p>
            <w:pPr>
              <w:pStyle w:val="11"/>
              <w:ind w:firstLine="480"/>
              <w:rPr>
                <w:rFonts w:ascii="Times New Roman" w:hAnsi="Times New Roman"/>
              </w:rPr>
            </w:pPr>
            <w:r>
              <w:rPr>
                <w:rFonts w:ascii="Times New Roman" w:hAnsi="Times New Roman"/>
              </w:rPr>
              <w:drawing>
                <wp:inline distT="0" distB="0" distL="0" distR="0">
                  <wp:extent cx="2087880" cy="414020"/>
                  <wp:effectExtent l="0" t="0" r="0" b="12700"/>
                  <wp:docPr id="84397627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976277"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b="51111"/>
                          <a:stretch>
                            <a:fillRect/>
                          </a:stretch>
                        </pic:blipFill>
                        <pic:spPr>
                          <a:xfrm>
                            <a:off x="0" y="0"/>
                            <a:ext cx="2087880" cy="414020"/>
                          </a:xfrm>
                          <a:prstGeom prst="rect">
                            <a:avLst/>
                          </a:prstGeom>
                          <a:noFill/>
                          <a:ln>
                            <a:noFill/>
                          </a:ln>
                        </pic:spPr>
                      </pic:pic>
                    </a:graphicData>
                  </a:graphic>
                </wp:inline>
              </w:drawing>
            </w:r>
          </w:p>
          <w:p>
            <w:pPr>
              <w:pStyle w:val="11"/>
              <w:ind w:firstLine="480"/>
              <w:rPr>
                <w:rFonts w:ascii="Times New Roman" w:hAnsi="Times New Roman"/>
              </w:rPr>
            </w:pPr>
            <w:r>
              <w:rPr>
                <w:rFonts w:ascii="Times New Roman" w:hAnsi="Times New Roman"/>
              </w:rPr>
              <w:drawing>
                <wp:inline distT="0" distB="0" distL="0" distR="0">
                  <wp:extent cx="1975485" cy="379730"/>
                  <wp:effectExtent l="0" t="0" r="0" b="0"/>
                  <wp:docPr id="5481820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82037"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t="53055"/>
                          <a:stretch>
                            <a:fillRect/>
                          </a:stretch>
                        </pic:blipFill>
                        <pic:spPr>
                          <a:xfrm>
                            <a:off x="0" y="0"/>
                            <a:ext cx="1975485" cy="379730"/>
                          </a:xfrm>
                          <a:prstGeom prst="rect">
                            <a:avLst/>
                          </a:prstGeom>
                          <a:noFill/>
                          <a:ln>
                            <a:noFill/>
                          </a:ln>
                        </pic:spPr>
                      </pic:pic>
                    </a:graphicData>
                  </a:graphic>
                </wp:inline>
              </w:drawing>
            </w:r>
          </w:p>
          <w:p>
            <w:pPr>
              <w:pStyle w:val="11"/>
              <w:spacing w:line="440" w:lineRule="exact"/>
              <w:ind w:firstLine="480"/>
              <w:rPr>
                <w:rFonts w:ascii="Times New Roman" w:hAnsi="Times New Roman"/>
              </w:rPr>
            </w:pPr>
            <w:r>
              <w:rPr>
                <w:rFonts w:ascii="Times New Roman" w:hAnsi="Times New Roman"/>
              </w:rPr>
              <w:t>式中：Qy ——交通运输起尘量，kg/km·辆；</w:t>
            </w:r>
          </w:p>
          <w:p>
            <w:pPr>
              <w:pStyle w:val="11"/>
              <w:spacing w:line="440" w:lineRule="exact"/>
              <w:ind w:firstLine="1200" w:firstLineChars="500"/>
              <w:rPr>
                <w:rFonts w:ascii="Times New Roman" w:hAnsi="Times New Roman"/>
              </w:rPr>
            </w:pPr>
            <w:r>
              <w:rPr>
                <w:rFonts w:ascii="Times New Roman" w:hAnsi="Times New Roman"/>
              </w:rPr>
              <w:t>Qt ——运输途中起尘量，</w:t>
            </w:r>
            <w:r>
              <w:rPr>
                <w:rFonts w:hint="eastAsia" w:ascii="Times New Roman" w:hAnsi="Times New Roman"/>
              </w:rPr>
              <w:t>kg</w:t>
            </w:r>
            <w:r>
              <w:rPr>
                <w:rFonts w:ascii="Times New Roman" w:hAnsi="Times New Roman"/>
              </w:rPr>
              <w:t>/a；</w:t>
            </w:r>
          </w:p>
          <w:p>
            <w:pPr>
              <w:pStyle w:val="11"/>
              <w:spacing w:line="440" w:lineRule="exact"/>
              <w:ind w:firstLine="1200" w:firstLineChars="500"/>
              <w:rPr>
                <w:rFonts w:ascii="Times New Roman" w:hAnsi="Times New Roman"/>
              </w:rPr>
            </w:pPr>
            <w:r>
              <w:rPr>
                <w:rFonts w:ascii="Times New Roman" w:hAnsi="Times New Roman"/>
              </w:rPr>
              <w:t>V ——车辆行驶速度，km/h；取 15km/h；</w:t>
            </w:r>
          </w:p>
          <w:p>
            <w:pPr>
              <w:pStyle w:val="11"/>
              <w:spacing w:line="440" w:lineRule="exact"/>
              <w:ind w:firstLine="1200" w:firstLineChars="500"/>
              <w:rPr>
                <w:rFonts w:ascii="Times New Roman" w:hAnsi="Times New Roman"/>
              </w:rPr>
            </w:pPr>
            <w:r>
              <w:rPr>
                <w:rFonts w:ascii="Times New Roman" w:hAnsi="Times New Roman"/>
              </w:rPr>
              <w:t>P ——路面状况，以每平方米路面灰尘覆盖率表示，kg/m</w:t>
            </w:r>
            <w:r>
              <w:rPr>
                <w:rFonts w:ascii="Times New Roman" w:hAnsi="Times New Roman"/>
                <w:vertAlign w:val="superscript"/>
              </w:rPr>
              <w:t>2</w:t>
            </w:r>
            <w:r>
              <w:rPr>
                <w:rFonts w:ascii="Times New Roman" w:hAnsi="Times New Roman"/>
              </w:rPr>
              <w:t>；取 0.01 kg/m</w:t>
            </w:r>
            <w:r>
              <w:rPr>
                <w:rFonts w:ascii="Times New Roman" w:hAnsi="Times New Roman"/>
                <w:vertAlign w:val="superscript"/>
              </w:rPr>
              <w:t>2</w:t>
            </w:r>
          </w:p>
          <w:p>
            <w:pPr>
              <w:pStyle w:val="11"/>
              <w:spacing w:line="440" w:lineRule="exact"/>
              <w:ind w:firstLine="1200" w:firstLineChars="500"/>
              <w:rPr>
                <w:rFonts w:ascii="Times New Roman" w:hAnsi="Times New Roman"/>
              </w:rPr>
            </w:pPr>
            <w:r>
              <w:rPr>
                <w:rFonts w:ascii="Times New Roman" w:hAnsi="Times New Roman"/>
              </w:rPr>
              <w:t>M ——车辆载重，t/辆；取30t/辆；</w:t>
            </w:r>
          </w:p>
          <w:p>
            <w:pPr>
              <w:pStyle w:val="11"/>
              <w:spacing w:line="440" w:lineRule="exact"/>
              <w:ind w:firstLine="1200" w:firstLineChars="500"/>
              <w:rPr>
                <w:rFonts w:ascii="Times New Roman" w:hAnsi="Times New Roman"/>
              </w:rPr>
            </w:pPr>
            <w:r>
              <w:rPr>
                <w:rFonts w:ascii="Times New Roman" w:hAnsi="Times New Roman"/>
              </w:rPr>
              <w:t>L ——运输距离，km；单车在厂内的运输距离取；0.2km</w:t>
            </w:r>
          </w:p>
          <w:p>
            <w:pPr>
              <w:pStyle w:val="11"/>
              <w:spacing w:line="440" w:lineRule="exact"/>
              <w:ind w:firstLine="1200" w:firstLineChars="500"/>
              <w:rPr>
                <w:rFonts w:ascii="Times New Roman" w:hAnsi="Times New Roman"/>
              </w:rPr>
            </w:pPr>
            <w:r>
              <w:rPr>
                <w:rFonts w:ascii="Times New Roman" w:hAnsi="Times New Roman"/>
              </w:rPr>
              <w:t>Q ——运输量，t/a。</w:t>
            </w:r>
            <w:r>
              <w:rPr>
                <w:rFonts w:hint="eastAsia" w:ascii="Times New Roman" w:hAnsi="Times New Roman"/>
              </w:rPr>
              <w:t>原料运输通过厂区北侧外道路卸入原料堆场，原料运输车辆不经过厂区道路，运输量仅需考虑产品及尾渣运输，</w:t>
            </w:r>
            <w:r>
              <w:rPr>
                <w:rFonts w:ascii="Times New Roman" w:hAnsi="Times New Roman"/>
              </w:rPr>
              <w:t>产品</w:t>
            </w:r>
            <w:r>
              <w:rPr>
                <w:rFonts w:hint="eastAsia" w:ascii="Times New Roman" w:hAnsi="Times New Roman"/>
              </w:rPr>
              <w:t>及尾渣运输量为10</w:t>
            </w:r>
            <w:r>
              <w:rPr>
                <w:rFonts w:ascii="Times New Roman" w:hAnsi="Times New Roman"/>
              </w:rPr>
              <w:t>万t/a</w:t>
            </w:r>
            <w:r>
              <w:rPr>
                <w:rFonts w:hint="eastAsia" w:ascii="Times New Roman" w:hAnsi="Times New Roman"/>
              </w:rPr>
              <w:t>。</w:t>
            </w:r>
          </w:p>
          <w:p>
            <w:pPr>
              <w:pStyle w:val="11"/>
              <w:spacing w:line="440" w:lineRule="exact"/>
              <w:ind w:firstLine="480"/>
              <w:rPr>
                <w:rFonts w:ascii="Times New Roman" w:hAnsi="Times New Roman"/>
              </w:rPr>
            </w:pPr>
            <w:r>
              <w:rPr>
                <w:rFonts w:ascii="Times New Roman" w:hAnsi="Times New Roman"/>
              </w:rPr>
              <w:t>运输起尘量计算可知，厂区（</w:t>
            </w:r>
            <w:r>
              <w:rPr>
                <w:rFonts w:hint="eastAsia" w:ascii="Times New Roman" w:hAnsi="Times New Roman"/>
              </w:rPr>
              <w:t>往返</w:t>
            </w:r>
            <w:r>
              <w:rPr>
                <w:rFonts w:ascii="Times New Roman" w:hAnsi="Times New Roman"/>
              </w:rPr>
              <w:t>运距</w:t>
            </w:r>
            <w:r>
              <w:rPr>
                <w:rFonts w:hint="eastAsia" w:ascii="Times New Roman" w:hAnsi="Times New Roman"/>
              </w:rPr>
              <w:t>最大</w:t>
            </w:r>
            <w:r>
              <w:rPr>
                <w:rFonts w:ascii="Times New Roman" w:hAnsi="Times New Roman"/>
              </w:rPr>
              <w:t>200m）运输起尘量约为0.1t/a，</w:t>
            </w:r>
            <w:r>
              <w:rPr>
                <w:rFonts w:hint="eastAsia" w:ascii="Times New Roman" w:hAnsi="Times New Roman"/>
              </w:rPr>
              <w:t>运输过程采取洒水抑尘</w:t>
            </w:r>
            <w:r>
              <w:rPr>
                <w:rFonts w:ascii="Times New Roman" w:hAnsi="Times New Roman"/>
              </w:rPr>
              <w:t>，</w:t>
            </w:r>
            <w:r>
              <w:rPr>
                <w:rFonts w:hint="eastAsia" w:ascii="Times New Roman" w:hAnsi="Times New Roman"/>
              </w:rPr>
              <w:t>洒水量为1.5L/m</w:t>
            </w:r>
            <w:r>
              <w:rPr>
                <w:rFonts w:hint="eastAsia" w:ascii="Times New Roman" w:hAnsi="Times New Roman"/>
                <w:vertAlign w:val="superscript"/>
              </w:rPr>
              <w:t>2</w:t>
            </w:r>
            <w:r>
              <w:rPr>
                <w:rFonts w:hint="eastAsia" w:ascii="Times New Roman" w:hAnsi="Times New Roman"/>
              </w:rPr>
              <w:t>·次，每天洒水三次。通过洒水抑尘，</w:t>
            </w:r>
            <w:r>
              <w:rPr>
                <w:rFonts w:ascii="Times New Roman" w:hAnsi="Times New Roman"/>
              </w:rPr>
              <w:t>可减少70%以上的粉尘，则车辆运输行驶扬尘产生量约0.03t/a</w:t>
            </w:r>
            <w:r>
              <w:rPr>
                <w:rFonts w:hint="eastAsia" w:ascii="Times New Roman" w:hAnsi="Times New Roman"/>
              </w:rPr>
              <w:t>，即0.01kg/h。</w:t>
            </w:r>
          </w:p>
          <w:p>
            <w:pPr>
              <w:pStyle w:val="11"/>
              <w:spacing w:line="440" w:lineRule="exact"/>
              <w:ind w:firstLine="480"/>
              <w:rPr>
                <w:rFonts w:ascii="Times New Roman" w:hAnsi="Times New Roman"/>
              </w:rPr>
            </w:pPr>
            <w:r>
              <w:rPr>
                <w:rFonts w:hint="eastAsia" w:ascii="Times New Roman" w:hAnsi="Times New Roman"/>
              </w:rPr>
              <w:t>（4）粉尘</w:t>
            </w:r>
            <w:r>
              <w:rPr>
                <w:rFonts w:ascii="Times New Roman" w:hAnsi="Times New Roman"/>
              </w:rPr>
              <w:t>排放汇总</w:t>
            </w:r>
          </w:p>
          <w:p>
            <w:pPr>
              <w:pStyle w:val="11"/>
              <w:spacing w:line="440" w:lineRule="exact"/>
              <w:ind w:firstLine="480"/>
              <w:rPr>
                <w:rFonts w:ascii="Times New Roman" w:hAnsi="Times New Roman"/>
              </w:rPr>
            </w:pPr>
            <w:r>
              <w:rPr>
                <w:rFonts w:hint="eastAsia" w:ascii="Times New Roman" w:hAnsi="Times New Roman"/>
              </w:rPr>
              <w:t>本项目粉尘无组织排放汇总见下表：</w:t>
            </w:r>
          </w:p>
          <w:p>
            <w:pPr>
              <w:pStyle w:val="34"/>
              <w:spacing w:before="120" w:line="440" w:lineRule="exact"/>
              <w:ind w:firstLine="422"/>
              <w:rPr>
                <w:rFonts w:ascii="Times New Roman" w:hAnsi="Times New Roman"/>
                <w:b/>
                <w:bCs/>
                <w:sz w:val="21"/>
                <w:szCs w:val="21"/>
              </w:rPr>
            </w:pPr>
            <w:bookmarkStart w:id="13" w:name="_Ref85128790"/>
          </w:p>
          <w:p>
            <w:pPr>
              <w:pStyle w:val="34"/>
              <w:spacing w:before="120" w:line="440" w:lineRule="exact"/>
              <w:ind w:firstLine="422"/>
              <w:rPr>
                <w:rFonts w:ascii="Times New Roman" w:hAnsi="Times New Roman"/>
                <w:b/>
                <w:bCs/>
                <w:sz w:val="21"/>
                <w:szCs w:val="21"/>
              </w:rPr>
            </w:pPr>
            <w:r>
              <w:rPr>
                <w:rFonts w:ascii="Times New Roman" w:hAnsi="Times New Roman"/>
                <w:b/>
                <w:bCs/>
                <w:sz w:val="21"/>
                <w:szCs w:val="21"/>
              </w:rPr>
              <w:t>表4.2-</w:t>
            </w:r>
            <w:r>
              <w:rPr>
                <w:rFonts w:hint="eastAsia" w:ascii="Times New Roman" w:hAnsi="Times New Roman"/>
                <w:b/>
                <w:bCs/>
                <w:sz w:val="21"/>
                <w:szCs w:val="21"/>
              </w:rPr>
              <w:t>3</w:t>
            </w:r>
            <w:r>
              <w:rPr>
                <w:rFonts w:ascii="Times New Roman" w:hAnsi="Times New Roman"/>
                <w:b/>
                <w:bCs/>
                <w:sz w:val="21"/>
                <w:szCs w:val="21"/>
              </w:rPr>
              <w:t xml:space="preserve">  项目无组织</w:t>
            </w:r>
            <w:bookmarkEnd w:id="13"/>
            <w:r>
              <w:rPr>
                <w:rFonts w:ascii="Times New Roman" w:hAnsi="Times New Roman"/>
                <w:b/>
                <w:bCs/>
                <w:sz w:val="21"/>
                <w:szCs w:val="21"/>
              </w:rPr>
              <w:t>粉尘排放情况汇总表</w:t>
            </w:r>
          </w:p>
          <w:tbl>
            <w:tblPr>
              <w:tblStyle w:val="25"/>
              <w:tblW w:w="0" w:type="auto"/>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679"/>
              <w:gridCol w:w="1232"/>
              <w:gridCol w:w="747"/>
              <w:gridCol w:w="1040"/>
              <w:gridCol w:w="980"/>
              <w:gridCol w:w="3056"/>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0" w:type="auto"/>
                  <w:vAlign w:val="center"/>
                </w:tcPr>
                <w:p>
                  <w:pPr>
                    <w:pStyle w:val="72"/>
                    <w:jc w:val="center"/>
                    <w:rPr>
                      <w:sz w:val="21"/>
                      <w:szCs w:val="21"/>
                    </w:rPr>
                  </w:pPr>
                  <w:r>
                    <w:rPr>
                      <w:rFonts w:hint="eastAsia"/>
                      <w:sz w:val="21"/>
                      <w:szCs w:val="21"/>
                    </w:rPr>
                    <w:t>污染源</w:t>
                  </w:r>
                </w:p>
              </w:tc>
              <w:tc>
                <w:tcPr>
                  <w:tcW w:w="0" w:type="auto"/>
                  <w:vAlign w:val="center"/>
                </w:tcPr>
                <w:p>
                  <w:pPr>
                    <w:pStyle w:val="72"/>
                    <w:jc w:val="center"/>
                    <w:rPr>
                      <w:sz w:val="21"/>
                      <w:szCs w:val="21"/>
                    </w:rPr>
                  </w:pPr>
                  <w:r>
                    <w:rPr>
                      <w:rFonts w:hint="eastAsia"/>
                      <w:sz w:val="21"/>
                      <w:szCs w:val="21"/>
                    </w:rPr>
                    <w:t>产污环节</w:t>
                  </w:r>
                </w:p>
              </w:tc>
              <w:tc>
                <w:tcPr>
                  <w:tcW w:w="747" w:type="dxa"/>
                  <w:vAlign w:val="center"/>
                </w:tcPr>
                <w:p>
                  <w:pPr>
                    <w:pStyle w:val="72"/>
                    <w:jc w:val="center"/>
                    <w:rPr>
                      <w:sz w:val="21"/>
                      <w:szCs w:val="21"/>
                    </w:rPr>
                  </w:pPr>
                  <w:r>
                    <w:rPr>
                      <w:sz w:val="21"/>
                      <w:szCs w:val="21"/>
                    </w:rPr>
                    <w:t>污染物</w:t>
                  </w:r>
                </w:p>
              </w:tc>
              <w:tc>
                <w:tcPr>
                  <w:tcW w:w="1040" w:type="dxa"/>
                  <w:vAlign w:val="center"/>
                </w:tcPr>
                <w:p>
                  <w:pPr>
                    <w:pStyle w:val="72"/>
                    <w:jc w:val="center"/>
                    <w:rPr>
                      <w:sz w:val="21"/>
                      <w:szCs w:val="21"/>
                    </w:rPr>
                  </w:pPr>
                  <w:r>
                    <w:rPr>
                      <w:rFonts w:hint="eastAsia"/>
                      <w:spacing w:val="-1"/>
                      <w:sz w:val="21"/>
                      <w:szCs w:val="21"/>
                    </w:rPr>
                    <w:t>排放速率</w:t>
                  </w:r>
                  <w:r>
                    <w:rPr>
                      <w:spacing w:val="-1"/>
                      <w:sz w:val="21"/>
                      <w:szCs w:val="21"/>
                    </w:rPr>
                    <w:t>(</w:t>
                  </w:r>
                  <w:r>
                    <w:rPr>
                      <w:rFonts w:hint="eastAsia"/>
                      <w:spacing w:val="-1"/>
                      <w:sz w:val="21"/>
                      <w:szCs w:val="21"/>
                    </w:rPr>
                    <w:t>kg/h</w:t>
                  </w:r>
                  <w:r>
                    <w:rPr>
                      <w:spacing w:val="-1"/>
                      <w:sz w:val="21"/>
                      <w:szCs w:val="21"/>
                    </w:rPr>
                    <w:t>)</w:t>
                  </w:r>
                </w:p>
              </w:tc>
              <w:tc>
                <w:tcPr>
                  <w:tcW w:w="4036" w:type="dxa"/>
                  <w:gridSpan w:val="2"/>
                  <w:vAlign w:val="center"/>
                </w:tcPr>
                <w:p>
                  <w:pPr>
                    <w:pStyle w:val="72"/>
                    <w:jc w:val="center"/>
                    <w:rPr>
                      <w:sz w:val="21"/>
                      <w:szCs w:val="21"/>
                    </w:rPr>
                  </w:pPr>
                  <w:r>
                    <w:rPr>
                      <w:rFonts w:hint="eastAsia"/>
                      <w:spacing w:val="-1"/>
                      <w:sz w:val="21"/>
                      <w:szCs w:val="21"/>
                    </w:rPr>
                    <w:t>面源信息</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restart"/>
                  <w:vAlign w:val="center"/>
                </w:tcPr>
                <w:p>
                  <w:pPr>
                    <w:pStyle w:val="72"/>
                    <w:jc w:val="center"/>
                    <w:rPr>
                      <w:sz w:val="21"/>
                      <w:szCs w:val="21"/>
                    </w:rPr>
                  </w:pPr>
                  <w:r>
                    <w:rPr>
                      <w:rFonts w:hint="eastAsia"/>
                      <w:sz w:val="21"/>
                      <w:szCs w:val="21"/>
                    </w:rPr>
                    <w:t>原料堆场、尾渣堆场、铁粉仓</w:t>
                  </w:r>
                </w:p>
              </w:tc>
              <w:tc>
                <w:tcPr>
                  <w:tcW w:w="0" w:type="auto"/>
                  <w:vMerge w:val="restart"/>
                  <w:vAlign w:val="center"/>
                </w:tcPr>
                <w:p>
                  <w:pPr>
                    <w:pStyle w:val="72"/>
                    <w:jc w:val="center"/>
                    <w:rPr>
                      <w:sz w:val="21"/>
                      <w:szCs w:val="21"/>
                    </w:rPr>
                  </w:pPr>
                  <w:r>
                    <w:rPr>
                      <w:rFonts w:hint="eastAsia"/>
                      <w:sz w:val="21"/>
                      <w:szCs w:val="21"/>
                    </w:rPr>
                    <w:t>装卸扬尘</w:t>
                  </w:r>
                </w:p>
              </w:tc>
              <w:tc>
                <w:tcPr>
                  <w:tcW w:w="747" w:type="dxa"/>
                  <w:vMerge w:val="restart"/>
                  <w:vAlign w:val="center"/>
                </w:tcPr>
                <w:p>
                  <w:pPr>
                    <w:pStyle w:val="72"/>
                    <w:jc w:val="center"/>
                    <w:rPr>
                      <w:sz w:val="21"/>
                      <w:szCs w:val="21"/>
                    </w:rPr>
                  </w:pPr>
                  <w:r>
                    <w:rPr>
                      <w:rFonts w:hint="eastAsia"/>
                      <w:sz w:val="21"/>
                      <w:szCs w:val="21"/>
                    </w:rPr>
                    <w:t>颗粒物</w:t>
                  </w:r>
                </w:p>
              </w:tc>
              <w:tc>
                <w:tcPr>
                  <w:tcW w:w="1040" w:type="dxa"/>
                  <w:vMerge w:val="restart"/>
                  <w:vAlign w:val="center"/>
                </w:tcPr>
                <w:p>
                  <w:pPr>
                    <w:pStyle w:val="72"/>
                    <w:jc w:val="center"/>
                    <w:rPr>
                      <w:spacing w:val="-1"/>
                      <w:sz w:val="21"/>
                      <w:szCs w:val="21"/>
                    </w:rPr>
                  </w:pPr>
                  <w:r>
                    <w:rPr>
                      <w:rFonts w:hint="eastAsia"/>
                      <w:sz w:val="21"/>
                      <w:szCs w:val="21"/>
                    </w:rPr>
                    <w:t>0.8574</w:t>
                  </w:r>
                </w:p>
              </w:tc>
              <w:tc>
                <w:tcPr>
                  <w:tcW w:w="980" w:type="dxa"/>
                </w:tcPr>
                <w:p>
                  <w:pPr>
                    <w:pStyle w:val="72"/>
                    <w:jc w:val="both"/>
                    <w:rPr>
                      <w:sz w:val="21"/>
                      <w:szCs w:val="21"/>
                    </w:rPr>
                  </w:pPr>
                  <w:r>
                    <w:rPr>
                      <w:rFonts w:hint="eastAsia"/>
                      <w:sz w:val="21"/>
                      <w:szCs w:val="21"/>
                    </w:rPr>
                    <w:t>原料堆场</w:t>
                  </w:r>
                </w:p>
              </w:tc>
              <w:tc>
                <w:tcPr>
                  <w:tcW w:w="3056" w:type="dxa"/>
                </w:tcPr>
                <w:p>
                  <w:pPr>
                    <w:pStyle w:val="72"/>
                    <w:jc w:val="both"/>
                    <w:rPr>
                      <w:sz w:val="21"/>
                      <w:szCs w:val="21"/>
                    </w:rPr>
                  </w:pPr>
                  <w:r>
                    <w:rPr>
                      <w:rFonts w:hint="eastAsia"/>
                      <w:sz w:val="21"/>
                      <w:szCs w:val="21"/>
                    </w:rPr>
                    <w:t>等效半径：14.93m，堆高2m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continue"/>
                  <w:vAlign w:val="center"/>
                </w:tcPr>
                <w:p>
                  <w:pPr>
                    <w:pStyle w:val="72"/>
                    <w:jc w:val="both"/>
                  </w:pPr>
                </w:p>
              </w:tc>
              <w:tc>
                <w:tcPr>
                  <w:tcW w:w="0" w:type="auto"/>
                  <w:vMerge w:val="continue"/>
                  <w:vAlign w:val="center"/>
                </w:tcPr>
                <w:p>
                  <w:pPr>
                    <w:pStyle w:val="72"/>
                    <w:jc w:val="both"/>
                  </w:pPr>
                </w:p>
              </w:tc>
              <w:tc>
                <w:tcPr>
                  <w:tcW w:w="747" w:type="dxa"/>
                  <w:vMerge w:val="continue"/>
                  <w:vAlign w:val="center"/>
                </w:tcPr>
                <w:p>
                  <w:pPr>
                    <w:pStyle w:val="72"/>
                    <w:jc w:val="both"/>
                  </w:pPr>
                </w:p>
              </w:tc>
              <w:tc>
                <w:tcPr>
                  <w:tcW w:w="1040" w:type="dxa"/>
                  <w:vMerge w:val="continue"/>
                  <w:vAlign w:val="center"/>
                </w:tcPr>
                <w:p>
                  <w:pPr>
                    <w:pStyle w:val="72"/>
                    <w:jc w:val="both"/>
                  </w:pPr>
                </w:p>
              </w:tc>
              <w:tc>
                <w:tcPr>
                  <w:tcW w:w="980" w:type="dxa"/>
                </w:tcPr>
                <w:p>
                  <w:pPr>
                    <w:pStyle w:val="72"/>
                    <w:jc w:val="both"/>
                  </w:pPr>
                  <w:r>
                    <w:rPr>
                      <w:rFonts w:hint="eastAsia"/>
                    </w:rPr>
                    <w:t>尾渣堆场</w:t>
                  </w:r>
                </w:p>
              </w:tc>
              <w:tc>
                <w:tcPr>
                  <w:tcW w:w="3056" w:type="dxa"/>
                </w:tcPr>
                <w:p>
                  <w:pPr>
                    <w:pStyle w:val="72"/>
                    <w:jc w:val="both"/>
                    <w:rPr>
                      <w:sz w:val="21"/>
                      <w:szCs w:val="21"/>
                    </w:rPr>
                  </w:pPr>
                  <w:r>
                    <w:rPr>
                      <w:rFonts w:hint="eastAsia"/>
                      <w:sz w:val="21"/>
                      <w:szCs w:val="21"/>
                    </w:rPr>
                    <w:t>等效半径：10.56m，堆高2m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67" w:hRule="atLeast"/>
                <w:jc w:val="center"/>
              </w:trPr>
              <w:tc>
                <w:tcPr>
                  <w:tcW w:w="0" w:type="auto"/>
                  <w:vMerge w:val="continue"/>
                  <w:vAlign w:val="center"/>
                </w:tcPr>
                <w:p>
                  <w:pPr>
                    <w:pStyle w:val="72"/>
                    <w:jc w:val="both"/>
                  </w:pPr>
                </w:p>
              </w:tc>
              <w:tc>
                <w:tcPr>
                  <w:tcW w:w="0" w:type="auto"/>
                  <w:vMerge w:val="continue"/>
                  <w:vAlign w:val="center"/>
                </w:tcPr>
                <w:p>
                  <w:pPr>
                    <w:pStyle w:val="72"/>
                    <w:jc w:val="both"/>
                  </w:pPr>
                </w:p>
              </w:tc>
              <w:tc>
                <w:tcPr>
                  <w:tcW w:w="747" w:type="dxa"/>
                  <w:vMerge w:val="continue"/>
                  <w:vAlign w:val="center"/>
                </w:tcPr>
                <w:p>
                  <w:pPr>
                    <w:pStyle w:val="72"/>
                    <w:jc w:val="both"/>
                  </w:pPr>
                </w:p>
              </w:tc>
              <w:tc>
                <w:tcPr>
                  <w:tcW w:w="1040" w:type="dxa"/>
                  <w:vMerge w:val="continue"/>
                  <w:vAlign w:val="center"/>
                </w:tcPr>
                <w:p>
                  <w:pPr>
                    <w:pStyle w:val="72"/>
                    <w:jc w:val="both"/>
                  </w:pPr>
                </w:p>
              </w:tc>
              <w:tc>
                <w:tcPr>
                  <w:tcW w:w="980" w:type="dxa"/>
                </w:tcPr>
                <w:p>
                  <w:pPr>
                    <w:pStyle w:val="72"/>
                    <w:jc w:val="both"/>
                  </w:pPr>
                  <w:r>
                    <w:rPr>
                      <w:rFonts w:hint="eastAsia"/>
                    </w:rPr>
                    <w:t>铁粉仓</w:t>
                  </w:r>
                </w:p>
              </w:tc>
              <w:tc>
                <w:tcPr>
                  <w:tcW w:w="3056" w:type="dxa"/>
                </w:tcPr>
                <w:p>
                  <w:pPr>
                    <w:pStyle w:val="72"/>
                    <w:jc w:val="both"/>
                  </w:pPr>
                  <w:r>
                    <w:rPr>
                      <w:rFonts w:hint="eastAsia"/>
                    </w:rPr>
                    <w:t>长：12.5m，宽：8m，堆高：2m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499" w:hRule="atLeast"/>
                <w:jc w:val="center"/>
              </w:trPr>
              <w:tc>
                <w:tcPr>
                  <w:tcW w:w="0" w:type="auto"/>
                  <w:vAlign w:val="center"/>
                </w:tcPr>
                <w:p>
                  <w:pPr>
                    <w:pStyle w:val="72"/>
                    <w:jc w:val="center"/>
                    <w:rPr>
                      <w:sz w:val="21"/>
                      <w:szCs w:val="21"/>
                    </w:rPr>
                  </w:pPr>
                  <w:r>
                    <w:rPr>
                      <w:rFonts w:hint="eastAsia"/>
                      <w:sz w:val="21"/>
                      <w:szCs w:val="21"/>
                    </w:rPr>
                    <w:t>破碎、筛分车间</w:t>
                  </w:r>
                </w:p>
              </w:tc>
              <w:tc>
                <w:tcPr>
                  <w:tcW w:w="0" w:type="auto"/>
                  <w:vAlign w:val="center"/>
                </w:tcPr>
                <w:p>
                  <w:pPr>
                    <w:pStyle w:val="72"/>
                    <w:jc w:val="center"/>
                    <w:rPr>
                      <w:sz w:val="21"/>
                      <w:szCs w:val="21"/>
                    </w:rPr>
                  </w:pPr>
                  <w:r>
                    <w:rPr>
                      <w:sz w:val="21"/>
                      <w:szCs w:val="21"/>
                    </w:rPr>
                    <w:t>破碎、筛分系统粉尘</w:t>
                  </w:r>
                </w:p>
              </w:tc>
              <w:tc>
                <w:tcPr>
                  <w:tcW w:w="747" w:type="dxa"/>
                  <w:vMerge w:val="continue"/>
                  <w:vAlign w:val="center"/>
                </w:tcPr>
                <w:p>
                  <w:pPr>
                    <w:pStyle w:val="72"/>
                    <w:jc w:val="center"/>
                    <w:rPr>
                      <w:sz w:val="21"/>
                      <w:szCs w:val="21"/>
                    </w:rPr>
                  </w:pPr>
                </w:p>
              </w:tc>
              <w:tc>
                <w:tcPr>
                  <w:tcW w:w="1040" w:type="dxa"/>
                  <w:vAlign w:val="center"/>
                </w:tcPr>
                <w:p>
                  <w:pPr>
                    <w:pStyle w:val="72"/>
                    <w:jc w:val="center"/>
                    <w:rPr>
                      <w:sz w:val="21"/>
                      <w:szCs w:val="21"/>
                    </w:rPr>
                  </w:pPr>
                  <w:r>
                    <w:rPr>
                      <w:rFonts w:hint="eastAsia"/>
                      <w:sz w:val="21"/>
                      <w:szCs w:val="21"/>
                    </w:rPr>
                    <w:t>0.57</w:t>
                  </w:r>
                </w:p>
              </w:tc>
              <w:tc>
                <w:tcPr>
                  <w:tcW w:w="4036" w:type="dxa"/>
                  <w:gridSpan w:val="2"/>
                </w:tcPr>
                <w:p>
                  <w:pPr>
                    <w:pStyle w:val="72"/>
                    <w:jc w:val="both"/>
                    <w:rPr>
                      <w:sz w:val="21"/>
                      <w:szCs w:val="21"/>
                    </w:rPr>
                  </w:pPr>
                  <w:r>
                    <w:rPr>
                      <w:rFonts w:hint="eastAsia"/>
                      <w:sz w:val="21"/>
                      <w:szCs w:val="21"/>
                    </w:rPr>
                    <w:t>破碎、筛分车间等效半径：23.94m，破碎、振动筛距离地面高度约4-5m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0" w:type="auto"/>
                  <w:vAlign w:val="center"/>
                </w:tcPr>
                <w:p>
                  <w:pPr>
                    <w:pStyle w:val="72"/>
                    <w:jc w:val="center"/>
                    <w:rPr>
                      <w:sz w:val="21"/>
                      <w:szCs w:val="21"/>
                    </w:rPr>
                  </w:pPr>
                  <w:r>
                    <w:rPr>
                      <w:rFonts w:hint="eastAsia"/>
                      <w:sz w:val="21"/>
                      <w:szCs w:val="21"/>
                    </w:rPr>
                    <w:t>厂区内道路</w:t>
                  </w:r>
                </w:p>
              </w:tc>
              <w:tc>
                <w:tcPr>
                  <w:tcW w:w="0" w:type="auto"/>
                  <w:vAlign w:val="center"/>
                </w:tcPr>
                <w:p>
                  <w:pPr>
                    <w:pStyle w:val="72"/>
                    <w:jc w:val="center"/>
                    <w:rPr>
                      <w:sz w:val="21"/>
                      <w:szCs w:val="21"/>
                    </w:rPr>
                  </w:pPr>
                  <w:r>
                    <w:rPr>
                      <w:rFonts w:hint="eastAsia"/>
                      <w:sz w:val="21"/>
                      <w:szCs w:val="21"/>
                    </w:rPr>
                    <w:t>车辆运输行驶扬尘</w:t>
                  </w:r>
                </w:p>
              </w:tc>
              <w:tc>
                <w:tcPr>
                  <w:tcW w:w="747" w:type="dxa"/>
                  <w:vMerge w:val="continue"/>
                  <w:vAlign w:val="center"/>
                </w:tcPr>
                <w:p>
                  <w:pPr>
                    <w:pStyle w:val="72"/>
                    <w:jc w:val="center"/>
                    <w:rPr>
                      <w:sz w:val="21"/>
                      <w:szCs w:val="21"/>
                    </w:rPr>
                  </w:pPr>
                </w:p>
              </w:tc>
              <w:tc>
                <w:tcPr>
                  <w:tcW w:w="1040" w:type="dxa"/>
                  <w:vAlign w:val="center"/>
                </w:tcPr>
                <w:p>
                  <w:pPr>
                    <w:pStyle w:val="72"/>
                    <w:jc w:val="center"/>
                    <w:rPr>
                      <w:sz w:val="21"/>
                      <w:szCs w:val="21"/>
                    </w:rPr>
                  </w:pPr>
                  <w:r>
                    <w:rPr>
                      <w:rFonts w:hint="eastAsia"/>
                      <w:sz w:val="21"/>
                      <w:szCs w:val="21"/>
                    </w:rPr>
                    <w:t>0.01</w:t>
                  </w:r>
                </w:p>
              </w:tc>
              <w:tc>
                <w:tcPr>
                  <w:tcW w:w="4036" w:type="dxa"/>
                  <w:gridSpan w:val="2"/>
                  <w:vAlign w:val="center"/>
                </w:tcPr>
                <w:p>
                  <w:pPr>
                    <w:pStyle w:val="72"/>
                    <w:rPr>
                      <w:sz w:val="21"/>
                      <w:szCs w:val="21"/>
                    </w:rPr>
                  </w:pPr>
                  <w:r>
                    <w:rPr>
                      <w:rFonts w:hint="eastAsia"/>
                      <w:sz w:val="21"/>
                      <w:szCs w:val="21"/>
                    </w:rPr>
                    <w:t>道路长度100m</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3658" w:type="dxa"/>
                  <w:gridSpan w:val="3"/>
                  <w:vAlign w:val="center"/>
                </w:tcPr>
                <w:p>
                  <w:pPr>
                    <w:pStyle w:val="72"/>
                    <w:jc w:val="center"/>
                    <w:rPr>
                      <w:sz w:val="21"/>
                      <w:szCs w:val="21"/>
                    </w:rPr>
                  </w:pPr>
                  <w:r>
                    <w:rPr>
                      <w:sz w:val="21"/>
                      <w:szCs w:val="21"/>
                    </w:rPr>
                    <w:t>合计</w:t>
                  </w:r>
                </w:p>
              </w:tc>
              <w:tc>
                <w:tcPr>
                  <w:tcW w:w="1040" w:type="dxa"/>
                  <w:vAlign w:val="center"/>
                </w:tcPr>
                <w:p>
                  <w:pPr>
                    <w:pStyle w:val="72"/>
                    <w:jc w:val="center"/>
                    <w:rPr>
                      <w:sz w:val="21"/>
                      <w:szCs w:val="21"/>
                    </w:rPr>
                  </w:pPr>
                  <w:r>
                    <w:rPr>
                      <w:rFonts w:hint="eastAsia"/>
                      <w:sz w:val="21"/>
                      <w:szCs w:val="21"/>
                    </w:rPr>
                    <w:t>1.4374</w:t>
                  </w:r>
                </w:p>
              </w:tc>
              <w:tc>
                <w:tcPr>
                  <w:tcW w:w="4036" w:type="dxa"/>
                  <w:gridSpan w:val="2"/>
                  <w:vAlign w:val="center"/>
                </w:tcPr>
                <w:p>
                  <w:pPr>
                    <w:pStyle w:val="72"/>
                    <w:jc w:val="center"/>
                    <w:rPr>
                      <w:sz w:val="21"/>
                      <w:szCs w:val="21"/>
                    </w:rPr>
                  </w:pPr>
                  <w:r>
                    <w:rPr>
                      <w:rFonts w:hint="eastAsia"/>
                      <w:sz w:val="21"/>
                      <w:szCs w:val="21"/>
                    </w:rPr>
                    <w:t>/</w:t>
                  </w:r>
                </w:p>
              </w:tc>
            </w:tr>
          </w:tbl>
          <w:p>
            <w:pPr>
              <w:pStyle w:val="11"/>
              <w:spacing w:line="440" w:lineRule="exact"/>
              <w:ind w:firstLine="480"/>
              <w:rPr>
                <w:rFonts w:ascii="Times New Roman" w:hAnsi="Times New Roman"/>
              </w:rPr>
            </w:pPr>
            <w:r>
              <w:rPr>
                <w:rFonts w:ascii="Times New Roman" w:hAnsi="Times New Roman"/>
              </w:rPr>
              <w:t>由上表可知，项目年无组织</w:t>
            </w:r>
            <w:r>
              <w:rPr>
                <w:rFonts w:hint="eastAsia" w:ascii="Times New Roman" w:hAnsi="Times New Roman"/>
              </w:rPr>
              <w:t>粉尘排放</w:t>
            </w:r>
            <w:r>
              <w:rPr>
                <w:rFonts w:ascii="Times New Roman" w:hAnsi="Times New Roman"/>
              </w:rPr>
              <w:t>速率为</w:t>
            </w:r>
            <w:r>
              <w:rPr>
                <w:rFonts w:hint="eastAsia" w:ascii="Times New Roman" w:hAnsi="Times New Roman"/>
              </w:rPr>
              <w:t>1.4374</w:t>
            </w:r>
            <w:r>
              <w:rPr>
                <w:rFonts w:ascii="Times New Roman" w:hAnsi="Times New Roman"/>
              </w:rPr>
              <w:t>kg/h</w:t>
            </w:r>
            <w:r>
              <w:rPr>
                <w:rFonts w:hint="eastAsia" w:ascii="Times New Roman" w:hAnsi="Times New Roman"/>
              </w:rPr>
              <w:t>，项目年生产300天，每日生产时间为10h，即年排放量为4.3122t。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.2废气污染防治措施及可行性分析</w:t>
            </w:r>
          </w:p>
          <w:p>
            <w:pPr>
              <w:pStyle w:val="11"/>
              <w:spacing w:line="440" w:lineRule="exact"/>
              <w:ind w:firstLine="480"/>
              <w:rPr>
                <w:rFonts w:ascii="Times New Roman" w:hAnsi="Times New Roman"/>
              </w:rPr>
            </w:pPr>
            <w:r>
              <w:rPr>
                <w:rFonts w:hint="eastAsia" w:ascii="Times New Roman" w:hAnsi="Times New Roman"/>
              </w:rPr>
              <w:t>（1）堆场抑尘</w:t>
            </w:r>
          </w:p>
          <w:p>
            <w:pPr>
              <w:pStyle w:val="11"/>
              <w:spacing w:line="440" w:lineRule="exact"/>
              <w:ind w:firstLine="480"/>
              <w:rPr>
                <w:rFonts w:ascii="Times New Roman" w:hAnsi="Times New Roman"/>
              </w:rPr>
            </w:pPr>
            <w:r>
              <w:rPr>
                <w:rFonts w:hint="eastAsia" w:ascii="Times New Roman" w:hAnsi="Times New Roman"/>
              </w:rPr>
              <w:t>①原料堆场</w:t>
            </w:r>
          </w:p>
          <w:p>
            <w:pPr>
              <w:pStyle w:val="11"/>
              <w:spacing w:line="440" w:lineRule="exact"/>
              <w:ind w:firstLine="480"/>
              <w:rPr>
                <w:rFonts w:ascii="Times New Roman" w:hAnsi="Times New Roman"/>
              </w:rPr>
            </w:pPr>
            <w:r>
              <w:rPr>
                <w:rFonts w:hint="eastAsia" w:ascii="Times New Roman" w:hAnsi="Times New Roman"/>
              </w:rPr>
              <w:t>一、</w:t>
            </w:r>
            <w:r>
              <w:rPr>
                <w:rFonts w:ascii="Times New Roman" w:hAnsi="Times New Roman"/>
              </w:rPr>
              <w:t>本项目使用的原料主要为</w:t>
            </w:r>
            <w:r>
              <w:rPr>
                <w:rFonts w:hint="eastAsia" w:ascii="Times New Roman" w:hAnsi="Times New Roman"/>
              </w:rPr>
              <w:t>铸铁渣、铸造砂、转炉渣及钢渣等</w:t>
            </w:r>
            <w:r>
              <w:rPr>
                <w:rFonts w:ascii="Times New Roman" w:hAnsi="Times New Roman"/>
              </w:rPr>
              <w:t>，</w:t>
            </w:r>
            <w:r>
              <w:rPr>
                <w:rFonts w:hint="eastAsia" w:ascii="Times New Roman" w:hAnsi="Times New Roman"/>
              </w:rPr>
              <w:t>物料主要为大块状物料，含水率约8%，</w:t>
            </w:r>
            <w:r>
              <w:rPr>
                <w:rFonts w:ascii="Times New Roman" w:hAnsi="Times New Roman"/>
              </w:rPr>
              <w:t>不易产生粉尘</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二、原料堆场设置顶棚，</w:t>
            </w:r>
            <w:r>
              <w:rPr>
                <w:rFonts w:ascii="Times New Roman" w:hAnsi="Times New Roman"/>
              </w:rPr>
              <w:t>采取</w:t>
            </w:r>
            <w:r>
              <w:rPr>
                <w:rFonts w:hint="eastAsia" w:ascii="Times New Roman" w:hAnsi="Times New Roman"/>
              </w:rPr>
              <w:t>半围挡</w:t>
            </w:r>
            <w:r>
              <w:rPr>
                <w:rFonts w:ascii="Times New Roman" w:hAnsi="Times New Roman"/>
              </w:rPr>
              <w:t>控制措施，</w:t>
            </w:r>
            <w:r>
              <w:rPr>
                <w:rFonts w:hint="eastAsia" w:ascii="Times New Roman" w:hAnsi="Times New Roman"/>
              </w:rPr>
              <w:t>且采取喷雾降尘，</w:t>
            </w:r>
            <w:r>
              <w:rPr>
                <w:rFonts w:hint="eastAsia"/>
              </w:rPr>
              <w:t>在堆场四周设置10个喷嘴，喷水</w:t>
            </w:r>
            <w:r>
              <w:rPr>
                <w:rFonts w:hint="eastAsia" w:ascii="Times New Roman" w:hAnsi="Times New Roman"/>
              </w:rPr>
              <w:t>强度为</w:t>
            </w:r>
            <w:r>
              <w:rPr>
                <w:rFonts w:ascii="Times New Roman" w:hAnsi="Times New Roman"/>
              </w:rPr>
              <w:t>0.5L/min</w:t>
            </w:r>
            <w:r>
              <w:rPr>
                <w:rFonts w:hint="eastAsia" w:ascii="Times New Roman" w:hAnsi="Times New Roman"/>
              </w:rPr>
              <w:t>·</w:t>
            </w:r>
            <w:r>
              <w:rPr>
                <w:rFonts w:ascii="Times New Roman" w:hAnsi="Times New Roman"/>
              </w:rPr>
              <w:t>个</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三、原料卸料过程中洒水抑尘，减少粉尘排放。</w:t>
            </w:r>
          </w:p>
          <w:p>
            <w:pPr>
              <w:pStyle w:val="11"/>
              <w:spacing w:line="440" w:lineRule="exact"/>
              <w:ind w:firstLine="480"/>
              <w:rPr>
                <w:rFonts w:ascii="Times New Roman" w:hAnsi="Times New Roman"/>
              </w:rPr>
            </w:pPr>
            <w:r>
              <w:rPr>
                <w:rFonts w:hint="eastAsia" w:ascii="Times New Roman" w:hAnsi="Times New Roman"/>
              </w:rPr>
              <w:t>②尾渣堆场</w:t>
            </w:r>
          </w:p>
          <w:p>
            <w:pPr>
              <w:pStyle w:val="11"/>
              <w:numPr>
                <w:ilvl w:val="0"/>
                <w:numId w:val="11"/>
              </w:numPr>
              <w:spacing w:line="440" w:lineRule="exact"/>
              <w:ind w:firstLine="480"/>
              <w:rPr>
                <w:rFonts w:ascii="Times New Roman" w:hAnsi="Times New Roman"/>
              </w:rPr>
            </w:pPr>
            <w:r>
              <w:rPr>
                <w:rFonts w:hint="eastAsia" w:ascii="Times New Roman" w:hAnsi="Times New Roman"/>
              </w:rPr>
              <w:t>本项目尾渣含水率在12-17%，含水率较高，不易产生粉尘；</w:t>
            </w:r>
          </w:p>
          <w:p>
            <w:pPr>
              <w:pStyle w:val="11"/>
              <w:numPr>
                <w:ilvl w:val="0"/>
                <w:numId w:val="11"/>
              </w:numPr>
              <w:spacing w:line="440" w:lineRule="exact"/>
              <w:ind w:firstLine="480"/>
            </w:pPr>
            <w:r>
              <w:rPr>
                <w:rFonts w:hint="eastAsia" w:ascii="Times New Roman" w:hAnsi="Times New Roman"/>
              </w:rPr>
              <w:t>尾渣堆场设置顶棚，采取半围挡控制措施；</w:t>
            </w:r>
          </w:p>
          <w:p>
            <w:pPr>
              <w:pStyle w:val="11"/>
              <w:numPr>
                <w:ilvl w:val="0"/>
                <w:numId w:val="11"/>
              </w:numPr>
              <w:spacing w:line="440" w:lineRule="exact"/>
              <w:ind w:firstLine="480"/>
            </w:pPr>
            <w:r>
              <w:rPr>
                <w:rFonts w:hint="eastAsia" w:ascii="Times New Roman" w:hAnsi="Times New Roman"/>
              </w:rPr>
              <w:t>尾渣装卸过程中降低高差，减少粉尘排放。</w:t>
            </w:r>
          </w:p>
          <w:p>
            <w:pPr>
              <w:pStyle w:val="11"/>
              <w:spacing w:line="440" w:lineRule="exact"/>
              <w:ind w:firstLine="480"/>
              <w:rPr>
                <w:rFonts w:ascii="Times New Roman" w:hAnsi="Times New Roman"/>
              </w:rPr>
            </w:pPr>
            <w:r>
              <w:rPr>
                <w:rFonts w:hint="eastAsia" w:ascii="Times New Roman" w:hAnsi="Times New Roman"/>
              </w:rPr>
              <w:t>③铁粉仓</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铁粉仓四周围挡，铁粉仓位于车间内，设有顶棚；</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铁粉出售外运装料过程中降低高差，减少粉尘排放；</w:t>
            </w:r>
          </w:p>
          <w:p>
            <w:pPr>
              <w:pStyle w:val="11"/>
              <w:numPr>
                <w:ilvl w:val="0"/>
                <w:numId w:val="12"/>
              </w:numPr>
              <w:spacing w:line="440" w:lineRule="exact"/>
              <w:ind w:firstLine="480"/>
              <w:rPr>
                <w:rFonts w:hint="eastAsia" w:ascii="Times New Roman" w:hAnsi="Times New Roman"/>
              </w:rPr>
            </w:pPr>
            <w:r>
              <w:rPr>
                <w:rFonts w:hint="eastAsia" w:ascii="Times New Roman" w:hAnsi="Times New Roman"/>
              </w:rPr>
              <w:t>铁粉含水率为10%，不易起尘。</w:t>
            </w:r>
          </w:p>
          <w:p>
            <w:pPr>
              <w:pStyle w:val="11"/>
              <w:spacing w:line="440" w:lineRule="exact"/>
              <w:ind w:firstLine="480"/>
              <w:rPr>
                <w:rFonts w:ascii="Times New Roman" w:hAnsi="Times New Roman"/>
              </w:rPr>
            </w:pPr>
            <w:r>
              <w:rPr>
                <w:rFonts w:hint="eastAsia" w:ascii="Times New Roman" w:hAnsi="Times New Roman"/>
              </w:rPr>
              <w:t>（2）生产过程抑尘措施</w:t>
            </w:r>
          </w:p>
          <w:p>
            <w:pPr>
              <w:pStyle w:val="11"/>
              <w:spacing w:line="440" w:lineRule="exact"/>
              <w:ind w:firstLine="480"/>
            </w:pPr>
            <w:r>
              <w:t>生产过程中</w:t>
            </w:r>
            <w:r>
              <w:rPr>
                <w:rFonts w:hint="eastAsia"/>
              </w:rPr>
              <w:t>粉尘主要来源于</w:t>
            </w:r>
            <w:r>
              <w:t>破碎、筛分</w:t>
            </w:r>
            <w:r>
              <w:rPr>
                <w:rFonts w:hint="eastAsia"/>
              </w:rPr>
              <w:t>系统产生的粉尘。</w:t>
            </w:r>
            <w:r>
              <w:rPr>
                <w:rFonts w:hint="eastAsia" w:ascii="Times New Roman" w:hAnsi="Times New Roman"/>
              </w:rPr>
              <w:t>破碎、筛分过程中采取围挡及水喷淋抑尘措施：①在破碎机的进料口及振动筛筛面周边围挡；②</w:t>
            </w:r>
            <w:r>
              <w:rPr>
                <w:rFonts w:ascii="Times New Roman" w:hAnsi="Times New Roman"/>
              </w:rPr>
              <w:t>破碎</w:t>
            </w:r>
            <w:r>
              <w:rPr>
                <w:rFonts w:hint="eastAsia" w:ascii="Times New Roman" w:hAnsi="Times New Roman"/>
              </w:rPr>
              <w:t>机、振动筛</w:t>
            </w:r>
            <w:r>
              <w:rPr>
                <w:rFonts w:ascii="Times New Roman" w:hAnsi="Times New Roman"/>
              </w:rPr>
              <w:t>采取围挡及水喷淋措施抑尘，在破碎机进料口上方、设备内和振动筛上方分别设置喷淋水管，</w:t>
            </w:r>
            <w:r>
              <w:rPr>
                <w:rFonts w:hint="eastAsia" w:ascii="Times New Roman" w:hAnsi="Times New Roman"/>
              </w:rPr>
              <w:t>为保证有效抑尘，初破喷淋水量为0.02m</w:t>
            </w:r>
            <w:r>
              <w:rPr>
                <w:rFonts w:hint="eastAsia" w:ascii="Times New Roman" w:hAnsi="Times New Roman"/>
                <w:vertAlign w:val="superscript"/>
              </w:rPr>
              <w:t>3</w:t>
            </w:r>
            <w:r>
              <w:rPr>
                <w:rFonts w:hint="eastAsia" w:ascii="Times New Roman" w:hAnsi="Times New Roman"/>
              </w:rPr>
              <w:t>/t物料，保证物料表层含水率10%以上，后续筛分及二破可减少喷淋水量。</w:t>
            </w:r>
            <w:r>
              <w:rPr>
                <w:rFonts w:ascii="Times New Roman" w:hAnsi="Times New Roman"/>
              </w:rPr>
              <w:t>喷淋水管朝向破碎及筛分作业区，并与破碎作业端及筛面保持一定距离，保证喷淋水能覆盖破碎、筛分作业区</w:t>
            </w:r>
            <w:r>
              <w:rPr>
                <w:rFonts w:hint="eastAsia" w:ascii="Times New Roman" w:hAnsi="Times New Roman"/>
              </w:rPr>
              <w:t>。</w:t>
            </w:r>
          </w:p>
          <w:p>
            <w:pPr>
              <w:pStyle w:val="11"/>
              <w:spacing w:line="440" w:lineRule="exact"/>
              <w:ind w:firstLine="480"/>
              <w:rPr>
                <w:rFonts w:ascii="Times New Roman" w:hAnsi="Times New Roman"/>
              </w:rPr>
            </w:pPr>
            <w:r>
              <w:rPr>
                <w:rFonts w:hint="eastAsia" w:ascii="Times New Roman" w:hAnsi="Times New Roman"/>
              </w:rPr>
              <w:t>（3）道路扬尘。对道路采取洒水抑尘</w:t>
            </w:r>
            <w:r>
              <w:rPr>
                <w:rFonts w:ascii="Times New Roman" w:hAnsi="Times New Roman"/>
              </w:rPr>
              <w:t>，</w:t>
            </w:r>
            <w:r>
              <w:rPr>
                <w:rFonts w:hint="eastAsia" w:ascii="Times New Roman" w:hAnsi="Times New Roman"/>
              </w:rPr>
              <w:t>洒水量为1.5L/m</w:t>
            </w:r>
            <w:r>
              <w:rPr>
                <w:rFonts w:hint="eastAsia" w:ascii="Times New Roman" w:hAnsi="Times New Roman"/>
                <w:vertAlign w:val="superscript"/>
              </w:rPr>
              <w:t>2</w:t>
            </w:r>
            <w:r>
              <w:rPr>
                <w:rFonts w:hint="eastAsia" w:ascii="Times New Roman" w:hAnsi="Times New Roman"/>
              </w:rPr>
              <w:t>·次，每天洒水3次。</w:t>
            </w:r>
          </w:p>
          <w:p>
            <w:pPr>
              <w:pStyle w:val="11"/>
              <w:spacing w:line="440" w:lineRule="exact"/>
              <w:ind w:firstLine="480"/>
            </w:pPr>
            <w:r>
              <w:t>根据《</w:t>
            </w:r>
            <w:r>
              <w:rPr>
                <w:rFonts w:hint="eastAsia"/>
              </w:rPr>
              <w:t>排污许可证申请与核发技术规范 废弃资源加工工业</w:t>
            </w:r>
            <w:r>
              <w:t>》（</w:t>
            </w:r>
            <w:r>
              <w:rPr>
                <w:rFonts w:hint="eastAsia"/>
              </w:rPr>
              <w:t>HJ 1034-2019</w:t>
            </w:r>
            <w:r>
              <w:t>），湿式除尘为颗粒物污染防治的可行技术</w:t>
            </w:r>
            <w:r>
              <w:rPr>
                <w:rFonts w:hint="eastAsia"/>
              </w:rPr>
              <w:t>，本项目原料堆场、尾渣堆场、破碎、筛分、运输过程均采用洒水抑尘，可有效抑制运输扬尘。</w:t>
            </w:r>
          </w:p>
          <w:p>
            <w:pPr>
              <w:pStyle w:val="11"/>
              <w:spacing w:line="440" w:lineRule="exact"/>
              <w:ind w:firstLine="480"/>
              <w:rPr>
                <w:rFonts w:ascii="Times New Roman" w:hAnsi="Times New Roman"/>
              </w:rPr>
            </w:pPr>
            <w:r>
              <w:rPr>
                <w:rFonts w:ascii="Times New Roman" w:hAnsi="Times New Roman"/>
              </w:rPr>
              <w:t>综上，采取上述措施后，粉尘</w:t>
            </w:r>
            <w:r>
              <w:rPr>
                <w:rFonts w:hint="eastAsia" w:ascii="Times New Roman" w:hAnsi="Times New Roman"/>
              </w:rPr>
              <w:t>排放可达到</w:t>
            </w:r>
            <w:r>
              <w:rPr>
                <w:rFonts w:ascii="Times New Roman" w:hAnsi="Times New Roman"/>
              </w:rPr>
              <w:t>《大气污染物综合排放标准》（GB16297-1996）表2标准，措施可行。</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.3环境防护距离</w:t>
            </w:r>
          </w:p>
          <w:p>
            <w:pPr>
              <w:pStyle w:val="11"/>
              <w:spacing w:line="440" w:lineRule="exact"/>
              <w:ind w:firstLine="480"/>
              <w:rPr>
                <w:rFonts w:ascii="Times New Roman" w:hAnsi="Times New Roman"/>
              </w:rPr>
            </w:pPr>
            <w:r>
              <w:rPr>
                <w:rFonts w:hint="eastAsia" w:ascii="Times New Roman" w:hAnsi="Times New Roman"/>
              </w:rPr>
              <w:t>（1）大气环境防护距离</w:t>
            </w:r>
          </w:p>
          <w:p>
            <w:pPr>
              <w:pStyle w:val="11"/>
              <w:spacing w:line="440" w:lineRule="exact"/>
              <w:ind w:firstLine="480"/>
              <w:rPr>
                <w:rFonts w:ascii="Times New Roman" w:hAnsi="Times New Roman"/>
              </w:rPr>
            </w:pPr>
            <w:r>
              <w:rPr>
                <w:rFonts w:hint="eastAsia" w:ascii="Times New Roman" w:hAnsi="Times New Roman"/>
              </w:rPr>
              <w:t>大气环境防护距离是为保护人群健康，减少正常排放条件下大气污染物对居住区的环境影响，在项目厂界以外设置的环境防护距离。本评价根据《环境影响评价导则大气环境》(HJ2.2-2018)推荐的 AERSCREEN模型的估算结果项目各废气污染源正常排放时，废气排放源中污染因子的最大地面浓度占标率小于10%，厂界外大气污染物短期贡献浓度均没有超过环境质量浓度限值，不需要设置大气环境防护距离。</w:t>
            </w:r>
          </w:p>
          <w:p>
            <w:pPr>
              <w:pStyle w:val="11"/>
              <w:spacing w:line="440" w:lineRule="exact"/>
              <w:ind w:firstLine="480"/>
              <w:rPr>
                <w:rFonts w:ascii="Times New Roman" w:hAnsi="Times New Roman"/>
              </w:rPr>
            </w:pPr>
            <w:r>
              <w:rPr>
                <w:rFonts w:hint="eastAsia" w:ascii="Times New Roman" w:hAnsi="Times New Roman"/>
              </w:rPr>
              <w:t>（2）卫生防护距离</w:t>
            </w:r>
          </w:p>
          <w:p>
            <w:pPr>
              <w:pStyle w:val="11"/>
              <w:spacing w:line="440" w:lineRule="exact"/>
              <w:ind w:firstLine="480"/>
              <w:rPr>
                <w:rFonts w:ascii="Times New Roman" w:hAnsi="Times New Roman"/>
              </w:rPr>
            </w:pPr>
            <w:r>
              <w:rPr>
                <w:rFonts w:hint="eastAsia" w:ascii="Times New Roman" w:hAnsi="Times New Roman"/>
              </w:rPr>
              <w:t>①卫生防护距离初值计算</w:t>
            </w:r>
          </w:p>
          <w:p>
            <w:pPr>
              <w:pStyle w:val="11"/>
              <w:spacing w:line="440" w:lineRule="exact"/>
              <w:ind w:firstLine="480"/>
              <w:rPr>
                <w:rFonts w:ascii="Times New Roman" w:hAnsi="Times New Roman"/>
              </w:rPr>
            </w:pPr>
            <w:r>
              <w:rPr>
                <w:rFonts w:hint="eastAsia" w:ascii="Times New Roman" w:hAnsi="Times New Roman"/>
              </w:rPr>
              <w:t>本评价依据《大气有害物质无组织排放卫生防护距离推导技术导则》（GB/T39499-2020）中规定的方法及当地的污染物气象条件来计算卫生防护距离初值，其计算公式如下：</w:t>
            </w:r>
          </w:p>
          <w:p>
            <w:pPr>
              <w:widowControl/>
              <w:ind w:firstLine="480"/>
              <w:jc w:val="center"/>
              <w:rPr>
                <w:rFonts w:ascii="Times New Roman" w:hAnsi="Times New Roman"/>
              </w:rPr>
            </w:pPr>
            <w:r>
              <w:rPr>
                <w:rFonts w:ascii="Times New Roman" w:hAnsi="Times New Roman"/>
                <w:position w:val="-30"/>
              </w:rPr>
              <w:drawing>
                <wp:inline distT="0" distB="0" distL="0" distR="0">
                  <wp:extent cx="1813560" cy="449580"/>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13560" cy="449580"/>
                          </a:xfrm>
                          <a:prstGeom prst="rect">
                            <a:avLst/>
                          </a:prstGeom>
                          <a:noFill/>
                          <a:ln>
                            <a:noFill/>
                          </a:ln>
                        </pic:spPr>
                      </pic:pic>
                    </a:graphicData>
                  </a:graphic>
                </wp:inline>
              </w:drawing>
            </w:r>
          </w:p>
          <w:p>
            <w:pPr>
              <w:widowControl/>
              <w:spacing w:line="440" w:lineRule="exact"/>
              <w:ind w:firstLine="480"/>
              <w:jc w:val="left"/>
              <w:rPr>
                <w:rFonts w:ascii="Times New Roman" w:hAnsi="Times New Roman"/>
              </w:rPr>
            </w:pPr>
            <w:r>
              <w:rPr>
                <w:rFonts w:ascii="Times New Roman" w:hAnsi="Times New Roman"/>
              </w:rPr>
              <w:t>式中：Q</w:t>
            </w:r>
            <w:r>
              <w:rPr>
                <w:rFonts w:ascii="Times New Roman" w:hAnsi="Times New Roman"/>
                <w:vertAlign w:val="subscript"/>
              </w:rPr>
              <w:t>c</w:t>
            </w:r>
            <w:r>
              <w:rPr>
                <w:rFonts w:ascii="Times New Roman" w:hAnsi="Times New Roman"/>
              </w:rPr>
              <w:t>—</w:t>
            </w:r>
            <w:r>
              <w:rPr>
                <w:rFonts w:hint="eastAsia" w:ascii="Times New Roman" w:hAnsi="Times New Roman"/>
              </w:rPr>
              <w:t>大气</w:t>
            </w:r>
            <w:r>
              <w:rPr>
                <w:rFonts w:ascii="Times New Roman" w:hAnsi="Times New Roman"/>
              </w:rPr>
              <w:t>有害</w:t>
            </w:r>
            <w:r>
              <w:rPr>
                <w:rFonts w:hint="eastAsia" w:ascii="Times New Roman" w:hAnsi="Times New Roman"/>
              </w:rPr>
              <w:t>物质的</w:t>
            </w:r>
            <w:r>
              <w:rPr>
                <w:rFonts w:ascii="Times New Roman" w:hAnsi="Times New Roman"/>
              </w:rPr>
              <w:t>无组织排放量，</w:t>
            </w:r>
            <w:r>
              <w:rPr>
                <w:rFonts w:hint="eastAsia" w:ascii="Times New Roman" w:hAnsi="Times New Roman"/>
              </w:rPr>
              <w:t>单位为</w:t>
            </w:r>
            <w:r>
              <w:rPr>
                <w:rFonts w:ascii="Times New Roman" w:hAnsi="Times New Roman"/>
              </w:rPr>
              <w:t>kg/h。</w:t>
            </w:r>
          </w:p>
          <w:p>
            <w:pPr>
              <w:widowControl/>
              <w:spacing w:line="440" w:lineRule="exact"/>
              <w:ind w:firstLine="1200" w:firstLineChars="500"/>
              <w:jc w:val="left"/>
              <w:rPr>
                <w:rFonts w:ascii="Times New Roman" w:hAnsi="Times New Roman"/>
              </w:rPr>
            </w:pPr>
            <w:r>
              <w:rPr>
                <w:rFonts w:ascii="Times New Roman" w:hAnsi="Times New Roman"/>
              </w:rPr>
              <w:t>C</w:t>
            </w:r>
            <w:r>
              <w:rPr>
                <w:rFonts w:ascii="Times New Roman" w:hAnsi="Times New Roman"/>
                <w:vertAlign w:val="subscript"/>
              </w:rPr>
              <w:t>m</w:t>
            </w:r>
            <w:r>
              <w:rPr>
                <w:rFonts w:ascii="Times New Roman" w:hAnsi="Times New Roman"/>
              </w:rPr>
              <w:t>—</w:t>
            </w:r>
            <w:r>
              <w:rPr>
                <w:rFonts w:hint="eastAsia" w:ascii="Times New Roman" w:hAnsi="Times New Roman"/>
              </w:rPr>
              <w:t>大气</w:t>
            </w:r>
            <w:r>
              <w:rPr>
                <w:rFonts w:ascii="Times New Roman" w:hAnsi="Times New Roman"/>
              </w:rPr>
              <w:t>有害</w:t>
            </w:r>
            <w:r>
              <w:rPr>
                <w:rFonts w:hint="eastAsia" w:ascii="Times New Roman" w:hAnsi="Times New Roman"/>
              </w:rPr>
              <w:t>物质环境空气质量的</w:t>
            </w:r>
            <w:r>
              <w:rPr>
                <w:rFonts w:ascii="Times New Roman" w:hAnsi="Times New Roman"/>
              </w:rPr>
              <w:t>标准限值，</w:t>
            </w:r>
            <w:r>
              <w:rPr>
                <w:rFonts w:hint="eastAsia" w:ascii="Times New Roman" w:hAnsi="Times New Roman"/>
              </w:rPr>
              <w:t>单位为</w:t>
            </w:r>
            <w:r>
              <w:rPr>
                <w:rFonts w:ascii="Times New Roman" w:hAnsi="Times New Roman"/>
              </w:rPr>
              <w:t>mg/m</w:t>
            </w:r>
            <w:r>
              <w:rPr>
                <w:rFonts w:ascii="Times New Roman" w:hAnsi="Times New Roman"/>
                <w:vertAlign w:val="superscript"/>
              </w:rPr>
              <w:t>3</w:t>
            </w:r>
            <w:r>
              <w:rPr>
                <w:rFonts w:ascii="Times New Roman" w:hAnsi="Times New Roman"/>
              </w:rPr>
              <w:t>。</w:t>
            </w:r>
          </w:p>
          <w:p>
            <w:pPr>
              <w:widowControl/>
              <w:spacing w:line="440" w:lineRule="exact"/>
              <w:ind w:firstLine="1200" w:firstLineChars="500"/>
              <w:jc w:val="left"/>
              <w:rPr>
                <w:rFonts w:ascii="Times New Roman" w:hAnsi="Times New Roman"/>
              </w:rPr>
            </w:pPr>
            <w:r>
              <w:rPr>
                <w:rFonts w:ascii="Times New Roman" w:hAnsi="Times New Roman"/>
              </w:rPr>
              <w:t>L—</w:t>
            </w:r>
            <w:r>
              <w:rPr>
                <w:rFonts w:hint="eastAsia" w:ascii="Times New Roman" w:hAnsi="Times New Roman"/>
              </w:rPr>
              <w:t>大气</w:t>
            </w:r>
            <w:r>
              <w:rPr>
                <w:rFonts w:ascii="Times New Roman" w:hAnsi="Times New Roman"/>
              </w:rPr>
              <w:t>有害</w:t>
            </w:r>
            <w:r>
              <w:rPr>
                <w:rFonts w:hint="eastAsia" w:ascii="Times New Roman" w:hAnsi="Times New Roman"/>
              </w:rPr>
              <w:t>物质卫生防护距离初值，单位为</w:t>
            </w:r>
            <w:r>
              <w:rPr>
                <w:rFonts w:ascii="Times New Roman" w:hAnsi="Times New Roman"/>
              </w:rPr>
              <w:t>m。</w:t>
            </w:r>
          </w:p>
          <w:p>
            <w:pPr>
              <w:widowControl/>
              <w:spacing w:line="440" w:lineRule="exact"/>
              <w:ind w:firstLine="1200" w:firstLineChars="500"/>
              <w:jc w:val="left"/>
              <w:rPr>
                <w:rFonts w:ascii="Times New Roman" w:hAnsi="Times New Roman"/>
              </w:rPr>
            </w:pPr>
            <w:r>
              <w:rPr>
                <w:rFonts w:ascii="Times New Roman" w:hAnsi="Times New Roman"/>
              </w:rPr>
              <w:t>r—</w:t>
            </w:r>
            <w:r>
              <w:rPr>
                <w:rFonts w:hint="eastAsia" w:ascii="Times New Roman" w:hAnsi="Times New Roman"/>
              </w:rPr>
              <w:t>大气</w:t>
            </w:r>
            <w:r>
              <w:rPr>
                <w:rFonts w:ascii="Times New Roman" w:hAnsi="Times New Roman"/>
              </w:rPr>
              <w:t>有害</w:t>
            </w:r>
            <w:r>
              <w:rPr>
                <w:rFonts w:hint="eastAsia" w:ascii="Times New Roman" w:hAnsi="Times New Roman"/>
              </w:rPr>
              <w:t>物质</w:t>
            </w:r>
            <w:r>
              <w:rPr>
                <w:rFonts w:ascii="Times New Roman" w:hAnsi="Times New Roman"/>
              </w:rPr>
              <w:t>无组织排放源所在生产单元的等效半径，</w:t>
            </w:r>
            <w:r>
              <w:rPr>
                <w:rFonts w:hint="eastAsia" w:ascii="Times New Roman" w:hAnsi="Times New Roman"/>
              </w:rPr>
              <w:t>单位为</w:t>
            </w:r>
            <w:r>
              <w:rPr>
                <w:rFonts w:ascii="Times New Roman" w:hAnsi="Times New Roman"/>
              </w:rPr>
              <w:t>m。</w:t>
            </w:r>
          </w:p>
          <w:p>
            <w:pPr>
              <w:widowControl/>
              <w:spacing w:line="440" w:lineRule="exact"/>
              <w:ind w:firstLine="1200" w:firstLineChars="500"/>
              <w:jc w:val="left"/>
              <w:rPr>
                <w:rFonts w:ascii="Times New Roman" w:hAnsi="Times New Roman"/>
              </w:rPr>
            </w:pPr>
            <w:r>
              <w:rPr>
                <w:rFonts w:ascii="Times New Roman" w:hAnsi="Times New Roman"/>
              </w:rPr>
              <w:t>A、B、C、D—</w:t>
            </w:r>
            <w:r>
              <w:rPr>
                <w:rFonts w:hint="eastAsia" w:ascii="Times New Roman" w:hAnsi="Times New Roman"/>
              </w:rPr>
              <w:t>卫生</w:t>
            </w:r>
            <w:r>
              <w:rPr>
                <w:rFonts w:ascii="Times New Roman" w:hAnsi="Times New Roman"/>
              </w:rPr>
              <w:t>防护距离</w:t>
            </w:r>
            <w:r>
              <w:rPr>
                <w:rFonts w:hint="eastAsia" w:ascii="Times New Roman" w:hAnsi="Times New Roman"/>
              </w:rPr>
              <w:t>初值</w:t>
            </w:r>
            <w:r>
              <w:rPr>
                <w:rFonts w:ascii="Times New Roman" w:hAnsi="Times New Roman"/>
              </w:rPr>
              <w:t>计算系数</w:t>
            </w:r>
            <w:r>
              <w:rPr>
                <w:rFonts w:hint="eastAsia" w:ascii="Times New Roman" w:hAnsi="Times New Roman"/>
              </w:rPr>
              <w:t>，无因次，根据工业企业所在地区近5年平均风速及大气污染源构成类别从</w:t>
            </w:r>
            <w:r>
              <w:rPr>
                <w:rFonts w:ascii="Times New Roman" w:hAnsi="Times New Roman"/>
              </w:rPr>
              <w:t>GB/T39499-2020《</w:t>
            </w:r>
            <w:r>
              <w:rPr>
                <w:rFonts w:hint="eastAsia" w:ascii="Times New Roman" w:hAnsi="Times New Roman"/>
              </w:rPr>
              <w:t>大气有害物质无组织排放卫生防护距离推导技术导则</w:t>
            </w:r>
            <w:r>
              <w:rPr>
                <w:rFonts w:ascii="Times New Roman" w:hAnsi="Times New Roman"/>
              </w:rPr>
              <w:t>》</w:t>
            </w:r>
            <w:r>
              <w:rPr>
                <w:rFonts w:hint="eastAsia" w:ascii="Times New Roman" w:hAnsi="Times New Roman"/>
              </w:rPr>
              <w:t>中表1查取。</w:t>
            </w:r>
          </w:p>
          <w:p>
            <w:pPr>
              <w:widowControl/>
              <w:spacing w:line="420" w:lineRule="exact"/>
              <w:ind w:firstLine="480"/>
              <w:jc w:val="left"/>
              <w:rPr>
                <w:rFonts w:ascii="Times New Roman" w:hAnsi="Times New Roman"/>
              </w:rPr>
            </w:pPr>
            <w:r>
              <w:rPr>
                <w:rFonts w:hint="eastAsia" w:ascii="Times New Roman" w:hAnsi="Times New Roman"/>
              </w:rPr>
              <w:t>本项目卫生防护距离初值计算</w:t>
            </w:r>
            <w:r>
              <w:rPr>
                <w:rFonts w:ascii="Times New Roman" w:hAnsi="Times New Roman"/>
              </w:rPr>
              <w:t>参数选取及计算结果见下表。</w:t>
            </w:r>
          </w:p>
          <w:p>
            <w:pPr>
              <w:pStyle w:val="34"/>
              <w:spacing w:before="120" w:line="440" w:lineRule="exact"/>
              <w:ind w:firstLine="422"/>
              <w:rPr>
                <w:rFonts w:ascii="Times New Roman" w:hAnsi="Times New Roman"/>
                <w:b/>
                <w:bCs/>
                <w:sz w:val="21"/>
                <w:szCs w:val="21"/>
              </w:rPr>
            </w:pPr>
            <w:r>
              <w:rPr>
                <w:rFonts w:hint="eastAsia" w:ascii="Times New Roman" w:hAnsi="Times New Roman"/>
                <w:b/>
                <w:bCs/>
                <w:sz w:val="21"/>
                <w:szCs w:val="21"/>
              </w:rPr>
              <w:t>表4.2-4卫生</w:t>
            </w:r>
            <w:r>
              <w:rPr>
                <w:rFonts w:ascii="Times New Roman" w:hAnsi="Times New Roman"/>
                <w:b/>
                <w:bCs/>
                <w:sz w:val="21"/>
                <w:szCs w:val="21"/>
              </w:rPr>
              <w:t>防护距离计算参数及计算结果一览表</w:t>
            </w:r>
          </w:p>
          <w:tbl>
            <w:tblPr>
              <w:tblStyle w:val="25"/>
              <w:tblW w:w="8734" w:type="dxa"/>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364"/>
              <w:gridCol w:w="911"/>
              <w:gridCol w:w="1215"/>
              <w:gridCol w:w="1053"/>
              <w:gridCol w:w="761"/>
              <w:gridCol w:w="586"/>
              <w:gridCol w:w="761"/>
              <w:gridCol w:w="642"/>
              <w:gridCol w:w="642"/>
              <w:gridCol w:w="799"/>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widowControl/>
                    <w:spacing w:line="240" w:lineRule="atLeast"/>
                    <w:jc w:val="center"/>
                    <w:rPr>
                      <w:rFonts w:ascii="Times New Roman" w:hAnsi="Times New Roman"/>
                      <w:sz w:val="18"/>
                      <w:szCs w:val="18"/>
                    </w:rPr>
                  </w:pPr>
                  <w:r>
                    <w:rPr>
                      <w:rFonts w:ascii="Times New Roman" w:hAnsi="Times New Roman"/>
                      <w:sz w:val="18"/>
                      <w:szCs w:val="18"/>
                    </w:rPr>
                    <w:t>面源</w:t>
                  </w:r>
                </w:p>
              </w:tc>
              <w:tc>
                <w:tcPr>
                  <w:tcW w:w="911" w:type="dxa"/>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污染物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vertAlign w:val="subscript"/>
                    </w:rPr>
                    <w:t>m</w:t>
                  </w:r>
                  <w:r>
                    <w:rPr>
                      <w:rFonts w:ascii="Times New Roman" w:hAnsi="Times New Roman"/>
                      <w:sz w:val="18"/>
                      <w:szCs w:val="18"/>
                    </w:rPr>
                    <w:t>(mg/m</w:t>
                  </w:r>
                  <w:r>
                    <w:rPr>
                      <w:rFonts w:ascii="Times New Roman" w:hAnsi="Times New Roman"/>
                      <w:sz w:val="18"/>
                      <w:szCs w:val="18"/>
                      <w:vertAlign w:val="superscript"/>
                    </w:rPr>
                    <w:t>3</w:t>
                  </w:r>
                  <w:r>
                    <w:rPr>
                      <w:rFonts w:ascii="Times New Roman" w:hAnsi="Times New Roman"/>
                      <w:sz w:val="18"/>
                      <w:szCs w:val="18"/>
                    </w:rPr>
                    <w:t>)</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Q</w:t>
                  </w:r>
                  <w:r>
                    <w:rPr>
                      <w:rFonts w:ascii="Times New Roman" w:hAnsi="Times New Roman"/>
                      <w:sz w:val="18"/>
                      <w:szCs w:val="18"/>
                      <w:vertAlign w:val="subscript"/>
                    </w:rPr>
                    <w:t>c</w:t>
                  </w:r>
                  <w:r>
                    <w:rPr>
                      <w:rFonts w:ascii="Times New Roman" w:hAnsi="Times New Roman"/>
                      <w:sz w:val="18"/>
                      <w:szCs w:val="18"/>
                    </w:rPr>
                    <w:t>(kg/h)</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r(m)</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A</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B</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C</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D</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ascii="Times New Roman" w:hAnsi="Times New Roman"/>
                      <w:sz w:val="18"/>
                      <w:szCs w:val="18"/>
                    </w:rPr>
                    <w:t>L(m)</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原料堆场</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0.56</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14.9</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70.13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尾渣堆场</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0.25</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10.56</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41.08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1364" w:type="dxa"/>
                  <w:vAlign w:val="center"/>
                </w:tcPr>
                <w:p>
                  <w:pPr>
                    <w:spacing w:line="240" w:lineRule="atLeast"/>
                    <w:jc w:val="center"/>
                    <w:textAlignment w:val="center"/>
                    <w:rPr>
                      <w:rFonts w:ascii="Times New Roman" w:hAnsi="Times New Roman"/>
                      <w:sz w:val="18"/>
                      <w:szCs w:val="18"/>
                    </w:rPr>
                  </w:pPr>
                  <w:r>
                    <w:rPr>
                      <w:rFonts w:hint="eastAsia" w:ascii="Times New Roman" w:hAnsi="Times New Roman"/>
                      <w:sz w:val="18"/>
                      <w:szCs w:val="18"/>
                    </w:rPr>
                    <w:t>破碎、筛分区（含铁粉仓）</w:t>
                  </w:r>
                </w:p>
              </w:tc>
              <w:tc>
                <w:tcPr>
                  <w:tcW w:w="911" w:type="dxa"/>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颗粒物</w:t>
                  </w:r>
                </w:p>
              </w:tc>
              <w:tc>
                <w:tcPr>
                  <w:tcW w:w="1215"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0.9</w:t>
                  </w:r>
                </w:p>
              </w:tc>
              <w:tc>
                <w:tcPr>
                  <w:tcW w:w="1053"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0.57</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23.94</w:t>
                  </w:r>
                </w:p>
              </w:tc>
              <w:tc>
                <w:tcPr>
                  <w:tcW w:w="586"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w:t>
                  </w:r>
                  <w:r>
                    <w:rPr>
                      <w:rFonts w:ascii="Times New Roman" w:hAnsi="Times New Roman"/>
                      <w:sz w:val="18"/>
                      <w:szCs w:val="18"/>
                    </w:rPr>
                    <w:t>00</w:t>
                  </w:r>
                </w:p>
              </w:tc>
              <w:tc>
                <w:tcPr>
                  <w:tcW w:w="761"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.010</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1</w:t>
                  </w:r>
                  <w:r>
                    <w:rPr>
                      <w:rFonts w:ascii="Times New Roman" w:hAnsi="Times New Roman"/>
                      <w:sz w:val="18"/>
                      <w:szCs w:val="18"/>
                    </w:rPr>
                    <w:t>.85</w:t>
                  </w:r>
                </w:p>
              </w:tc>
              <w:tc>
                <w:tcPr>
                  <w:tcW w:w="642"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0</w:t>
                  </w:r>
                  <w:r>
                    <w:rPr>
                      <w:rFonts w:ascii="Times New Roman" w:hAnsi="Times New Roman"/>
                      <w:sz w:val="18"/>
                      <w:szCs w:val="18"/>
                    </w:rPr>
                    <w:t>.78</w:t>
                  </w:r>
                </w:p>
              </w:tc>
              <w:tc>
                <w:tcPr>
                  <w:tcW w:w="799" w:type="dxa"/>
                  <w:shd w:val="clear" w:color="auto" w:fill="auto"/>
                  <w:vAlign w:val="center"/>
                </w:tcPr>
                <w:p>
                  <w:pPr>
                    <w:keepNext/>
                    <w:widowControl/>
                    <w:spacing w:line="240" w:lineRule="atLeast"/>
                    <w:jc w:val="center"/>
                    <w:rPr>
                      <w:rFonts w:ascii="Times New Roman" w:hAnsi="Times New Roman"/>
                      <w:sz w:val="18"/>
                      <w:szCs w:val="18"/>
                    </w:rPr>
                  </w:pPr>
                  <w:r>
                    <w:rPr>
                      <w:rFonts w:hint="eastAsia" w:ascii="Times New Roman" w:hAnsi="Times New Roman"/>
                      <w:sz w:val="18"/>
                      <w:szCs w:val="18"/>
                    </w:rPr>
                    <w:t>47.42</w:t>
                  </w:r>
                </w:p>
              </w:tc>
            </w:tr>
          </w:tbl>
          <w:p>
            <w:pPr>
              <w:widowControl/>
              <w:spacing w:line="440" w:lineRule="exact"/>
              <w:ind w:firstLine="480" w:firstLineChars="200"/>
              <w:jc w:val="left"/>
              <w:rPr>
                <w:rFonts w:ascii="Times New Roman" w:hAnsi="Times New Roman"/>
              </w:rPr>
            </w:pPr>
            <w:r>
              <w:rPr>
                <w:rFonts w:hint="eastAsia" w:ascii="Times New Roman" w:hAnsi="Times New Roman"/>
              </w:rPr>
              <w:t>②卫生防护距离终值确定</w:t>
            </w:r>
          </w:p>
          <w:p>
            <w:pPr>
              <w:widowControl/>
              <w:spacing w:line="400" w:lineRule="exact"/>
              <w:ind w:firstLine="480" w:firstLineChars="200"/>
              <w:jc w:val="left"/>
              <w:rPr>
                <w:rFonts w:ascii="Times New Roman" w:hAnsi="Times New Roman"/>
              </w:rPr>
            </w:pPr>
            <w:r>
              <w:rPr>
                <w:rFonts w:hint="eastAsia" w:ascii="Times New Roman" w:hAnsi="Times New Roman"/>
              </w:rPr>
              <w:t>根据</w:t>
            </w:r>
            <w:r>
              <w:rPr>
                <w:rFonts w:ascii="Times New Roman" w:hAnsi="Times New Roman"/>
              </w:rPr>
              <w:t>《</w:t>
            </w:r>
            <w:r>
              <w:rPr>
                <w:rFonts w:hint="eastAsia" w:ascii="Times New Roman" w:hAnsi="Times New Roman"/>
              </w:rPr>
              <w:t>大气有害物质无组织排放卫生防护距离推导技术导则</w:t>
            </w:r>
            <w:r>
              <w:rPr>
                <w:rFonts w:ascii="Times New Roman" w:hAnsi="Times New Roman"/>
              </w:rPr>
              <w:t>》</w:t>
            </w:r>
            <w:r>
              <w:rPr>
                <w:rFonts w:hint="eastAsia" w:ascii="Times New Roman" w:hAnsi="Times New Roman"/>
              </w:rPr>
              <w:t>（</w:t>
            </w:r>
            <w:r>
              <w:rPr>
                <w:rFonts w:ascii="Times New Roman" w:hAnsi="Times New Roman"/>
              </w:rPr>
              <w:t>GB/T39499-2020</w:t>
            </w:r>
            <w:r>
              <w:rPr>
                <w:rFonts w:hint="eastAsia" w:ascii="Times New Roman" w:hAnsi="Times New Roman"/>
              </w:rPr>
              <w:t>），卫生防护距离初值小于50m时，级差为50m。如计算初值小于50m，卫生防护距离终值取50 m。卫生防护距离初值大于或等于50m，但小于100m时，级差为50m。如计算初值大于或等于50m并小于100m时，卫生防护距离终值取 100m。</w:t>
            </w:r>
          </w:p>
          <w:p>
            <w:pPr>
              <w:widowControl/>
              <w:spacing w:line="400" w:lineRule="exact"/>
              <w:ind w:firstLine="480" w:firstLineChars="200"/>
              <w:jc w:val="left"/>
              <w:rPr>
                <w:rFonts w:ascii="Times New Roman" w:hAnsi="Times New Roman"/>
              </w:rPr>
            </w:pPr>
            <w:r>
              <w:rPr>
                <w:rFonts w:hint="eastAsia" w:ascii="Times New Roman" w:hAnsi="Times New Roman"/>
              </w:rPr>
              <w:t>本项目面源为原料堆场、尾渣堆场、破碎筛分区（含铁粉仓），根据卫生防护距离计算，本项目原料堆场、尾渣堆场、破碎筛分区卫生防护距离分别取100m、50m、50m。</w:t>
            </w:r>
          </w:p>
          <w:p>
            <w:pPr>
              <w:spacing w:line="420" w:lineRule="atLeast"/>
              <w:ind w:left="480" w:leftChars="200"/>
              <w:rPr>
                <w:shd w:val="clear" w:color="auto" w:fill="FFFFFF"/>
              </w:rPr>
            </w:pPr>
            <w:r>
              <w:rPr>
                <w:rFonts w:hint="eastAsia"/>
                <w:shd w:val="clear" w:color="auto" w:fill="FFFFFF"/>
              </w:rPr>
              <w:t>（3）</w:t>
            </w:r>
            <w:r>
              <w:rPr>
                <w:shd w:val="clear" w:color="auto" w:fill="FFFFFF"/>
              </w:rPr>
              <w:t>环境防护距离确定</w:t>
            </w:r>
          </w:p>
          <w:p>
            <w:pPr>
              <w:widowControl/>
              <w:spacing w:line="400" w:lineRule="exact"/>
              <w:ind w:firstLine="480" w:firstLineChars="200"/>
              <w:jc w:val="left"/>
              <w:rPr>
                <w:rFonts w:ascii="宋体" w:hAnsi="宋体"/>
              </w:rPr>
            </w:pPr>
            <w:r>
              <w:rPr>
                <w:shd w:val="clear" w:color="auto" w:fill="FFFFFF"/>
              </w:rPr>
              <w:t>综合考虑项目大气环境防护距离和卫生防护距离的核算结果，确定</w:t>
            </w:r>
            <w:r>
              <w:rPr>
                <w:kern w:val="0"/>
                <w:shd w:val="clear" w:color="auto" w:fill="FFFFFF"/>
              </w:rPr>
              <w:t>项目环境防护距离</w:t>
            </w:r>
            <w:r>
              <w:rPr>
                <w:rFonts w:hint="eastAsia"/>
                <w:kern w:val="0"/>
                <w:shd w:val="clear" w:color="auto" w:fill="FFFFFF"/>
              </w:rPr>
              <w:t>为</w:t>
            </w:r>
            <w:r>
              <w:rPr>
                <w:rFonts w:hint="eastAsia" w:ascii="Times New Roman" w:hAnsi="Times New Roman"/>
              </w:rPr>
              <w:t>原料堆场、尾渣堆场、破碎筛分区外100m、50m、50m</w:t>
            </w:r>
            <w:r>
              <w:rPr>
                <w:rFonts w:hint="eastAsia"/>
                <w:kern w:val="0"/>
                <w:shd w:val="clear" w:color="auto" w:fill="FFFFFF"/>
              </w:rPr>
              <w: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2</w:t>
            </w:r>
            <w:r>
              <w:rPr>
                <w:rFonts w:ascii="Times New Roman" w:hAnsi="Times New Roman" w:eastAsia="黑体"/>
                <w:b/>
                <w:bCs/>
              </w:rPr>
              <w:t>.4影响分析</w:t>
            </w:r>
          </w:p>
          <w:p>
            <w:pPr>
              <w:spacing w:line="420" w:lineRule="atLeast"/>
              <w:ind w:firstLine="480" w:firstLineChars="200"/>
            </w:pPr>
            <w:r>
              <w:t>项目周边主要为山林地，</w:t>
            </w:r>
            <w:r>
              <w:rPr>
                <w:rFonts w:hint="eastAsia"/>
              </w:rPr>
              <w:t>植被主要为杉木等当地常见植被。</w:t>
            </w:r>
            <w:r>
              <w:rPr>
                <w:rFonts w:hint="eastAsia" w:ascii="Times New Roman" w:hAnsi="Times New Roman" w:cs="宋体"/>
                <w:shd w:val="clear" w:color="auto" w:fill="FFFFFF"/>
                <w:lang w:bidi="ar"/>
              </w:rPr>
              <w:t>预测结果表明，本项目采取相应污染防治措施后，废气正常排放时，最大地面浓度占标率小于</w:t>
            </w:r>
            <w:r>
              <w:rPr>
                <w:rFonts w:ascii="Times New Roman" w:hAnsi="Times New Roman"/>
                <w:shd w:val="clear" w:color="auto" w:fill="FFFFFF"/>
                <w:lang w:bidi="ar"/>
              </w:rPr>
              <w:t>10%</w:t>
            </w:r>
            <w:r>
              <w:rPr>
                <w:rFonts w:hint="eastAsia" w:ascii="Times New Roman" w:hAnsi="Times New Roman" w:cs="宋体"/>
                <w:shd w:val="clear" w:color="auto" w:fill="FFFFFF"/>
                <w:lang w:bidi="ar"/>
              </w:rPr>
              <w:t>，对周边大气环境影响不大。</w:t>
            </w:r>
            <w:r>
              <w:rPr>
                <w:rFonts w:hint="eastAsia" w:ascii="Times New Roman" w:hAnsi="Times New Roman"/>
                <w:shd w:val="clear" w:color="auto" w:fill="FFFFFF"/>
                <w:lang w:bidi="ar"/>
              </w:rPr>
              <w:t>根据项目周边用地现状及规划用地类型，项目环境防护距离范围内不涉及居民住宅、学校、医院等敏感目标</w:t>
            </w:r>
            <w:r>
              <w:t>。距离项目最近的敏感点为</w:t>
            </w:r>
            <w:r>
              <w:rPr>
                <w:rFonts w:hint="eastAsia"/>
              </w:rPr>
              <w:t>西北</w:t>
            </w:r>
            <w:r>
              <w:t>侧距离约</w:t>
            </w:r>
            <w:r>
              <w:rPr>
                <w:rFonts w:hint="eastAsia"/>
              </w:rPr>
              <w:t>240m</w:t>
            </w:r>
            <w:r>
              <w:t>的</w:t>
            </w:r>
            <w:r>
              <w:rPr>
                <w:rFonts w:hint="eastAsia"/>
              </w:rPr>
              <w:t>大石村零散居民点</w:t>
            </w:r>
            <w:r>
              <w:t>，</w:t>
            </w:r>
            <w:r>
              <w:rPr>
                <w:rFonts w:hint="eastAsia"/>
              </w:rPr>
              <w:t>大石村</w:t>
            </w:r>
            <w:r>
              <w:t>与本项目所在厂房之间有山体及植被阻隔。项目废气主要为堆场和生产过程中产生的粉尘，采取本环评提出的相应控制措施后对周围环境的影响较小。</w:t>
            </w:r>
          </w:p>
          <w:p>
            <w:pPr>
              <w:pStyle w:val="17"/>
              <w:spacing w:line="420" w:lineRule="exact"/>
              <w:ind w:left="480"/>
              <w:rPr>
                <w:rFonts w:ascii="Times New Roman" w:hAnsi="Times New Roman"/>
              </w:rPr>
            </w:pPr>
            <w:r>
              <w:rPr>
                <w:rFonts w:ascii="Times New Roman" w:hAnsi="Times New Roman"/>
              </w:rPr>
              <w:t>综上，项目对周围大气环境影响较小。</w:t>
            </w:r>
          </w:p>
          <w:p>
            <w:pPr>
              <w:pStyle w:val="17"/>
              <w:spacing w:line="420" w:lineRule="exact"/>
              <w:ind w:left="480"/>
              <w:rPr>
                <w:rFonts w:ascii="Times New Roman" w:hAnsi="Times New Roman"/>
              </w:rPr>
            </w:pP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3废水</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3.1废水源强核算</w:t>
            </w:r>
          </w:p>
          <w:p>
            <w:pPr>
              <w:pStyle w:val="46"/>
              <w:rPr>
                <w:color w:val="auto"/>
              </w:rPr>
            </w:pPr>
            <w:r>
              <w:rPr>
                <w:rFonts w:hint="eastAsia"/>
                <w:color w:val="auto"/>
              </w:rPr>
              <w:t>（1）生产废水</w:t>
            </w:r>
          </w:p>
          <w:p>
            <w:pPr>
              <w:pStyle w:val="46"/>
              <w:rPr>
                <w:color w:val="auto"/>
              </w:rPr>
            </w:pPr>
            <w:r>
              <w:rPr>
                <w:rFonts w:hint="eastAsia"/>
                <w:color w:val="auto"/>
              </w:rPr>
              <w:t>项目废水主要来源于铁粉堆干产生的渗滤水、浓缩罐产生的废水、板框压滤产生的废水，根据水平衡分析，渗滤水、浓缩罐废水、板框压滤废水产生量分别为61.3m</w:t>
            </w:r>
            <w:r>
              <w:rPr>
                <w:rFonts w:hint="eastAsia"/>
                <w:color w:val="auto"/>
                <w:vertAlign w:val="superscript"/>
              </w:rPr>
              <w:t>3</w:t>
            </w:r>
            <w:r>
              <w:rPr>
                <w:rFonts w:hint="eastAsia"/>
                <w:color w:val="auto"/>
              </w:rPr>
              <w:t>/d，55.81m</w:t>
            </w:r>
            <w:r>
              <w:rPr>
                <w:rFonts w:hint="eastAsia"/>
                <w:color w:val="auto"/>
                <w:vertAlign w:val="superscript"/>
              </w:rPr>
              <w:t>3</w:t>
            </w:r>
            <w:r>
              <w:rPr>
                <w:rFonts w:hint="eastAsia"/>
                <w:color w:val="auto"/>
              </w:rPr>
              <w:t>/d，2.97m</w:t>
            </w:r>
            <w:r>
              <w:rPr>
                <w:rFonts w:hint="eastAsia"/>
                <w:color w:val="auto"/>
                <w:vertAlign w:val="superscript"/>
              </w:rPr>
              <w:t>3</w:t>
            </w:r>
            <w:r>
              <w:rPr>
                <w:rFonts w:hint="eastAsia"/>
                <w:color w:val="auto"/>
              </w:rPr>
              <w:t>/d，合计120.08m</w:t>
            </w:r>
            <w:r>
              <w:rPr>
                <w:rFonts w:hint="eastAsia"/>
                <w:color w:val="auto"/>
                <w:vertAlign w:val="superscript"/>
              </w:rPr>
              <w:t>3</w:t>
            </w:r>
            <w:r>
              <w:rPr>
                <w:rFonts w:hint="eastAsia"/>
                <w:color w:val="auto"/>
              </w:rPr>
              <w:t>/d。生产废水污染物主要是SS和石油类。</w:t>
            </w:r>
          </w:p>
          <w:p>
            <w:pPr>
              <w:pStyle w:val="46"/>
              <w:rPr>
                <w:color w:val="auto"/>
              </w:rPr>
            </w:pPr>
            <w:r>
              <w:rPr>
                <w:rFonts w:hint="eastAsia"/>
                <w:color w:val="auto"/>
              </w:rPr>
              <w:t>生产废水经过“隔油+沉淀”处理后回用于湿式球磨、湿式磁选工序（120.06m</w:t>
            </w:r>
            <w:r>
              <w:rPr>
                <w:rFonts w:hint="eastAsia"/>
                <w:color w:val="auto"/>
                <w:vertAlign w:val="superscript"/>
              </w:rPr>
              <w:t>3</w:t>
            </w:r>
            <w:r>
              <w:rPr>
                <w:rFonts w:hint="eastAsia"/>
                <w:color w:val="auto"/>
              </w:rPr>
              <w:t>/d），少部分（0.02m</w:t>
            </w:r>
            <w:r>
              <w:rPr>
                <w:rFonts w:hint="eastAsia"/>
                <w:color w:val="auto"/>
                <w:vertAlign w:val="superscript"/>
              </w:rPr>
              <w:t>3</w:t>
            </w:r>
            <w:r>
              <w:rPr>
                <w:rFonts w:hint="eastAsia"/>
                <w:color w:val="auto"/>
              </w:rPr>
              <w:t>/d）被污泥带走。</w:t>
            </w:r>
          </w:p>
          <w:p>
            <w:pPr>
              <w:pStyle w:val="46"/>
              <w:rPr>
                <w:color w:val="auto"/>
              </w:rPr>
            </w:pPr>
            <w:r>
              <w:rPr>
                <w:rFonts w:hint="eastAsia"/>
                <w:color w:val="auto"/>
              </w:rPr>
              <w:t>（2）生活污水</w:t>
            </w:r>
          </w:p>
          <w:p>
            <w:pPr>
              <w:spacing w:line="440" w:lineRule="exact"/>
              <w:ind w:firstLine="480" w:firstLineChars="200"/>
              <w:rPr>
                <w:rFonts w:ascii="Times New Roman" w:hAnsi="Times New Roman"/>
              </w:rPr>
            </w:pPr>
            <w:r>
              <w:rPr>
                <w:rFonts w:ascii="Times New Roman" w:hAnsi="Times New Roman"/>
              </w:rPr>
              <w:t>项目职工定员</w:t>
            </w:r>
            <w:r>
              <w:rPr>
                <w:rFonts w:hint="eastAsia" w:ascii="Times New Roman" w:hAnsi="Times New Roman"/>
              </w:rPr>
              <w:t>10</w:t>
            </w:r>
            <w:r>
              <w:rPr>
                <w:rFonts w:ascii="Times New Roman" w:hAnsi="Times New Roman"/>
              </w:rPr>
              <w:t>人，均不住厂，</w:t>
            </w:r>
            <w:r>
              <w:rPr>
                <w:rFonts w:hint="eastAsia"/>
              </w:rPr>
              <w:t>参照《室外给水设计标准》</w:t>
            </w:r>
            <w:r>
              <w:rPr>
                <w:rFonts w:hint="eastAsia" w:ascii="Times New Roman" w:hAnsi="Times New Roman"/>
              </w:rPr>
              <w:t>（GB50013-2018）</w:t>
            </w:r>
            <w:r>
              <w:rPr>
                <w:rFonts w:hint="eastAsia"/>
              </w:rPr>
              <w:t>及《建筑给排水设计标准》</w:t>
            </w:r>
            <w:r>
              <w:rPr>
                <w:rFonts w:hint="eastAsia" w:ascii="Times New Roman" w:hAnsi="Times New Roman"/>
              </w:rPr>
              <w:t>（GB50015-2019）</w:t>
            </w:r>
            <w:r>
              <w:rPr>
                <w:rFonts w:hint="eastAsia"/>
              </w:rPr>
              <w:t>等有关规定，不住厂职工生活用水量定额取</w:t>
            </w:r>
            <w:r>
              <w:t>50L/d</w:t>
            </w:r>
            <w:r>
              <w:rPr>
                <w:rFonts w:hint="eastAsia"/>
              </w:rPr>
              <w:t>·人</w:t>
            </w:r>
            <w:r>
              <w:rPr>
                <w:rFonts w:ascii="Times New Roman" w:hAnsi="Times New Roman"/>
              </w:rPr>
              <w:t>，那么项目生活用水量约为0.</w:t>
            </w:r>
            <w:r>
              <w:rPr>
                <w:rFonts w:hint="eastAsia" w:ascii="Times New Roman" w:hAnsi="Times New Roman"/>
              </w:rPr>
              <w:t>5</w:t>
            </w:r>
            <w:r>
              <w:rPr>
                <w:rFonts w:ascii="Times New Roman" w:hAnsi="Times New Roman"/>
              </w:rPr>
              <w:t>m</w:t>
            </w:r>
            <w:r>
              <w:rPr>
                <w:rFonts w:ascii="Times New Roman" w:hAnsi="Times New Roman"/>
                <w:vertAlign w:val="superscript"/>
              </w:rPr>
              <w:t>3</w:t>
            </w:r>
            <w:r>
              <w:rPr>
                <w:rFonts w:ascii="Times New Roman" w:hAnsi="Times New Roman"/>
              </w:rPr>
              <w:t>/d，按年工作300天计，则生活用水量为</w:t>
            </w:r>
            <w:r>
              <w:rPr>
                <w:rFonts w:hint="eastAsia" w:ascii="Times New Roman" w:hAnsi="Times New Roman"/>
              </w:rPr>
              <w:t>150</w:t>
            </w:r>
            <w:r>
              <w:rPr>
                <w:rFonts w:ascii="Times New Roman" w:hAnsi="Times New Roman"/>
              </w:rPr>
              <w:t>m</w:t>
            </w:r>
            <w:r>
              <w:rPr>
                <w:rFonts w:ascii="Times New Roman" w:hAnsi="Times New Roman"/>
                <w:vertAlign w:val="superscript"/>
              </w:rPr>
              <w:t>3</w:t>
            </w:r>
            <w:r>
              <w:rPr>
                <w:rFonts w:ascii="Times New Roman" w:hAnsi="Times New Roman"/>
              </w:rPr>
              <w:t>/a。排污系数取0.9，则项目生活污水排放量约为</w:t>
            </w:r>
            <w:r>
              <w:rPr>
                <w:rFonts w:hint="eastAsia" w:ascii="Times New Roman" w:hAnsi="Times New Roman"/>
              </w:rPr>
              <w:t>135</w:t>
            </w:r>
            <w:r>
              <w:rPr>
                <w:rFonts w:ascii="Times New Roman" w:hAnsi="Times New Roman"/>
              </w:rPr>
              <w:t>m</w:t>
            </w:r>
            <w:r>
              <w:rPr>
                <w:rFonts w:ascii="Times New Roman" w:hAnsi="Times New Roman"/>
                <w:vertAlign w:val="superscript"/>
              </w:rPr>
              <w:t>3</w:t>
            </w:r>
            <w:r>
              <w:rPr>
                <w:rFonts w:ascii="Times New Roman" w:hAnsi="Times New Roman"/>
              </w:rPr>
              <w:t>/a（0.</w:t>
            </w:r>
            <w:r>
              <w:rPr>
                <w:rFonts w:hint="eastAsia" w:ascii="Times New Roman" w:hAnsi="Times New Roman"/>
              </w:rPr>
              <w:t>45</w:t>
            </w:r>
            <w:r>
              <w:rPr>
                <w:rFonts w:ascii="Times New Roman" w:hAnsi="Times New Roman"/>
              </w:rPr>
              <w:t>m</w:t>
            </w:r>
            <w:r>
              <w:rPr>
                <w:rFonts w:ascii="Times New Roman" w:hAnsi="Times New Roman"/>
                <w:vertAlign w:val="superscript"/>
              </w:rPr>
              <w:t>3</w:t>
            </w:r>
            <w:r>
              <w:rPr>
                <w:rFonts w:ascii="Times New Roman" w:hAnsi="Times New Roman"/>
              </w:rPr>
              <w:t>/d）。</w:t>
            </w:r>
          </w:p>
          <w:p>
            <w:pPr>
              <w:spacing w:line="440" w:lineRule="exact"/>
              <w:ind w:firstLine="480" w:firstLineChars="200"/>
              <w:rPr>
                <w:rFonts w:ascii="Times New Roman" w:hAnsi="Times New Roman"/>
              </w:rPr>
            </w:pPr>
            <w:r>
              <w:rPr>
                <w:rFonts w:hint="eastAsia" w:ascii="Times New Roman" w:hAnsi="Times New Roman"/>
              </w:rPr>
              <w:t>生活污水经地埋式生活污水处理设施处理后用于周边山林地灌溉。</w:t>
            </w:r>
          </w:p>
          <w:p>
            <w:pPr>
              <w:pStyle w:val="46"/>
              <w:rPr>
                <w:color w:val="auto"/>
              </w:rPr>
            </w:pPr>
            <w:r>
              <w:rPr>
                <w:rFonts w:hint="eastAsia"/>
                <w:color w:val="auto"/>
              </w:rPr>
              <w:t>（3）初期雨水</w:t>
            </w:r>
          </w:p>
          <w:p>
            <w:pPr>
              <w:pStyle w:val="46"/>
              <w:rPr>
                <w:color w:val="auto"/>
              </w:rPr>
            </w:pPr>
            <w:r>
              <w:rPr>
                <w:rFonts w:hint="eastAsia"/>
                <w:color w:val="auto"/>
              </w:rPr>
              <w:t>本项目初期雨水主要收集原料仓库顶棚及厂区内道路区域的初期雨水，汇水面积约900m</w:t>
            </w:r>
            <w:r>
              <w:rPr>
                <w:rFonts w:hint="eastAsia"/>
                <w:color w:val="auto"/>
                <w:vertAlign w:val="superscript"/>
              </w:rPr>
              <w:t>2</w:t>
            </w:r>
            <w:r>
              <w:rPr>
                <w:rFonts w:hint="eastAsia"/>
                <w:color w:val="auto"/>
              </w:rPr>
              <w:t>，根据前文水平衡分析，</w:t>
            </w:r>
            <w:r>
              <w:rPr>
                <w:bCs/>
                <w:color w:val="auto"/>
              </w:rPr>
              <w:t>初期雨水产生量为</w:t>
            </w:r>
            <w:r>
              <w:rPr>
                <w:rFonts w:hint="eastAsia"/>
                <w:bCs/>
                <w:color w:val="auto"/>
              </w:rPr>
              <w:t>900</w:t>
            </w:r>
            <w:r>
              <w:rPr>
                <w:bCs/>
                <w:color w:val="auto"/>
              </w:rPr>
              <w:t>t/a</w:t>
            </w:r>
            <w:r>
              <w:rPr>
                <w:rFonts w:hint="eastAsia"/>
                <w:bCs/>
                <w:color w:val="auto"/>
              </w:rPr>
              <w:t>（折算平均3m</w:t>
            </w:r>
            <w:r>
              <w:rPr>
                <w:rFonts w:hint="eastAsia"/>
                <w:bCs/>
                <w:color w:val="auto"/>
                <w:vertAlign w:val="superscript"/>
              </w:rPr>
              <w:t>3</w:t>
            </w:r>
            <w:r>
              <w:rPr>
                <w:rFonts w:hint="eastAsia"/>
                <w:bCs/>
                <w:color w:val="auto"/>
              </w:rPr>
              <w:t>/d），初期雨水经初期雨水沉淀池沉淀后回用于球磨等工序，不外排。</w:t>
            </w:r>
          </w:p>
          <w:p>
            <w:pPr>
              <w:pStyle w:val="46"/>
              <w:rPr>
                <w:color w:val="auto"/>
              </w:rPr>
            </w:pPr>
            <w:r>
              <w:rPr>
                <w:rFonts w:hint="eastAsia"/>
                <w:color w:val="auto"/>
              </w:rPr>
              <w:t>（4）道路抑尘</w:t>
            </w:r>
          </w:p>
          <w:p>
            <w:pPr>
              <w:pStyle w:val="46"/>
              <w:rPr>
                <w:color w:val="auto"/>
              </w:rPr>
            </w:pPr>
            <w:r>
              <w:rPr>
                <w:rFonts w:hint="eastAsia"/>
                <w:color w:val="auto"/>
              </w:rPr>
              <w:t>道路通过洒水抑尘，每天洒水3次，洒水面积按照200m</w:t>
            </w:r>
            <w:r>
              <w:rPr>
                <w:rFonts w:hint="eastAsia"/>
                <w:color w:val="auto"/>
                <w:vertAlign w:val="superscript"/>
              </w:rPr>
              <w:t>2</w:t>
            </w:r>
            <w:r>
              <w:rPr>
                <w:rFonts w:hint="eastAsia"/>
                <w:color w:val="auto"/>
              </w:rPr>
              <w:t>计，洒水用水量为1.5L/m</w:t>
            </w:r>
            <w:r>
              <w:rPr>
                <w:rFonts w:hint="eastAsia"/>
                <w:color w:val="auto"/>
                <w:vertAlign w:val="superscript"/>
              </w:rPr>
              <w:t>2</w:t>
            </w:r>
            <w:r>
              <w:rPr>
                <w:rFonts w:hint="eastAsia"/>
                <w:color w:val="auto"/>
              </w:rPr>
              <w:t>·次，道路抑尘用水量为0.9m</w:t>
            </w:r>
            <w:r>
              <w:rPr>
                <w:rFonts w:hint="eastAsia"/>
                <w:color w:val="auto"/>
                <w:vertAlign w:val="superscript"/>
              </w:rPr>
              <w:t>3</w:t>
            </w:r>
            <w:r>
              <w:rPr>
                <w:rFonts w:hint="eastAsia"/>
                <w:color w:val="auto"/>
              </w:rPr>
              <w:t>/d，道路抑尘浇洒水全部挥发。</w:t>
            </w:r>
          </w:p>
          <w:p>
            <w:pPr>
              <w:pStyle w:val="46"/>
              <w:numPr>
                <w:ilvl w:val="0"/>
                <w:numId w:val="13"/>
              </w:numPr>
              <w:rPr>
                <w:color w:val="auto"/>
              </w:rPr>
            </w:pPr>
            <w:r>
              <w:rPr>
                <w:rFonts w:hint="eastAsia"/>
                <w:color w:val="auto"/>
              </w:rPr>
              <w:t>绿化水</w:t>
            </w:r>
          </w:p>
          <w:p>
            <w:pPr>
              <w:spacing w:line="440" w:lineRule="exact"/>
              <w:ind w:firstLine="480" w:firstLineChars="200"/>
              <w:rPr>
                <w:rFonts w:ascii="Times New Roman" w:hAnsi="Times New Roman"/>
              </w:rPr>
            </w:pPr>
            <w:r>
              <w:rPr>
                <w:rFonts w:hint="eastAsia" w:ascii="Times New Roman" w:hAnsi="Times New Roman"/>
              </w:rPr>
              <w:t>根据</w:t>
            </w:r>
            <w:r>
              <w:rPr>
                <w:rFonts w:ascii="Times New Roman" w:hAnsi="Times New Roman"/>
              </w:rPr>
              <w:t>《建筑给水排水设计</w:t>
            </w:r>
            <w:r>
              <w:rPr>
                <w:rFonts w:hint="eastAsia" w:ascii="Times New Roman" w:hAnsi="Times New Roman"/>
              </w:rPr>
              <w:t>标准</w:t>
            </w:r>
            <w:r>
              <w:rPr>
                <w:rFonts w:ascii="Times New Roman" w:hAnsi="Times New Roman"/>
              </w:rPr>
              <w:t>》</w:t>
            </w:r>
            <w:r>
              <w:rPr>
                <w:rFonts w:hint="eastAsia" w:ascii="Times New Roman" w:hAnsi="Times New Roman"/>
              </w:rPr>
              <w:t>（</w:t>
            </w:r>
            <w:r>
              <w:rPr>
                <w:rFonts w:ascii="Times New Roman" w:hAnsi="Times New Roman"/>
              </w:rPr>
              <w:t>GB50015-20</w:t>
            </w:r>
            <w:r>
              <w:rPr>
                <w:rFonts w:hint="eastAsia" w:ascii="Times New Roman" w:hAnsi="Times New Roman"/>
              </w:rPr>
              <w:t>19）3.2.3章节，绿化用水量日用水定额可按浇灌面积为1-3L/m</w:t>
            </w:r>
            <w:r>
              <w:rPr>
                <w:rFonts w:hint="eastAsia" w:ascii="Times New Roman" w:hAnsi="Times New Roman"/>
                <w:vertAlign w:val="superscript"/>
              </w:rPr>
              <w:t>2</w:t>
            </w:r>
            <w:r>
              <w:rPr>
                <w:rFonts w:hint="eastAsia" w:ascii="Times New Roman" w:hAnsi="Times New Roman"/>
              </w:rPr>
              <w:t>·d计算，保守起见，本项目按2L/m</w:t>
            </w:r>
            <w:r>
              <w:rPr>
                <w:rFonts w:hint="eastAsia" w:ascii="Times New Roman" w:hAnsi="Times New Roman"/>
                <w:vertAlign w:val="superscript"/>
              </w:rPr>
              <w:t>2</w:t>
            </w:r>
            <w:r>
              <w:rPr>
                <w:rFonts w:hint="eastAsia" w:ascii="Times New Roman" w:hAnsi="Times New Roman"/>
              </w:rPr>
              <w:t>·d计。项目的绿化面积约为470m</w:t>
            </w:r>
            <w:r>
              <w:rPr>
                <w:rFonts w:hint="eastAsia" w:ascii="Times New Roman" w:hAnsi="Times New Roman"/>
                <w:vertAlign w:val="superscript"/>
              </w:rPr>
              <w:t>2</w:t>
            </w:r>
            <w:r>
              <w:rPr>
                <w:rFonts w:hint="eastAsia" w:ascii="Times New Roman" w:hAnsi="Times New Roman"/>
              </w:rPr>
              <w:t>，则绿化用水量为0.94m</w:t>
            </w:r>
            <w:r>
              <w:rPr>
                <w:rFonts w:hint="eastAsia" w:ascii="Times New Roman" w:hAnsi="Times New Roman"/>
                <w:vertAlign w:val="superscript"/>
              </w:rPr>
              <w:t>3</w:t>
            </w:r>
            <w:r>
              <w:rPr>
                <w:rFonts w:hint="eastAsia" w:ascii="Times New Roman" w:hAnsi="Times New Roman"/>
              </w:rPr>
              <w:t>/d，绿化水通过植物吸收、蒸发。</w:t>
            </w:r>
          </w:p>
          <w:p>
            <w:pPr>
              <w:adjustRightInd w:val="0"/>
              <w:snapToGrid w:val="0"/>
              <w:spacing w:line="440" w:lineRule="exact"/>
              <w:rPr>
                <w:rFonts w:ascii="Times New Roman" w:hAnsi="Times New Roman" w:eastAsia="黑体"/>
                <w:b/>
                <w:bCs/>
              </w:rPr>
            </w:pPr>
          </w:p>
          <w:p>
            <w:pPr>
              <w:adjustRightInd w:val="0"/>
              <w:snapToGrid w:val="0"/>
              <w:spacing w:line="440" w:lineRule="exact"/>
              <w:rPr>
                <w:rFonts w:ascii="Times New Roman" w:hAnsi="Times New Roman" w:eastAsia="黑体"/>
                <w:b/>
                <w:bCs/>
              </w:rPr>
            </w:pPr>
          </w:p>
          <w:p>
            <w:pPr>
              <w:adjustRightInd w:val="0"/>
              <w:snapToGrid w:val="0"/>
              <w:spacing w:line="440" w:lineRule="exact"/>
              <w:rPr>
                <w:rFonts w:ascii="Times New Roman" w:hAnsi="Times New Roman" w:eastAsia="黑体"/>
                <w:b/>
                <w:bCs/>
                <w:highlight w:val="yellow"/>
              </w:rPr>
            </w:pPr>
            <w:r>
              <w:rPr>
                <w:rFonts w:ascii="Times New Roman" w:hAnsi="Times New Roman" w:eastAsia="黑体"/>
                <w:b/>
                <w:bCs/>
              </w:rPr>
              <w:t>4.2.</w:t>
            </w:r>
            <w:r>
              <w:rPr>
                <w:rFonts w:hint="eastAsia" w:ascii="Times New Roman" w:hAnsi="Times New Roman" w:eastAsia="黑体"/>
                <w:b/>
                <w:bCs/>
              </w:rPr>
              <w:t>3</w:t>
            </w:r>
            <w:r>
              <w:rPr>
                <w:rFonts w:ascii="Times New Roman" w:hAnsi="Times New Roman" w:eastAsia="黑体"/>
                <w:b/>
                <w:bCs/>
              </w:rPr>
              <w:t>.2废水</w:t>
            </w:r>
            <w:r>
              <w:rPr>
                <w:rFonts w:hint="eastAsia" w:ascii="Times New Roman" w:hAnsi="Times New Roman" w:eastAsia="黑体"/>
                <w:b/>
                <w:bCs/>
              </w:rPr>
              <w:t>处理</w:t>
            </w:r>
            <w:r>
              <w:rPr>
                <w:rFonts w:ascii="Times New Roman" w:hAnsi="Times New Roman" w:eastAsia="黑体"/>
                <w:b/>
                <w:bCs/>
              </w:rPr>
              <w:t>措施的可行性</w:t>
            </w:r>
          </w:p>
          <w:p>
            <w:pPr>
              <w:pStyle w:val="46"/>
              <w:rPr>
                <w:color w:val="auto"/>
              </w:rPr>
            </w:pPr>
            <w:r>
              <w:rPr>
                <w:rFonts w:hint="eastAsia"/>
                <w:color w:val="auto"/>
              </w:rPr>
              <w:t>（1）生产废水</w:t>
            </w:r>
          </w:p>
          <w:p>
            <w:pPr>
              <w:pStyle w:val="46"/>
              <w:rPr>
                <w:color w:val="auto"/>
              </w:rPr>
            </w:pPr>
            <w:r>
              <w:rPr>
                <w:rFonts w:hint="eastAsia"/>
                <w:color w:val="auto"/>
              </w:rPr>
              <w:t>①废水处理工艺</w:t>
            </w:r>
          </w:p>
          <w:p>
            <w:pPr>
              <w:pStyle w:val="46"/>
              <w:rPr>
                <w:color w:val="auto"/>
              </w:rPr>
            </w:pPr>
            <w:r>
              <w:rPr>
                <w:rFonts w:hint="eastAsia"/>
                <w:color w:val="auto"/>
              </w:rPr>
              <w:t>项目建设有</w:t>
            </w:r>
            <w:r>
              <w:rPr>
                <w:rFonts w:hint="eastAsia" w:eastAsiaTheme="minorEastAsia"/>
                <w:color w:val="auto"/>
                <w:szCs w:val="22"/>
              </w:rPr>
              <w:t>一座容积为25m</w:t>
            </w:r>
            <w:r>
              <w:rPr>
                <w:rFonts w:hint="eastAsia" w:eastAsiaTheme="minorEastAsia"/>
                <w:color w:val="auto"/>
                <w:szCs w:val="22"/>
                <w:vertAlign w:val="superscript"/>
              </w:rPr>
              <w:t>3</w:t>
            </w:r>
            <w:r>
              <w:rPr>
                <w:rFonts w:hint="eastAsia" w:eastAsiaTheme="minorEastAsia"/>
                <w:color w:val="auto"/>
                <w:szCs w:val="22"/>
              </w:rPr>
              <w:t>的隔油池和两座容积均为25m</w:t>
            </w:r>
            <w:r>
              <w:rPr>
                <w:rFonts w:hint="eastAsia" w:eastAsiaTheme="minorEastAsia"/>
                <w:color w:val="auto"/>
                <w:szCs w:val="22"/>
                <w:vertAlign w:val="superscript"/>
              </w:rPr>
              <w:t>3</w:t>
            </w:r>
            <w:r>
              <w:rPr>
                <w:rFonts w:hint="eastAsia" w:eastAsiaTheme="minorEastAsia"/>
                <w:color w:val="auto"/>
                <w:szCs w:val="22"/>
              </w:rPr>
              <w:t>的沉淀池，用于处理</w:t>
            </w:r>
            <w:r>
              <w:rPr>
                <w:rFonts w:hint="eastAsia"/>
                <w:color w:val="auto"/>
              </w:rPr>
              <w:t>铁粉堆干产生的渗滤水、浓缩罐废水、板框压滤产生的废水；建设容积约为9m</w:t>
            </w:r>
            <w:r>
              <w:rPr>
                <w:rFonts w:hint="eastAsia"/>
                <w:color w:val="auto"/>
                <w:vertAlign w:val="superscript"/>
              </w:rPr>
              <w:t>3</w:t>
            </w:r>
            <w:r>
              <w:rPr>
                <w:rFonts w:hint="eastAsia"/>
                <w:color w:val="auto"/>
              </w:rPr>
              <w:t>的初期雨水沉淀池用于处理初期雨水。废水处理工艺如下：</w:t>
            </w:r>
          </w:p>
          <w:p>
            <w:pPr>
              <w:pStyle w:val="46"/>
              <w:spacing w:before="120" w:beforeLines="50" w:line="240" w:lineRule="auto"/>
              <w:ind w:firstLine="0" w:firstLineChars="0"/>
              <w:jc w:val="center"/>
              <w:rPr>
                <w:color w:val="auto"/>
              </w:rPr>
            </w:pPr>
            <w:r>
              <w:rPr>
                <w:rFonts w:hint="eastAsia"/>
                <w:color w:val="auto"/>
              </w:rPr>
              <w:drawing>
                <wp:inline distT="0" distB="0" distL="114300" distR="114300">
                  <wp:extent cx="5154930" cy="2106295"/>
                  <wp:effectExtent l="0" t="0" r="7620" b="8255"/>
                  <wp:docPr id="102" name="图片 102" descr="废水处理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废水处理工艺图"/>
                          <pic:cNvPicPr>
                            <a:picLocks noChangeAspect="1"/>
                          </pic:cNvPicPr>
                        </pic:nvPicPr>
                        <pic:blipFill>
                          <a:blip r:embed="rId21"/>
                          <a:srcRect l="1054" t="21577" r="1708" b="22177"/>
                          <a:stretch>
                            <a:fillRect/>
                          </a:stretch>
                        </pic:blipFill>
                        <pic:spPr>
                          <a:xfrm>
                            <a:off x="0" y="0"/>
                            <a:ext cx="5154930" cy="210629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eastAsia="黑体"/>
                <w:bCs w:val="0"/>
                <w:sz w:val="21"/>
                <w:szCs w:val="21"/>
              </w:rPr>
            </w:pPr>
            <w:r>
              <w:rPr>
                <w:rFonts w:ascii="Times New Roman" w:hAnsi="Times New Roman" w:eastAsia="黑体"/>
                <w:bCs w:val="0"/>
                <w:sz w:val="21"/>
                <w:szCs w:val="21"/>
              </w:rPr>
              <w:t>图4.2-1废水处理工艺流程图</w:t>
            </w:r>
          </w:p>
          <w:p>
            <w:pPr>
              <w:spacing w:line="440" w:lineRule="exact"/>
              <w:ind w:firstLine="480" w:firstLineChars="200"/>
              <w:rPr>
                <w:rFonts w:ascii="Times New Roman" w:hAnsi="Times New Roman"/>
              </w:rPr>
            </w:pPr>
            <w:r>
              <w:rPr>
                <w:rFonts w:ascii="Times New Roman" w:hAnsi="Times New Roman"/>
              </w:rPr>
              <w:t>工艺流程说明：</w:t>
            </w:r>
          </w:p>
          <w:p>
            <w:pPr>
              <w:spacing w:line="440" w:lineRule="exact"/>
              <w:ind w:firstLine="480" w:firstLineChars="200"/>
              <w:rPr>
                <w:rFonts w:ascii="Times New Roman" w:hAnsi="Times New Roman" w:eastAsiaTheme="minorEastAsia"/>
                <w:bCs/>
              </w:rPr>
            </w:pPr>
            <w:r>
              <w:rPr>
                <w:rFonts w:hint="eastAsia" w:ascii="Times New Roman" w:hAnsi="Times New Roman"/>
              </w:rPr>
              <w:t>项目废水为铁粉仓堆干渗滤水、浓缩罐废水、板框压滤废水，铁粉仓废水通过沟槽进入隔油池、浓缩罐废水及板框压滤废水通过管道进入隔油池。利用废水中悬浮物和水的比重不同的原理，废水经隔油池处理可分离出石油类物质，经隔油处理后的水进入沉淀池，产生的浮油收集后暂存于危废暂存间，委托有资质单位处置。进入沉淀池的生产废水</w:t>
            </w:r>
            <w:r>
              <w:rPr>
                <w:rFonts w:ascii="Times New Roman" w:hAnsi="Times New Roman"/>
              </w:rPr>
              <w:t>利用重力沉降</w:t>
            </w:r>
            <w:r>
              <w:rPr>
                <w:rFonts w:hint="eastAsia" w:ascii="Times New Roman" w:hAnsi="Times New Roman"/>
              </w:rPr>
              <w:t>的原理</w:t>
            </w:r>
            <w:r>
              <w:rPr>
                <w:rFonts w:ascii="Times New Roman" w:hAnsi="Times New Roman"/>
              </w:rPr>
              <w:t>达到固液分离的目的，上清液溢</w:t>
            </w:r>
            <w:r>
              <w:rPr>
                <w:rFonts w:ascii="Times New Roman" w:hAnsi="Times New Roman" w:eastAsiaTheme="minorEastAsia"/>
                <w:bCs/>
              </w:rPr>
              <w:t>流进入</w:t>
            </w:r>
            <w:r>
              <w:rPr>
                <w:rFonts w:hint="eastAsia" w:ascii="Times New Roman" w:hAnsi="Times New Roman" w:eastAsiaTheme="minorEastAsia"/>
                <w:bCs/>
              </w:rPr>
              <w:t>回用水池回用于球磨、磁选</w:t>
            </w:r>
            <w:r>
              <w:rPr>
                <w:rFonts w:ascii="Times New Roman" w:hAnsi="Times New Roman" w:eastAsiaTheme="minorEastAsia"/>
                <w:bCs/>
              </w:rPr>
              <w:t>，废水沉淀过程产生的</w:t>
            </w:r>
            <w:r>
              <w:rPr>
                <w:rFonts w:hint="eastAsia" w:ascii="Times New Roman" w:hAnsi="Times New Roman" w:eastAsiaTheme="minorEastAsia"/>
                <w:bCs/>
              </w:rPr>
              <w:t>底渣通过渣浆泵收集进入板框</w:t>
            </w:r>
            <w:r>
              <w:rPr>
                <w:rFonts w:ascii="Times New Roman" w:hAnsi="Times New Roman" w:eastAsiaTheme="minorEastAsia"/>
                <w:bCs/>
              </w:rPr>
              <w:t>压滤机进行压滤</w:t>
            </w:r>
            <w:r>
              <w:rPr>
                <w:rFonts w:hint="eastAsia" w:ascii="Times New Roman" w:hAnsi="Times New Roman" w:eastAsiaTheme="minorEastAsia"/>
                <w:bCs/>
              </w:rPr>
              <w:t>，压滤机产生的污泥（含水率约20%）临时堆放于尾渣堆场，由有能力的处置利用单位综合利用。</w:t>
            </w:r>
          </w:p>
          <w:p>
            <w:pPr>
              <w:spacing w:line="440" w:lineRule="exact"/>
              <w:ind w:firstLine="480" w:firstLineChars="200"/>
              <w:rPr>
                <w:rFonts w:ascii="Times New Roman" w:hAnsi="Times New Roman" w:eastAsiaTheme="minorEastAsia"/>
                <w:bCs/>
              </w:rPr>
            </w:pPr>
            <w:r>
              <w:rPr>
                <w:rFonts w:hint="eastAsia" w:ascii="Times New Roman" w:hAnsi="Times New Roman" w:eastAsiaTheme="minorEastAsia"/>
                <w:bCs/>
              </w:rPr>
              <w:t>初期雨水经初期雨水沉淀池收集沉淀处理后回用于球磨等工序。</w:t>
            </w:r>
          </w:p>
          <w:p>
            <w:pPr>
              <w:pStyle w:val="46"/>
              <w:rPr>
                <w:color w:val="auto"/>
              </w:rPr>
            </w:pPr>
            <w:r>
              <w:rPr>
                <w:rFonts w:hint="eastAsia"/>
                <w:color w:val="auto"/>
              </w:rPr>
              <w:t>②废水处理设施可行性分析</w:t>
            </w:r>
          </w:p>
          <w:p>
            <w:pPr>
              <w:pStyle w:val="46"/>
              <w:numPr>
                <w:ilvl w:val="0"/>
                <w:numId w:val="14"/>
              </w:numPr>
              <w:rPr>
                <w:color w:val="auto"/>
              </w:rPr>
            </w:pPr>
            <w:r>
              <w:rPr>
                <w:rFonts w:hint="eastAsia"/>
                <w:color w:val="auto"/>
              </w:rPr>
              <w:t>废水处理设施处理能力</w:t>
            </w:r>
          </w:p>
          <w:p>
            <w:pPr>
              <w:adjustRightInd w:val="0"/>
              <w:snapToGrid w:val="0"/>
              <w:spacing w:line="440" w:lineRule="exact"/>
              <w:ind w:firstLine="480" w:firstLineChars="200"/>
              <w:rPr>
                <w:rFonts w:ascii="Times New Roman" w:hAnsi="Times New Roman" w:eastAsiaTheme="minorEastAsia"/>
                <w:szCs w:val="22"/>
              </w:rPr>
            </w:pPr>
            <w:r>
              <w:rPr>
                <w:rFonts w:hint="eastAsia" w:ascii="Times New Roman" w:hAnsi="Times New Roman" w:eastAsiaTheme="minorEastAsia"/>
                <w:szCs w:val="22"/>
              </w:rPr>
              <w:t>本项目生产废水石油类浓度较低，悬浮物颗粒较大，废水在隔油池停留0.5h就可进入沉淀池，废水沉淀速度较快，沉淀1-2h左右后就可将上清液回用于生产。项目拟建设一套“隔油池+沉淀</w:t>
            </w:r>
            <w:r>
              <w:rPr>
                <w:rFonts w:ascii="Times New Roman" w:hAnsi="Times New Roman" w:eastAsiaTheme="minorEastAsia"/>
                <w:szCs w:val="22"/>
              </w:rPr>
              <w:t>池</w:t>
            </w:r>
            <w:r>
              <w:rPr>
                <w:rFonts w:hint="eastAsia" w:ascii="Times New Roman" w:hAnsi="Times New Roman" w:eastAsiaTheme="minorEastAsia"/>
                <w:szCs w:val="22"/>
              </w:rPr>
              <w:t>”，包括一座容积为25m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的隔油池和两座容积均为25m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的沉淀池，隔油池处理能力为500m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/d，沉淀池处理能力为250m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/d，生产废水处理设施处理能力为250m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w:t>
            </w:r>
          </w:p>
          <w:p>
            <w:pPr>
              <w:adjustRightInd w:val="0"/>
              <w:snapToGrid w:val="0"/>
              <w:spacing w:line="440" w:lineRule="exact"/>
              <w:ind w:firstLine="480" w:firstLineChars="200"/>
              <w:rPr>
                <w:rFonts w:ascii="Times New Roman" w:hAnsi="Times New Roman" w:eastAsiaTheme="minorEastAsia"/>
                <w:szCs w:val="22"/>
              </w:rPr>
            </w:pPr>
            <w:r>
              <w:rPr>
                <w:rFonts w:hint="eastAsia" w:ascii="Times New Roman" w:hAnsi="Times New Roman" w:eastAsiaTheme="minorEastAsia"/>
                <w:szCs w:val="22"/>
              </w:rPr>
              <w:t>项目生产废水量为120.06m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w:t>
            </w:r>
            <w:r>
              <w:rPr>
                <w:rFonts w:ascii="Times New Roman" w:hAnsi="Times New Roman" w:eastAsiaTheme="minorEastAsia"/>
                <w:szCs w:val="22"/>
              </w:rPr>
              <w:t>，</w:t>
            </w:r>
            <w:r>
              <w:rPr>
                <w:rFonts w:hint="eastAsia" w:ascii="Times New Roman" w:hAnsi="Times New Roman" w:eastAsiaTheme="minorEastAsia"/>
                <w:szCs w:val="22"/>
              </w:rPr>
              <w:t>生产废水处理设施的处理能力为250m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/d，废水量未超过为水处理设施的处理能力，因此处理能力可满足本项目需求。</w:t>
            </w:r>
          </w:p>
          <w:p>
            <w:pPr>
              <w:pStyle w:val="46"/>
              <w:numPr>
                <w:ilvl w:val="0"/>
                <w:numId w:val="14"/>
              </w:numPr>
              <w:rPr>
                <w:color w:val="auto"/>
              </w:rPr>
            </w:pPr>
            <w:r>
              <w:rPr>
                <w:rFonts w:hint="eastAsia"/>
                <w:color w:val="auto"/>
              </w:rPr>
              <w:t>水质</w:t>
            </w:r>
          </w:p>
          <w:p>
            <w:pPr>
              <w:adjustRightInd w:val="0"/>
              <w:snapToGrid w:val="0"/>
              <w:spacing w:line="460" w:lineRule="exact"/>
              <w:ind w:firstLine="480" w:firstLineChars="200"/>
              <w:rPr>
                <w:rFonts w:ascii="Times New Roman" w:hAnsi="Times New Roman" w:eastAsiaTheme="minorEastAsia"/>
              </w:rPr>
            </w:pPr>
            <w:r>
              <w:rPr>
                <w:rFonts w:ascii="Times New Roman" w:hAnsi="Times New Roman" w:eastAsiaTheme="minorEastAsia"/>
              </w:rPr>
              <w:t>项目</w:t>
            </w:r>
            <w:r>
              <w:rPr>
                <w:rFonts w:hint="eastAsia" w:ascii="Times New Roman" w:hAnsi="Times New Roman" w:eastAsiaTheme="minorEastAsia"/>
              </w:rPr>
              <w:t>生产</w:t>
            </w:r>
            <w:r>
              <w:rPr>
                <w:rFonts w:ascii="Times New Roman" w:hAnsi="Times New Roman" w:eastAsiaTheme="minorEastAsia"/>
              </w:rPr>
              <w:t>废水</w:t>
            </w:r>
            <w:r>
              <w:rPr>
                <w:rFonts w:hint="eastAsia" w:ascii="Times New Roman" w:hAnsi="Times New Roman" w:eastAsiaTheme="minorEastAsia"/>
              </w:rPr>
              <w:t>主要为</w:t>
            </w:r>
            <w:r>
              <w:rPr>
                <w:rFonts w:hint="eastAsia" w:ascii="Times New Roman" w:hAnsi="Times New Roman"/>
              </w:rPr>
              <w:t>铁粉仓堆干渗滤水、浓缩罐废水、板框压滤废水</w:t>
            </w:r>
            <w:r>
              <w:rPr>
                <w:rFonts w:ascii="Times New Roman" w:hAnsi="Times New Roman" w:eastAsiaTheme="minorEastAsia"/>
              </w:rPr>
              <w:t>。</w:t>
            </w:r>
            <w:r>
              <w:rPr>
                <w:rFonts w:ascii="Times New Roman" w:hAnsi="Times New Roman"/>
                <w:snapToGrid w:val="0"/>
              </w:rPr>
              <w:t>生产废水</w:t>
            </w:r>
            <w:r>
              <w:rPr>
                <w:rFonts w:hint="eastAsia" w:ascii="Times New Roman" w:hAnsi="Times New Roman"/>
                <w:snapToGrid w:val="0"/>
              </w:rPr>
              <w:t>经</w:t>
            </w:r>
            <w:r>
              <w:rPr>
                <w:rFonts w:hint="eastAsia" w:ascii="Times New Roman" w:hAnsi="Times New Roman" w:eastAsiaTheme="minorEastAsia"/>
                <w:szCs w:val="22"/>
              </w:rPr>
              <w:t>“隔油池+沉淀</w:t>
            </w:r>
            <w:r>
              <w:rPr>
                <w:rFonts w:ascii="Times New Roman" w:hAnsi="Times New Roman" w:eastAsiaTheme="minorEastAsia"/>
                <w:szCs w:val="22"/>
              </w:rPr>
              <w:t>池</w:t>
            </w:r>
            <w:r>
              <w:rPr>
                <w:rFonts w:hint="eastAsia" w:ascii="Times New Roman" w:hAnsi="Times New Roman" w:eastAsiaTheme="minorEastAsia"/>
                <w:szCs w:val="22"/>
              </w:rPr>
              <w:t>”处理后，能有效去除废水中的石油类和悬浮物；生产废水处理后回用于球磨、磁选等生产工序，球磨、磁选工序对</w:t>
            </w:r>
            <w:r>
              <w:rPr>
                <w:rFonts w:ascii="Times New Roman" w:hAnsi="Times New Roman" w:eastAsiaTheme="minorEastAsia"/>
              </w:rPr>
              <w:t>用水</w:t>
            </w:r>
            <w:r>
              <w:rPr>
                <w:rFonts w:hint="eastAsia" w:ascii="Times New Roman" w:hAnsi="Times New Roman" w:eastAsiaTheme="minorEastAsia"/>
              </w:rPr>
              <w:t>的</w:t>
            </w:r>
            <w:r>
              <w:rPr>
                <w:rFonts w:ascii="Times New Roman" w:hAnsi="Times New Roman" w:eastAsiaTheme="minorEastAsia"/>
              </w:rPr>
              <w:t>水质要求不高，</w:t>
            </w:r>
            <w:r>
              <w:rPr>
                <w:rFonts w:hint="eastAsia" w:ascii="Times New Roman" w:hAnsi="Times New Roman" w:eastAsiaTheme="minorEastAsia"/>
                <w:szCs w:val="22"/>
              </w:rPr>
              <w:t>处理后的生产废水</w:t>
            </w:r>
            <w:r>
              <w:rPr>
                <w:rFonts w:ascii="Times New Roman" w:hAnsi="Times New Roman" w:eastAsiaTheme="minorEastAsia"/>
              </w:rPr>
              <w:t>回用</w:t>
            </w:r>
            <w:r>
              <w:rPr>
                <w:rFonts w:ascii="Times New Roman" w:hAnsi="Times New Roman"/>
                <w:snapToGrid w:val="0"/>
              </w:rPr>
              <w:t>不会对生产工艺造成不利影响。</w:t>
            </w:r>
            <w:r>
              <w:rPr>
                <w:rFonts w:ascii="Times New Roman" w:hAnsi="Times New Roman" w:eastAsiaTheme="minorEastAsia"/>
              </w:rPr>
              <w:t>因此，</w:t>
            </w:r>
            <w:r>
              <w:rPr>
                <w:rFonts w:hint="eastAsia" w:ascii="Times New Roman" w:hAnsi="Times New Roman" w:eastAsiaTheme="minorEastAsia"/>
              </w:rPr>
              <w:t>生产</w:t>
            </w:r>
            <w:r>
              <w:rPr>
                <w:rFonts w:ascii="Times New Roman" w:hAnsi="Times New Roman" w:eastAsiaTheme="minorEastAsia"/>
              </w:rPr>
              <w:t>废水</w:t>
            </w:r>
            <w:r>
              <w:rPr>
                <w:rFonts w:hint="eastAsia" w:ascii="Times New Roman" w:hAnsi="Times New Roman"/>
                <w:snapToGrid w:val="0"/>
              </w:rPr>
              <w:t>经</w:t>
            </w:r>
            <w:r>
              <w:rPr>
                <w:rFonts w:hint="eastAsia" w:ascii="Times New Roman" w:hAnsi="Times New Roman" w:eastAsiaTheme="minorEastAsia"/>
                <w:szCs w:val="22"/>
              </w:rPr>
              <w:t>“隔油池+沉淀</w:t>
            </w:r>
            <w:r>
              <w:rPr>
                <w:rFonts w:ascii="Times New Roman" w:hAnsi="Times New Roman" w:eastAsiaTheme="minorEastAsia"/>
                <w:szCs w:val="22"/>
              </w:rPr>
              <w:t>池</w:t>
            </w:r>
            <w:r>
              <w:rPr>
                <w:rFonts w:hint="eastAsia" w:ascii="Times New Roman" w:hAnsi="Times New Roman" w:eastAsiaTheme="minorEastAsia"/>
                <w:szCs w:val="22"/>
              </w:rPr>
              <w:t>”处理后可回用于生产。</w:t>
            </w:r>
          </w:p>
          <w:p>
            <w:pPr>
              <w:spacing w:line="440" w:lineRule="exact"/>
              <w:ind w:firstLine="480" w:firstLineChars="200"/>
              <w:rPr>
                <w:rFonts w:ascii="Times New Roman" w:hAnsi="Times New Roman"/>
                <w:szCs w:val="21"/>
              </w:rPr>
            </w:pPr>
            <w:r>
              <w:rPr>
                <w:rFonts w:hint="eastAsia" w:ascii="Times New Roman" w:hAnsi="Times New Roman"/>
                <w:szCs w:val="21"/>
              </w:rPr>
              <w:t>“隔油+</w:t>
            </w:r>
            <w:r>
              <w:rPr>
                <w:rFonts w:ascii="Times New Roman" w:hAnsi="Times New Roman"/>
                <w:szCs w:val="21"/>
              </w:rPr>
              <w:t>沉淀</w:t>
            </w:r>
            <w:r>
              <w:rPr>
                <w:rFonts w:hint="eastAsia" w:ascii="Times New Roman" w:hAnsi="Times New Roman"/>
                <w:szCs w:val="21"/>
              </w:rPr>
              <w:t>”废水</w:t>
            </w:r>
            <w:r>
              <w:rPr>
                <w:rFonts w:ascii="Times New Roman" w:hAnsi="Times New Roman"/>
                <w:szCs w:val="21"/>
              </w:rPr>
              <w:t>处理工艺属于《排污许可证申请与核发技术规范水处理通用工序》(HJ1120--2020）表A.1中的</w:t>
            </w:r>
            <w:r>
              <w:rPr>
                <w:rFonts w:hint="eastAsia" w:ascii="Times New Roman" w:hAnsi="Times New Roman"/>
                <w:szCs w:val="21"/>
              </w:rPr>
              <w:t>污水治理</w:t>
            </w:r>
            <w:r>
              <w:rPr>
                <w:rFonts w:ascii="Times New Roman" w:hAnsi="Times New Roman"/>
                <w:szCs w:val="21"/>
              </w:rPr>
              <w:t>可行性技术</w:t>
            </w:r>
            <w:r>
              <w:rPr>
                <w:rFonts w:hint="eastAsia" w:ascii="Times New Roman" w:hAnsi="Times New Roman"/>
                <w:szCs w:val="21"/>
              </w:rPr>
              <w:t>。因此，本</w:t>
            </w:r>
            <w:r>
              <w:rPr>
                <w:rFonts w:ascii="Times New Roman" w:hAnsi="Times New Roman"/>
                <w:szCs w:val="21"/>
              </w:rPr>
              <w:t>项目生产废水处理方案可行。</w:t>
            </w:r>
          </w:p>
          <w:p>
            <w:pPr>
              <w:pStyle w:val="46"/>
              <w:numPr>
                <w:ilvl w:val="0"/>
                <w:numId w:val="14"/>
              </w:numPr>
              <w:rPr>
                <w:color w:val="auto"/>
              </w:rPr>
            </w:pPr>
            <w:r>
              <w:rPr>
                <w:rFonts w:hint="eastAsia"/>
                <w:color w:val="auto"/>
              </w:rPr>
              <w:t>水量</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本项目</w:t>
            </w:r>
            <w:r>
              <w:rPr>
                <w:rFonts w:hint="eastAsia" w:ascii="Times New Roman" w:hAnsi="Times New Roman" w:eastAsiaTheme="minorEastAsia"/>
                <w:szCs w:val="22"/>
              </w:rPr>
              <w:t>球磨、磁选工艺所需要的用水量250m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/d，项目生产废水产生量为120.06m</w:t>
            </w:r>
            <w:r>
              <w:rPr>
                <w:rFonts w:hint="eastAsia" w:ascii="Times New Roman" w:hAnsi="Times New Roman" w:eastAsiaTheme="minorEastAsia"/>
                <w:szCs w:val="22"/>
                <w:vertAlign w:val="superscript"/>
              </w:rPr>
              <w:t>3</w:t>
            </w:r>
            <w:r>
              <w:rPr>
                <w:rFonts w:hint="eastAsia" w:ascii="Times New Roman" w:hAnsi="Times New Roman" w:eastAsiaTheme="minorEastAsia"/>
                <w:szCs w:val="22"/>
              </w:rPr>
              <w:t>/d，小于球磨、磁选工艺用水量，因此，从水量分析，本项目生产废水可完全被球磨、磁选工序所消纳。</w:t>
            </w:r>
            <w:r>
              <w:rPr>
                <w:rFonts w:ascii="Times New Roman" w:hAnsi="Times New Roman" w:eastAsiaTheme="minorEastAsia"/>
                <w:szCs w:val="22"/>
              </w:rPr>
              <w:t>因此，项目生产废水可完全被回收利用。</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综上所述，从生产废水处理设施处理能力</w:t>
            </w:r>
            <w:r>
              <w:rPr>
                <w:rFonts w:hint="eastAsia" w:ascii="Times New Roman" w:hAnsi="Times New Roman" w:eastAsiaTheme="minorEastAsia"/>
                <w:szCs w:val="22"/>
              </w:rPr>
              <w:t>、</w:t>
            </w:r>
            <w:r>
              <w:rPr>
                <w:rFonts w:ascii="Times New Roman" w:hAnsi="Times New Roman" w:eastAsiaTheme="minorEastAsia"/>
                <w:szCs w:val="22"/>
              </w:rPr>
              <w:t>废水水质、水量分析，项目</w:t>
            </w:r>
            <w:r>
              <w:rPr>
                <w:rFonts w:hint="eastAsia" w:ascii="Times New Roman" w:hAnsi="Times New Roman" w:eastAsiaTheme="minorEastAsia"/>
                <w:szCs w:val="22"/>
              </w:rPr>
              <w:t>拟</w:t>
            </w:r>
            <w:r>
              <w:rPr>
                <w:rFonts w:ascii="Times New Roman" w:hAnsi="Times New Roman" w:eastAsiaTheme="minorEastAsia"/>
                <w:szCs w:val="22"/>
              </w:rPr>
              <w:t>采取的生产废水处理措施可行。</w:t>
            </w:r>
          </w:p>
          <w:p>
            <w:pPr>
              <w:spacing w:line="440" w:lineRule="exact"/>
              <w:ind w:firstLine="480" w:firstLineChars="200"/>
              <w:rPr>
                <w:rFonts w:ascii="Times New Roman" w:hAnsi="Times New Roman" w:eastAsiaTheme="minorEastAsia"/>
                <w:szCs w:val="22"/>
              </w:rPr>
            </w:pPr>
            <w:r>
              <w:rPr>
                <w:rFonts w:ascii="Times New Roman" w:hAnsi="Times New Roman" w:eastAsiaTheme="minorEastAsia"/>
                <w:szCs w:val="22"/>
              </w:rPr>
              <w:t>（</w:t>
            </w:r>
            <w:r>
              <w:rPr>
                <w:rFonts w:hint="eastAsia" w:ascii="Times New Roman" w:hAnsi="Times New Roman" w:eastAsiaTheme="minorEastAsia"/>
                <w:szCs w:val="22"/>
              </w:rPr>
              <w:t>2</w:t>
            </w:r>
            <w:r>
              <w:rPr>
                <w:rFonts w:ascii="Times New Roman" w:hAnsi="Times New Roman" w:eastAsiaTheme="minorEastAsia"/>
                <w:szCs w:val="22"/>
              </w:rPr>
              <w:t>）生活污水</w:t>
            </w:r>
          </w:p>
          <w:p>
            <w:pPr>
              <w:spacing w:line="440" w:lineRule="exact"/>
              <w:ind w:firstLine="480" w:firstLineChars="200"/>
              <w:rPr>
                <w:rFonts w:ascii="Times New Roman" w:hAnsi="Times New Roman"/>
              </w:rPr>
            </w:pPr>
            <w:r>
              <w:rPr>
                <w:rFonts w:ascii="Times New Roman" w:hAnsi="Times New Roman"/>
              </w:rPr>
              <w:t>本项目生活污水经</w:t>
            </w:r>
            <w:r>
              <w:rPr>
                <w:rFonts w:hint="eastAsia" w:ascii="Times New Roman" w:hAnsi="Times New Roman"/>
              </w:rPr>
              <w:t>地埋式生活污水处理设施（工艺为生化一体池）</w:t>
            </w:r>
            <w:r>
              <w:rPr>
                <w:rFonts w:ascii="Times New Roman" w:hAnsi="Times New Roman"/>
              </w:rPr>
              <w:t>处理后用于周边山林地</w:t>
            </w:r>
            <w:r>
              <w:rPr>
                <w:rFonts w:hint="eastAsia" w:ascii="Times New Roman" w:hAnsi="Times New Roman"/>
              </w:rPr>
              <w:t>灌溉。</w:t>
            </w:r>
          </w:p>
          <w:p>
            <w:pPr>
              <w:spacing w:line="440" w:lineRule="exact"/>
              <w:ind w:firstLine="480" w:firstLineChars="200"/>
              <w:rPr>
                <w:rFonts w:ascii="Times New Roman" w:hAnsi="Times New Roman"/>
              </w:rPr>
            </w:pPr>
            <w:r>
              <w:rPr>
                <w:rFonts w:hint="eastAsia" w:ascii="Times New Roman" w:hAnsi="Times New Roman"/>
              </w:rPr>
              <w:t>①处理能力</w:t>
            </w:r>
          </w:p>
          <w:p>
            <w:pPr>
              <w:spacing w:line="440" w:lineRule="exact"/>
              <w:ind w:firstLine="480" w:firstLineChars="200"/>
              <w:rPr>
                <w:rFonts w:ascii="Times New Roman" w:hAnsi="Times New Roman"/>
              </w:rPr>
            </w:pPr>
            <w:r>
              <w:rPr>
                <w:rFonts w:ascii="Times New Roman" w:hAnsi="Times New Roman"/>
              </w:rPr>
              <w:t>根据业主提供资料，生活污水处理设施处理规模约</w:t>
            </w:r>
            <w:r>
              <w:rPr>
                <w:rFonts w:hint="eastAsia" w:ascii="Times New Roman" w:hAnsi="Times New Roman"/>
              </w:rPr>
              <w:t>1t</w:t>
            </w:r>
            <w:r>
              <w:rPr>
                <w:rFonts w:ascii="Times New Roman" w:hAnsi="Times New Roman"/>
              </w:rPr>
              <w:t>/</w:t>
            </w:r>
            <w:r>
              <w:rPr>
                <w:rFonts w:hint="eastAsia" w:ascii="Times New Roman" w:hAnsi="Times New Roman"/>
              </w:rPr>
              <w:t>d。</w:t>
            </w:r>
            <w:r>
              <w:rPr>
                <w:rFonts w:ascii="Times New Roman" w:hAnsi="Times New Roman"/>
              </w:rPr>
              <w:t>本项目生活污水</w:t>
            </w:r>
            <w:r>
              <w:rPr>
                <w:rFonts w:hint="eastAsia" w:ascii="Times New Roman" w:hAnsi="Times New Roman"/>
              </w:rPr>
              <w:t>产生</w:t>
            </w:r>
            <w:r>
              <w:rPr>
                <w:rFonts w:ascii="Times New Roman" w:hAnsi="Times New Roman"/>
              </w:rPr>
              <w:t>量约</w:t>
            </w:r>
            <w:r>
              <w:rPr>
                <w:rFonts w:hint="eastAsia" w:ascii="Times New Roman" w:hAnsi="Times New Roman"/>
              </w:rPr>
              <w:t>0.5</w:t>
            </w:r>
            <w:r>
              <w:rPr>
                <w:rFonts w:ascii="Times New Roman" w:hAnsi="Times New Roman"/>
              </w:rPr>
              <w:t>t/d，生活污水处理设施可以满足生活污水处理需求</w:t>
            </w:r>
            <w:r>
              <w:rPr>
                <w:rFonts w:hint="eastAsia" w:ascii="Times New Roman" w:hAnsi="Times New Roman"/>
              </w:rPr>
              <w:t>。</w:t>
            </w:r>
            <w:r>
              <w:rPr>
                <w:rFonts w:ascii="Times New Roman" w:hAnsi="Times New Roman"/>
              </w:rPr>
              <w:t>考虑到最长雨季无法</w:t>
            </w:r>
            <w:r>
              <w:rPr>
                <w:rFonts w:hint="eastAsia" w:ascii="Times New Roman" w:hAnsi="Times New Roman"/>
              </w:rPr>
              <w:t>灌溉</w:t>
            </w:r>
            <w:r>
              <w:rPr>
                <w:rFonts w:ascii="Times New Roman" w:hAnsi="Times New Roman"/>
              </w:rPr>
              <w:t>，本项目按照最大</w:t>
            </w:r>
            <w:r>
              <w:rPr>
                <w:rFonts w:hint="eastAsia" w:ascii="Times New Roman" w:hAnsi="Times New Roman"/>
              </w:rPr>
              <w:t>15天</w:t>
            </w:r>
            <w:r>
              <w:rPr>
                <w:rFonts w:ascii="Times New Roman" w:hAnsi="Times New Roman"/>
              </w:rPr>
              <w:t>无法</w:t>
            </w:r>
            <w:r>
              <w:rPr>
                <w:rFonts w:hint="eastAsia" w:ascii="Times New Roman" w:hAnsi="Times New Roman"/>
              </w:rPr>
              <w:t>灌溉</w:t>
            </w:r>
            <w:r>
              <w:rPr>
                <w:rFonts w:ascii="Times New Roman" w:hAnsi="Times New Roman"/>
              </w:rPr>
              <w:t>最大储量情况计算，</w:t>
            </w:r>
            <w:r>
              <w:rPr>
                <w:rFonts w:hint="eastAsia" w:ascii="Times New Roman" w:hAnsi="Times New Roman"/>
              </w:rPr>
              <w:t>15</w:t>
            </w:r>
            <w:r>
              <w:rPr>
                <w:rFonts w:ascii="Times New Roman" w:hAnsi="Times New Roman"/>
              </w:rPr>
              <w:t>天生活污水的产生量为</w:t>
            </w:r>
            <w:r>
              <w:rPr>
                <w:rFonts w:hint="eastAsia" w:ascii="Times New Roman" w:hAnsi="Times New Roman"/>
              </w:rPr>
              <w:t>6.3</w:t>
            </w:r>
            <w:r>
              <w:rPr>
                <w:rFonts w:ascii="Times New Roman" w:hAnsi="Times New Roman"/>
              </w:rPr>
              <w:t>t，</w:t>
            </w:r>
            <w:r>
              <w:rPr>
                <w:rFonts w:hint="eastAsia" w:ascii="Times New Roman" w:hAnsi="Times New Roman"/>
              </w:rPr>
              <w:t>拟设置一个容积为8m</w:t>
            </w:r>
            <w:r>
              <w:rPr>
                <w:rFonts w:hint="eastAsia" w:ascii="Times New Roman" w:hAnsi="Times New Roman"/>
                <w:vertAlign w:val="superscript"/>
              </w:rPr>
              <w:t>3</w:t>
            </w:r>
            <w:r>
              <w:rPr>
                <w:rFonts w:hint="eastAsia" w:ascii="Times New Roman" w:hAnsi="Times New Roman"/>
              </w:rPr>
              <w:t>的储存池，用于暂存雨季生活污水</w:t>
            </w:r>
            <w:r>
              <w:rPr>
                <w:rFonts w:ascii="Times New Roman" w:hAnsi="Times New Roman"/>
              </w:rPr>
              <w:t>。</w:t>
            </w:r>
          </w:p>
          <w:p>
            <w:pPr>
              <w:spacing w:line="440" w:lineRule="exact"/>
              <w:ind w:firstLine="480" w:firstLineChars="200"/>
              <w:rPr>
                <w:rFonts w:ascii="Times New Roman" w:hAnsi="Times New Roman"/>
              </w:rPr>
            </w:pPr>
            <w:r>
              <w:rPr>
                <w:rFonts w:hint="eastAsia" w:ascii="Times New Roman" w:hAnsi="Times New Roman"/>
              </w:rPr>
              <w:t>②水质</w:t>
            </w:r>
          </w:p>
          <w:p>
            <w:pPr>
              <w:spacing w:line="440" w:lineRule="exact"/>
              <w:ind w:firstLine="480" w:firstLineChars="200"/>
              <w:rPr>
                <w:rFonts w:ascii="Times New Roman" w:hAnsi="Times New Roman"/>
              </w:rPr>
            </w:pPr>
            <w:r>
              <w:rPr>
                <w:rFonts w:ascii="Times New Roman" w:hAnsi="Times New Roman"/>
              </w:rPr>
              <w:t>本项目</w:t>
            </w:r>
            <w:r>
              <w:rPr>
                <w:rFonts w:hint="eastAsia" w:ascii="Times New Roman" w:hAnsi="Times New Roman"/>
              </w:rPr>
              <w:t>生活污水</w:t>
            </w:r>
            <w:r>
              <w:rPr>
                <w:rFonts w:ascii="Times New Roman" w:hAnsi="Times New Roman"/>
              </w:rPr>
              <w:t>用于周边</w:t>
            </w:r>
            <w:r>
              <w:rPr>
                <w:rFonts w:hint="eastAsia" w:ascii="Times New Roman" w:hAnsi="Times New Roman"/>
              </w:rPr>
              <w:t>林地</w:t>
            </w:r>
            <w:r>
              <w:rPr>
                <w:rFonts w:ascii="Times New Roman" w:hAnsi="Times New Roman"/>
              </w:rPr>
              <w:t>灌溉。项目</w:t>
            </w:r>
            <w:r>
              <w:rPr>
                <w:rFonts w:hint="eastAsia" w:ascii="Times New Roman" w:hAnsi="Times New Roman"/>
              </w:rPr>
              <w:t>生活污水</w:t>
            </w:r>
            <w:r>
              <w:rPr>
                <w:rFonts w:ascii="Times New Roman" w:hAnsi="Times New Roman"/>
              </w:rPr>
              <w:t>经</w:t>
            </w:r>
            <w:r>
              <w:rPr>
                <w:rFonts w:hint="eastAsia" w:ascii="Times New Roman" w:hAnsi="Times New Roman"/>
              </w:rPr>
              <w:t>地埋式生活污水处理设施</w:t>
            </w:r>
            <w:r>
              <w:rPr>
                <w:rFonts w:ascii="Times New Roman" w:hAnsi="Times New Roman"/>
              </w:rPr>
              <w:t>处理后，可以满足《农田灌溉水质标准》(GB5084-</w:t>
            </w:r>
            <w:r>
              <w:rPr>
                <w:rFonts w:hint="eastAsia" w:ascii="Times New Roman" w:hAnsi="Times New Roman"/>
              </w:rPr>
              <w:t>2021</w:t>
            </w:r>
            <w:r>
              <w:rPr>
                <w:rFonts w:ascii="Times New Roman" w:hAnsi="Times New Roman"/>
              </w:rPr>
              <w:t>)表1“</w:t>
            </w:r>
            <w:r>
              <w:rPr>
                <w:rFonts w:hint="eastAsia" w:ascii="Times New Roman" w:hAnsi="Times New Roman"/>
              </w:rPr>
              <w:t>农田灌溉水质基本控制项目限值</w:t>
            </w:r>
            <w:r>
              <w:rPr>
                <w:rFonts w:ascii="Times New Roman" w:hAnsi="Times New Roman"/>
              </w:rPr>
              <w:t>”，可以用作灌溉用水。</w:t>
            </w:r>
          </w:p>
          <w:p>
            <w:pPr>
              <w:spacing w:line="440" w:lineRule="exact"/>
              <w:ind w:firstLine="480" w:firstLineChars="200"/>
              <w:rPr>
                <w:rFonts w:ascii="Times New Roman" w:hAnsi="Times New Roman"/>
              </w:rPr>
            </w:pPr>
            <w:r>
              <w:rPr>
                <w:rFonts w:hint="eastAsia" w:ascii="Times New Roman" w:hAnsi="Times New Roman"/>
              </w:rPr>
              <w:t>③水量</w:t>
            </w:r>
          </w:p>
          <w:p>
            <w:pPr>
              <w:spacing w:line="440" w:lineRule="exact"/>
              <w:ind w:firstLine="480" w:firstLineChars="200"/>
              <w:rPr>
                <w:rFonts w:ascii="Times New Roman" w:hAnsi="Times New Roman"/>
              </w:rPr>
            </w:pPr>
            <w:r>
              <w:rPr>
                <w:rFonts w:hint="eastAsia" w:ascii="Times New Roman" w:hAnsi="Times New Roman"/>
              </w:rPr>
              <w:t>卓阳达公司</w:t>
            </w:r>
            <w:r>
              <w:rPr>
                <w:rFonts w:ascii="Times New Roman" w:hAnsi="Times New Roman"/>
              </w:rPr>
              <w:t>已签订了生活污水清运协议(见附件</w:t>
            </w:r>
            <w:r>
              <w:rPr>
                <w:rFonts w:hint="eastAsia" w:ascii="Times New Roman" w:hAnsi="Times New Roman"/>
              </w:rPr>
              <w:t>八</w:t>
            </w:r>
            <w:r>
              <w:rPr>
                <w:rFonts w:ascii="Times New Roman" w:hAnsi="Times New Roman"/>
              </w:rPr>
              <w:t>)，同意本项目</w:t>
            </w:r>
            <w:r>
              <w:rPr>
                <w:rFonts w:hint="eastAsia" w:ascii="Times New Roman" w:hAnsi="Times New Roman"/>
              </w:rPr>
              <w:t>生活污水</w:t>
            </w:r>
            <w:r>
              <w:rPr>
                <w:rFonts w:ascii="Times New Roman" w:hAnsi="Times New Roman"/>
              </w:rPr>
              <w:t>处理后浇灌周边的</w:t>
            </w:r>
            <w:r>
              <w:rPr>
                <w:rFonts w:hint="eastAsia" w:ascii="Times New Roman" w:hAnsi="Times New Roman"/>
              </w:rPr>
              <w:t>山</w:t>
            </w:r>
            <w:r>
              <w:rPr>
                <w:rFonts w:ascii="Times New Roman" w:hAnsi="Times New Roman"/>
              </w:rPr>
              <w:t>林地，山林地位于项目厂址西南侧距离约150m处，</w:t>
            </w:r>
            <w:r>
              <w:rPr>
                <w:rFonts w:hint="eastAsia" w:ascii="Times New Roman" w:hAnsi="Times New Roman"/>
              </w:rPr>
              <w:t>通过槽车将生活污水运送至山林地</w:t>
            </w:r>
            <w:r>
              <w:rPr>
                <w:rFonts w:ascii="Times New Roman" w:hAnsi="Times New Roman"/>
              </w:rPr>
              <w:t>。</w:t>
            </w:r>
          </w:p>
          <w:p>
            <w:pPr>
              <w:spacing w:line="440" w:lineRule="exact"/>
              <w:ind w:firstLine="480" w:firstLineChars="200"/>
              <w:rPr>
                <w:rFonts w:ascii="Times New Roman" w:hAnsi="Times New Roman"/>
              </w:rPr>
            </w:pPr>
            <w:r>
              <w:rPr>
                <w:rFonts w:ascii="Times New Roman" w:hAnsi="Times New Roman"/>
              </w:rPr>
              <w:t>参照《福建省行业用水定额》(DB35/T 772-2013)，林业用水定额为50-100m</w:t>
            </w:r>
            <w:r>
              <w:rPr>
                <w:rFonts w:ascii="Times New Roman" w:hAnsi="Times New Roman"/>
                <w:vertAlign w:val="superscript"/>
              </w:rPr>
              <w:t>3</w:t>
            </w:r>
            <w:r>
              <w:rPr>
                <w:rFonts w:ascii="Times New Roman" w:hAnsi="Times New Roman"/>
              </w:rPr>
              <w:t>/</w:t>
            </w:r>
            <w:r>
              <w:rPr>
                <w:rFonts w:hint="eastAsia" w:ascii="Times New Roman" w:hAnsi="Times New Roman"/>
              </w:rPr>
              <w:t>亩，</w:t>
            </w:r>
            <w:r>
              <w:rPr>
                <w:rFonts w:ascii="Times New Roman" w:hAnsi="Times New Roman"/>
              </w:rPr>
              <w:t>按50m</w:t>
            </w:r>
            <w:r>
              <w:rPr>
                <w:rFonts w:ascii="Times New Roman" w:hAnsi="Times New Roman"/>
                <w:vertAlign w:val="superscript"/>
              </w:rPr>
              <w:t>3</w:t>
            </w:r>
            <w:r>
              <w:rPr>
                <w:rFonts w:ascii="Times New Roman" w:hAnsi="Times New Roman"/>
              </w:rPr>
              <w:t>/</w:t>
            </w:r>
            <w:r>
              <w:rPr>
                <w:rFonts w:hint="eastAsia" w:ascii="Times New Roman" w:hAnsi="Times New Roman"/>
              </w:rPr>
              <w:t>亩，山林地</w:t>
            </w:r>
            <w:r>
              <w:rPr>
                <w:rFonts w:ascii="Times New Roman" w:hAnsi="Times New Roman"/>
              </w:rPr>
              <w:t>面积约为15亩</w:t>
            </w:r>
            <w:r>
              <w:rPr>
                <w:rFonts w:hint="eastAsia" w:ascii="Times New Roman" w:hAnsi="Times New Roman"/>
              </w:rPr>
              <w:t>，</w:t>
            </w:r>
            <w:r>
              <w:rPr>
                <w:rFonts w:ascii="Times New Roman" w:hAnsi="Times New Roman"/>
              </w:rPr>
              <w:t>则</w:t>
            </w:r>
            <w:r>
              <w:rPr>
                <w:rFonts w:hint="eastAsia" w:ascii="Times New Roman" w:hAnsi="Times New Roman"/>
              </w:rPr>
              <w:t>山林地年可消纳生活污水750m</w:t>
            </w:r>
            <w:r>
              <w:rPr>
                <w:rFonts w:hint="eastAsia" w:ascii="Times New Roman" w:hAnsi="Times New Roman"/>
                <w:vertAlign w:val="superscript"/>
              </w:rPr>
              <w:t>3</w:t>
            </w:r>
            <w:r>
              <w:rPr>
                <w:rFonts w:hint="eastAsia" w:ascii="Times New Roman" w:hAnsi="Times New Roman"/>
              </w:rPr>
              <w:t>，本项目生活污水排放量为135m</w:t>
            </w:r>
            <w:r>
              <w:rPr>
                <w:rFonts w:hint="eastAsia" w:ascii="Times New Roman" w:hAnsi="Times New Roman"/>
                <w:vertAlign w:val="superscript"/>
              </w:rPr>
              <w:t>3</w:t>
            </w:r>
            <w:r>
              <w:rPr>
                <w:rFonts w:hint="eastAsia" w:ascii="Times New Roman" w:hAnsi="Times New Roman"/>
              </w:rPr>
              <w:t>，山林地可完全消纳本项目产生的生活污水。</w:t>
            </w:r>
          </w:p>
          <w:p>
            <w:pPr>
              <w:pStyle w:val="3"/>
              <w:spacing w:after="0" w:line="440" w:lineRule="exact"/>
              <w:ind w:right="-120" w:firstLine="480" w:firstLineChars="200"/>
              <w:jc w:val="left"/>
              <w:rPr>
                <w:rFonts w:ascii="Times New Roman" w:hAnsi="Times New Roman"/>
              </w:rPr>
            </w:pPr>
            <w:r>
              <w:rPr>
                <w:rFonts w:ascii="Times New Roman" w:hAnsi="Times New Roman"/>
              </w:rPr>
              <w:t>综上所述，本项目</w:t>
            </w:r>
            <w:r>
              <w:rPr>
                <w:rFonts w:hint="eastAsia" w:ascii="Times New Roman" w:hAnsi="Times New Roman"/>
              </w:rPr>
              <w:t>生活污水</w:t>
            </w:r>
            <w:r>
              <w:rPr>
                <w:rFonts w:ascii="Times New Roman" w:hAnsi="Times New Roman"/>
              </w:rPr>
              <w:t>处理后浇灌周边林地可行。</w:t>
            </w:r>
          </w:p>
          <w:p>
            <w:pPr>
              <w:jc w:val="center"/>
            </w:pPr>
            <w:r>
              <w:rPr>
                <w:rFonts w:hint="eastAsia"/>
              </w:rPr>
              <w:drawing>
                <wp:inline distT="0" distB="0" distL="114300" distR="114300">
                  <wp:extent cx="3689985" cy="2977515"/>
                  <wp:effectExtent l="0" t="0" r="5715" b="13335"/>
                  <wp:docPr id="8" name="图片 8" descr="8a1d595718823ff74014c7e4d54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a1d595718823ff74014c7e4d545324"/>
                          <pic:cNvPicPr>
                            <a:picLocks noChangeAspect="1"/>
                          </pic:cNvPicPr>
                        </pic:nvPicPr>
                        <pic:blipFill>
                          <a:blip r:embed="rId22"/>
                          <a:srcRect t="34819" r="2239" b="20811"/>
                          <a:stretch>
                            <a:fillRect/>
                          </a:stretch>
                        </pic:blipFill>
                        <pic:spPr>
                          <a:xfrm>
                            <a:off x="0" y="0"/>
                            <a:ext cx="3689985" cy="297751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kern w:val="2"/>
                <w:sz w:val="24"/>
                <w:szCs w:val="24"/>
                <w:shd w:val="clear" w:color="auto" w:fill="FFFFFF"/>
                <w:lang w:bidi="ar"/>
              </w:rPr>
            </w:pPr>
            <w:r>
              <w:rPr>
                <w:rFonts w:ascii="Times New Roman" w:hAnsi="Times New Roman" w:eastAsia="黑体"/>
                <w:bCs w:val="0"/>
                <w:sz w:val="21"/>
                <w:szCs w:val="21"/>
              </w:rPr>
              <w:t>图4.2-</w:t>
            </w:r>
            <w:r>
              <w:rPr>
                <w:rFonts w:hint="eastAsia" w:ascii="Times New Roman" w:hAnsi="Times New Roman" w:eastAsia="黑体"/>
                <w:bCs w:val="0"/>
                <w:sz w:val="21"/>
                <w:szCs w:val="21"/>
              </w:rPr>
              <w:t>2灌溉山林地照片</w:t>
            </w:r>
          </w:p>
          <w:p>
            <w:pPr>
              <w:adjustRightInd w:val="0"/>
              <w:snapToGrid w:val="0"/>
              <w:spacing w:line="440" w:lineRule="exact"/>
              <w:ind w:left="480" w:leftChars="200"/>
              <w:rPr>
                <w:rFonts w:ascii="Times New Roman" w:hAnsi="Times New Roman"/>
                <w:kern w:val="0"/>
                <w:szCs w:val="20"/>
              </w:rPr>
            </w:pPr>
            <w:r>
              <w:rPr>
                <w:rFonts w:hint="eastAsia" w:ascii="Times New Roman" w:hAnsi="Times New Roman"/>
                <w:kern w:val="0"/>
                <w:szCs w:val="20"/>
              </w:rPr>
              <w:t>（3）初期雨水</w:t>
            </w:r>
          </w:p>
          <w:p>
            <w:pPr>
              <w:adjustRightInd w:val="0"/>
              <w:snapToGrid w:val="0"/>
              <w:spacing w:line="460" w:lineRule="exact"/>
              <w:ind w:firstLine="480" w:firstLineChars="200"/>
              <w:rPr>
                <w:rFonts w:ascii="Times New Roman" w:hAnsi="Times New Roman" w:eastAsiaTheme="minorEastAsia"/>
                <w:szCs w:val="22"/>
              </w:rPr>
            </w:pPr>
            <w:r>
              <w:rPr>
                <w:rFonts w:ascii="Times New Roman" w:hAnsi="Times New Roman" w:eastAsiaTheme="minorEastAsia"/>
                <w:szCs w:val="22"/>
              </w:rPr>
              <w:t>项目初期雨水拟</w:t>
            </w:r>
            <w:r>
              <w:rPr>
                <w:rFonts w:hint="eastAsia" w:ascii="Times New Roman" w:hAnsi="Times New Roman" w:eastAsiaTheme="minorEastAsia"/>
                <w:szCs w:val="22"/>
              </w:rPr>
              <w:t>收集后经初期雨水沉淀池处理后</w:t>
            </w:r>
            <w:r>
              <w:rPr>
                <w:rFonts w:ascii="Times New Roman" w:hAnsi="Times New Roman" w:eastAsiaTheme="minorEastAsia"/>
                <w:szCs w:val="22"/>
              </w:rPr>
              <w:t>回用。</w:t>
            </w:r>
          </w:p>
          <w:p>
            <w:pPr>
              <w:adjustRightInd w:val="0"/>
              <w:snapToGrid w:val="0"/>
              <w:spacing w:line="460" w:lineRule="exact"/>
              <w:ind w:firstLine="480" w:firstLineChars="200"/>
              <w:rPr>
                <w:rFonts w:ascii="Times New Roman" w:hAnsi="Times New Roman" w:eastAsiaTheme="minorEastAsia"/>
                <w:szCs w:val="22"/>
              </w:rPr>
            </w:pPr>
            <w:r>
              <w:rPr>
                <w:rFonts w:ascii="Times New Roman" w:hAnsi="Times New Roman" w:eastAsiaTheme="minorEastAsia"/>
                <w:szCs w:val="22"/>
              </w:rPr>
              <w:fldChar w:fldCharType="begin"/>
            </w:r>
            <w:r>
              <w:rPr>
                <w:rFonts w:ascii="Times New Roman" w:hAnsi="Times New Roman" w:eastAsiaTheme="minorEastAsia"/>
                <w:szCs w:val="22"/>
              </w:rPr>
              <w:instrText xml:space="preserve"> = 1 \* GB3 \* MERGEFORMAT </w:instrText>
            </w:r>
            <w:r>
              <w:rPr>
                <w:rFonts w:ascii="Times New Roman" w:hAnsi="Times New Roman" w:eastAsiaTheme="minorEastAsia"/>
                <w:szCs w:val="22"/>
              </w:rPr>
              <w:fldChar w:fldCharType="separate"/>
            </w:r>
            <w:r>
              <w:rPr>
                <w:rFonts w:ascii="Times New Roman" w:hAnsi="Times New Roman" w:eastAsiaTheme="minorEastAsia"/>
                <w:szCs w:val="22"/>
              </w:rPr>
              <w:t>①</w:t>
            </w:r>
            <w:r>
              <w:rPr>
                <w:rFonts w:ascii="Times New Roman" w:hAnsi="Times New Roman" w:eastAsiaTheme="minorEastAsia"/>
                <w:szCs w:val="22"/>
              </w:rPr>
              <w:fldChar w:fldCharType="end"/>
            </w:r>
            <w:r>
              <w:rPr>
                <w:rFonts w:ascii="Times New Roman" w:hAnsi="Times New Roman" w:eastAsiaTheme="minorEastAsia"/>
                <w:szCs w:val="22"/>
              </w:rPr>
              <w:t>初期雨水收集处理范围</w:t>
            </w:r>
          </w:p>
          <w:p>
            <w:pPr>
              <w:adjustRightInd w:val="0"/>
              <w:snapToGrid w:val="0"/>
              <w:spacing w:line="460" w:lineRule="exact"/>
              <w:ind w:firstLine="480" w:firstLineChars="200"/>
              <w:rPr>
                <w:rFonts w:ascii="Times New Roman" w:hAnsi="Times New Roman"/>
              </w:rPr>
            </w:pPr>
            <w:r>
              <w:rPr>
                <w:rFonts w:hint="eastAsia" w:ascii="Times New Roman" w:hAnsi="Times New Roman"/>
              </w:rPr>
              <w:t>项目厂区原料堆场、生产车间、尾渣堆场均设置顶棚，顶棚设置雨水收集管道，生产车间、尾渣堆场雨水管道接至厂区外，雨水通过管道直接排入厂区东侧的武陵溪。原料堆场的顶棚水进入雨水沟，与厂内道路一起排至厂区东侧门口。</w:t>
            </w:r>
          </w:p>
          <w:p>
            <w:pPr>
              <w:spacing w:line="440" w:lineRule="exact"/>
              <w:ind w:firstLine="480" w:firstLineChars="200"/>
              <w:rPr>
                <w:rFonts w:ascii="Times New Roman" w:hAnsi="Times New Roman"/>
              </w:rPr>
            </w:pPr>
            <w:r>
              <w:rPr>
                <w:rFonts w:hint="eastAsia" w:ascii="Times New Roman" w:hAnsi="Times New Roman"/>
              </w:rPr>
              <w:t>原料运输车辆在厂区外西侧运输至原料堆场卸料，不经过厂区；厂内铲车会在厂区北部原料堆场和尾渣堆场区域之间的道路行驶；成品、尾渣运输车辆在厂区大门至尾渣堆场之间的道路行驶。车辆运输过程中会撒落很少量的物料，在雨季，厂区内道路会产生污染雨水，应进行收集处理，初期雨水汇水区域为原料堆场及厂区内道路（见附图1</w:t>
            </w:r>
            <w:r>
              <w:rPr>
                <w:rFonts w:hint="eastAsia" w:ascii="Times New Roman" w:hAnsi="Times New Roman"/>
                <w:lang w:val="en-US" w:eastAsia="zh-CN"/>
              </w:rPr>
              <w:t>2</w:t>
            </w:r>
            <w:r>
              <w:rPr>
                <w:rFonts w:hint="eastAsia" w:ascii="Times New Roman" w:hAnsi="Times New Roman"/>
              </w:rPr>
              <w:t>），汇水面积约为900m</w:t>
            </w:r>
            <w:r>
              <w:rPr>
                <w:rFonts w:hint="eastAsia" w:ascii="Times New Roman" w:hAnsi="Times New Roman"/>
                <w:vertAlign w:val="superscript"/>
              </w:rPr>
              <w:t>2</w:t>
            </w:r>
            <w:r>
              <w:rPr>
                <w:rFonts w:hint="eastAsia" w:ascii="Times New Roman" w:hAnsi="Times New Roman"/>
              </w:rPr>
              <w:t>。</w:t>
            </w:r>
          </w:p>
          <w:p>
            <w:pPr>
              <w:spacing w:line="440" w:lineRule="exact"/>
              <w:ind w:firstLine="480" w:firstLineChars="200"/>
              <w:rPr>
                <w:rFonts w:ascii="Times New Roman" w:hAnsi="Times New Roman" w:eastAsiaTheme="minorEastAsia"/>
                <w:szCs w:val="22"/>
              </w:rPr>
            </w:pPr>
            <w:r>
              <w:rPr>
                <w:rFonts w:hint="eastAsia" w:ascii="Times New Roman" w:hAnsi="Times New Roman"/>
              </w:rPr>
              <w:t>根据厂区地形地势，要求企业在厂区大门口道路东侧（厂区地势最低）设置一个容积不小于9</w:t>
            </w:r>
            <w:r>
              <w:rPr>
                <w:rFonts w:ascii="Times New Roman" w:hAnsi="Times New Roman"/>
                <w:bCs/>
              </w:rPr>
              <w:t>m</w:t>
            </w:r>
            <w:r>
              <w:rPr>
                <w:rFonts w:ascii="Times New Roman" w:hAnsi="Times New Roman"/>
                <w:bCs/>
                <w:vertAlign w:val="superscript"/>
              </w:rPr>
              <w:t>3</w:t>
            </w:r>
            <w:r>
              <w:rPr>
                <w:rFonts w:hint="eastAsia" w:ascii="Times New Roman" w:hAnsi="Times New Roman"/>
              </w:rPr>
              <w:t>的初期雨水沉淀池。初期雨水经初期雨水沉淀池处理后作为生产用水回用，回用于球磨等工序，不外排。</w:t>
            </w:r>
          </w:p>
          <w:p>
            <w:pPr>
              <w:pStyle w:val="38"/>
              <w:spacing w:line="460" w:lineRule="exact"/>
              <w:ind w:firstLine="480"/>
              <w:rPr>
                <w:rFonts w:eastAsiaTheme="minorEastAsia"/>
              </w:rPr>
            </w:pPr>
            <w:r>
              <w:rPr>
                <w:rFonts w:eastAsiaTheme="minorEastAsia"/>
              </w:rPr>
              <w:fldChar w:fldCharType="begin"/>
            </w:r>
            <w:r>
              <w:rPr>
                <w:rFonts w:eastAsiaTheme="minorEastAsia"/>
              </w:rPr>
              <w:instrText xml:space="preserve"> = 2 \* GB3 \* MERGEFORMAT </w:instrText>
            </w:r>
            <w:r>
              <w:rPr>
                <w:rFonts w:eastAsiaTheme="minorEastAsia"/>
              </w:rPr>
              <w:fldChar w:fldCharType="separate"/>
            </w:r>
            <w:r>
              <w:rPr>
                <w:rFonts w:eastAsiaTheme="minorEastAsia"/>
              </w:rPr>
              <w:t>②</w:t>
            </w:r>
            <w:r>
              <w:rPr>
                <w:rFonts w:eastAsiaTheme="minorEastAsia"/>
              </w:rPr>
              <w:fldChar w:fldCharType="end"/>
            </w:r>
            <w:r>
              <w:rPr>
                <w:rFonts w:eastAsiaTheme="minorEastAsia"/>
              </w:rPr>
              <w:t>水质</w:t>
            </w:r>
          </w:p>
          <w:p>
            <w:pPr>
              <w:adjustRightInd w:val="0"/>
              <w:snapToGrid w:val="0"/>
              <w:spacing w:line="460" w:lineRule="exact"/>
              <w:ind w:firstLine="480" w:firstLineChars="200"/>
              <w:rPr>
                <w:rFonts w:ascii="Times New Roman" w:hAnsi="Times New Roman" w:eastAsiaTheme="minorEastAsia"/>
                <w:szCs w:val="22"/>
              </w:rPr>
            </w:pPr>
            <w:r>
              <w:rPr>
                <w:rFonts w:hint="eastAsia" w:ascii="Times New Roman" w:hAnsi="Times New Roman"/>
              </w:rPr>
              <w:t>成品、尾渣运输车辆在厂区大门至尾渣堆场之间的道路行驶。车辆运输过程中会撒落很少量的物料</w:t>
            </w:r>
            <w:r>
              <w:rPr>
                <w:rFonts w:ascii="Times New Roman" w:hAnsi="Times New Roman"/>
                <w:szCs w:val="22"/>
              </w:rPr>
              <w:t>，主要污染因子为SS</w:t>
            </w:r>
            <w:r>
              <w:rPr>
                <w:rFonts w:ascii="Times New Roman" w:hAnsi="Times New Roman"/>
              </w:rPr>
              <w:t>。初期雨水</w:t>
            </w:r>
            <w:r>
              <w:rPr>
                <w:rFonts w:ascii="Times New Roman" w:hAnsi="Times New Roman"/>
                <w:snapToGrid w:val="0"/>
              </w:rPr>
              <w:t>经</w:t>
            </w:r>
            <w:r>
              <w:rPr>
                <w:rFonts w:hint="eastAsia" w:ascii="Times New Roman" w:hAnsi="Times New Roman"/>
                <w:snapToGrid w:val="0"/>
              </w:rPr>
              <w:t>初期雨水</w:t>
            </w:r>
            <w:r>
              <w:rPr>
                <w:rFonts w:ascii="Times New Roman" w:hAnsi="Times New Roman"/>
                <w:snapToGrid w:val="0"/>
              </w:rPr>
              <w:t>沉淀池沉淀，</w:t>
            </w:r>
            <w:r>
              <w:rPr>
                <w:rFonts w:ascii="Times New Roman" w:hAnsi="Times New Roman"/>
              </w:rPr>
              <w:t>废水中大多数颗粒物可有效沉淀下来，泥水进行分离，经沉淀后的水用于生产。</w:t>
            </w:r>
          </w:p>
          <w:p>
            <w:pPr>
              <w:adjustRightInd w:val="0"/>
              <w:snapToGrid w:val="0"/>
              <w:spacing w:line="460" w:lineRule="exact"/>
              <w:ind w:firstLine="480" w:firstLineChars="200"/>
              <w:rPr>
                <w:rFonts w:ascii="Times New Roman" w:hAnsi="Times New Roman"/>
                <w:szCs w:val="22"/>
              </w:rPr>
            </w:pPr>
            <w:r>
              <w:rPr>
                <w:rFonts w:ascii="Times New Roman" w:hAnsi="Times New Roman"/>
                <w:szCs w:val="22"/>
              </w:rPr>
              <w:fldChar w:fldCharType="begin"/>
            </w:r>
            <w:r>
              <w:rPr>
                <w:rFonts w:ascii="Times New Roman" w:hAnsi="Times New Roman"/>
                <w:szCs w:val="22"/>
              </w:rPr>
              <w:instrText xml:space="preserve"> = 3 \* GB3 \* MERGEFORMAT </w:instrText>
            </w:r>
            <w:r>
              <w:rPr>
                <w:rFonts w:ascii="Times New Roman" w:hAnsi="Times New Roman"/>
                <w:szCs w:val="22"/>
              </w:rPr>
              <w:fldChar w:fldCharType="separate"/>
            </w:r>
            <w:r>
              <w:rPr>
                <w:rFonts w:ascii="Times New Roman" w:hAnsi="Times New Roman"/>
                <w:szCs w:val="22"/>
              </w:rPr>
              <w:t>③</w:t>
            </w:r>
            <w:r>
              <w:rPr>
                <w:rFonts w:ascii="Times New Roman" w:hAnsi="Times New Roman"/>
                <w:szCs w:val="22"/>
              </w:rPr>
              <w:fldChar w:fldCharType="end"/>
            </w:r>
            <w:r>
              <w:rPr>
                <w:rFonts w:ascii="Times New Roman" w:hAnsi="Times New Roman"/>
                <w:szCs w:val="22"/>
              </w:rPr>
              <w:t>水量</w:t>
            </w:r>
          </w:p>
          <w:p>
            <w:pPr>
              <w:pStyle w:val="38"/>
              <w:spacing w:line="460" w:lineRule="exact"/>
              <w:ind w:firstLine="480"/>
            </w:pPr>
            <w:r>
              <w:rPr>
                <w:rFonts w:hint="eastAsia"/>
              </w:rPr>
              <w:t>根据工程分析，单次</w:t>
            </w:r>
            <w:r>
              <w:t>初期雨水最大产生量为</w:t>
            </w:r>
            <w:r>
              <w:rPr>
                <w:rFonts w:hint="eastAsia"/>
              </w:rPr>
              <w:t>9</w:t>
            </w:r>
            <w:r>
              <w:t>m</w:t>
            </w:r>
            <w:r>
              <w:rPr>
                <w:vertAlign w:val="superscript"/>
              </w:rPr>
              <w:t>3</w:t>
            </w:r>
            <w:r>
              <w:t>/次，</w:t>
            </w:r>
            <w:r>
              <w:rPr>
                <w:rFonts w:hint="eastAsia"/>
              </w:rPr>
              <w:t>经初期雨水沉淀池沉淀处理后回用，拟在厂区东侧门口设置容积不小于9</w:t>
            </w:r>
            <w:r>
              <w:rPr>
                <w:bCs/>
              </w:rPr>
              <w:t>m</w:t>
            </w:r>
            <w:r>
              <w:rPr>
                <w:bCs/>
                <w:vertAlign w:val="superscript"/>
              </w:rPr>
              <w:t>3</w:t>
            </w:r>
            <w:r>
              <w:rPr>
                <w:rFonts w:hint="eastAsia"/>
              </w:rPr>
              <w:t>的初期雨水沉淀池，可满足需求。</w:t>
            </w:r>
          </w:p>
          <w:p>
            <w:pPr>
              <w:pStyle w:val="38"/>
              <w:spacing w:line="460" w:lineRule="exact"/>
              <w:ind w:firstLine="480"/>
              <w:rPr>
                <w:szCs w:val="20"/>
              </w:rPr>
            </w:pPr>
            <w:r>
              <w:rPr>
                <w:rFonts w:eastAsiaTheme="minorEastAsia"/>
              </w:rPr>
              <w:t>综上所述，从水质、水量和设施处理能力分析，项目初期雨水</w:t>
            </w:r>
            <w:r>
              <w:rPr>
                <w:rFonts w:hint="eastAsia" w:eastAsiaTheme="minorEastAsia"/>
              </w:rPr>
              <w:t>收集、处理方案可行。</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3</w:t>
            </w:r>
            <w:r>
              <w:rPr>
                <w:rFonts w:ascii="Times New Roman" w:hAnsi="Times New Roman" w:eastAsia="黑体"/>
                <w:b/>
                <w:bCs/>
              </w:rPr>
              <w:t>.3</w:t>
            </w:r>
            <w:r>
              <w:rPr>
                <w:rFonts w:hint="eastAsia" w:ascii="Times New Roman" w:hAnsi="Times New Roman" w:eastAsia="黑体"/>
                <w:b/>
                <w:bCs/>
              </w:rPr>
              <w:t>地表</w:t>
            </w:r>
            <w:r>
              <w:rPr>
                <w:rFonts w:ascii="Times New Roman" w:hAnsi="Times New Roman" w:eastAsia="黑体"/>
                <w:b/>
                <w:bCs/>
              </w:rPr>
              <w:t>水环境影响分析</w:t>
            </w:r>
          </w:p>
          <w:p>
            <w:pPr>
              <w:pStyle w:val="3"/>
              <w:spacing w:after="0" w:line="440" w:lineRule="exact"/>
              <w:ind w:right="-120" w:firstLine="480" w:firstLineChars="200"/>
              <w:jc w:val="left"/>
              <w:rPr>
                <w:rFonts w:ascii="Times New Roman" w:hAnsi="Times New Roman"/>
              </w:rPr>
            </w:pPr>
            <w:r>
              <w:rPr>
                <w:rFonts w:ascii="Times New Roman" w:hAnsi="Times New Roman"/>
              </w:rPr>
              <w:t>项目生产废水经</w:t>
            </w:r>
            <w:r>
              <w:rPr>
                <w:rFonts w:hint="eastAsia" w:ascii="Times New Roman" w:hAnsi="Times New Roman"/>
              </w:rPr>
              <w:t>“隔油池+沉淀池”</w:t>
            </w:r>
            <w:r>
              <w:rPr>
                <w:rFonts w:ascii="Times New Roman" w:hAnsi="Times New Roman"/>
              </w:rPr>
              <w:t>处理后循环回用，不外排，正常生产不会对周边地表水体产生污染</w:t>
            </w:r>
            <w:r>
              <w:rPr>
                <w:rFonts w:hint="eastAsia" w:ascii="Times New Roman" w:hAnsi="Times New Roman"/>
              </w:rPr>
              <w:t>。</w:t>
            </w:r>
            <w:r>
              <w:rPr>
                <w:rFonts w:ascii="Times New Roman" w:hAnsi="Times New Roman"/>
              </w:rPr>
              <w:t>项目员工均不在厂区内食宿，生活污水经</w:t>
            </w:r>
            <w:r>
              <w:rPr>
                <w:rFonts w:hint="eastAsia" w:ascii="Times New Roman" w:hAnsi="Times New Roman"/>
              </w:rPr>
              <w:t>地埋式生活污水处理设施</w:t>
            </w:r>
            <w:r>
              <w:rPr>
                <w:rFonts w:ascii="Times New Roman" w:hAnsi="Times New Roman"/>
              </w:rPr>
              <w:t>处理后</w:t>
            </w:r>
            <w:r>
              <w:rPr>
                <w:rFonts w:hint="eastAsia" w:ascii="Times New Roman" w:hAnsi="Times New Roman"/>
              </w:rPr>
              <w:t>用于周边山林地灌溉</w:t>
            </w:r>
            <w:r>
              <w:rPr>
                <w:rFonts w:ascii="Times New Roman" w:hAnsi="Times New Roman"/>
              </w:rPr>
              <w:t>。</w:t>
            </w:r>
          </w:p>
          <w:p>
            <w:pPr>
              <w:pStyle w:val="3"/>
              <w:spacing w:after="0" w:line="440" w:lineRule="exact"/>
              <w:ind w:right="-120" w:firstLine="480" w:firstLineChars="200"/>
              <w:jc w:val="left"/>
              <w:rPr>
                <w:rFonts w:ascii="Times New Roman" w:hAnsi="Times New Roman"/>
              </w:rPr>
            </w:pPr>
            <w:r>
              <w:rPr>
                <w:rFonts w:ascii="Times New Roman" w:hAnsi="Times New Roman"/>
              </w:rPr>
              <w:t>因此，项目正常生产对周边水环境影响较小。</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4</w:t>
            </w:r>
            <w:r>
              <w:rPr>
                <w:rFonts w:ascii="Times New Roman" w:hAnsi="Times New Roman"/>
                <w:szCs w:val="24"/>
              </w:rPr>
              <w:t>噪声</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.1</w:t>
            </w:r>
            <w:r>
              <w:rPr>
                <w:rFonts w:hint="eastAsia" w:ascii="Times New Roman" w:hAnsi="Times New Roman" w:eastAsia="黑体"/>
                <w:b/>
                <w:bCs/>
              </w:rPr>
              <w:t>预测模型</w:t>
            </w:r>
          </w:p>
          <w:p>
            <w:pPr>
              <w:pStyle w:val="46"/>
              <w:rPr>
                <w:color w:val="auto"/>
                <w:shd w:val="clear" w:color="auto" w:fill="FFFFFF"/>
                <w:lang w:bidi="ar"/>
              </w:rPr>
            </w:pPr>
            <w:r>
              <w:rPr>
                <w:rFonts w:hint="eastAsia"/>
                <w:color w:val="auto"/>
                <w:shd w:val="clear" w:color="auto" w:fill="FFFFFF"/>
                <w:lang w:bidi="ar"/>
              </w:rPr>
              <w:t>本评价选取《环境影响评价技术导则</w:t>
            </w:r>
            <w:r>
              <w:rPr>
                <w:color w:val="auto"/>
                <w:shd w:val="clear" w:color="auto" w:fill="FFFFFF"/>
                <w:lang w:bidi="ar"/>
              </w:rPr>
              <w:t xml:space="preserve"> </w:t>
            </w:r>
            <w:r>
              <w:rPr>
                <w:rFonts w:hint="eastAsia"/>
                <w:color w:val="auto"/>
                <w:shd w:val="clear" w:color="auto" w:fill="FFFFFF"/>
                <w:lang w:bidi="ar"/>
              </w:rPr>
              <w:t>声环境》（</w:t>
            </w:r>
            <w:r>
              <w:rPr>
                <w:color w:val="auto"/>
                <w:shd w:val="clear" w:color="auto" w:fill="FFFFFF"/>
                <w:lang w:bidi="ar"/>
              </w:rPr>
              <w:t>HJ2.4-2021</w:t>
            </w:r>
            <w:r>
              <w:rPr>
                <w:rFonts w:hint="eastAsia"/>
                <w:color w:val="auto"/>
                <w:shd w:val="clear" w:color="auto" w:fill="FFFFFF"/>
                <w:lang w:bidi="ar"/>
              </w:rPr>
              <w:t>）推荐的典型行业噪声预测模型作为噪声预测模型，采用六五软件工作室开发的</w:t>
            </w:r>
            <w:r>
              <w:rPr>
                <w:color w:val="auto"/>
                <w:shd w:val="clear" w:color="auto" w:fill="FFFFFF"/>
                <w:lang w:bidi="ar"/>
              </w:rPr>
              <w:t>EIAProN2021</w:t>
            </w:r>
            <w:r>
              <w:rPr>
                <w:rFonts w:hint="eastAsia"/>
                <w:color w:val="auto"/>
                <w:shd w:val="clear" w:color="auto" w:fill="FFFFFF"/>
                <w:lang w:bidi="ar"/>
              </w:rPr>
              <w:t>版软件（版本号为</w:t>
            </w:r>
            <w:r>
              <w:rPr>
                <w:color w:val="auto"/>
                <w:shd w:val="clear" w:color="auto" w:fill="FFFFFF"/>
                <w:lang w:bidi="ar"/>
              </w:rPr>
              <w:t>V2.5.209</w:t>
            </w:r>
            <w:r>
              <w:rPr>
                <w:rFonts w:hint="eastAsia"/>
                <w:color w:val="auto"/>
                <w:shd w:val="clear" w:color="auto" w:fill="FFFFFF"/>
                <w:lang w:bidi="ar"/>
              </w:rPr>
              <w:t>）。</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w:t>
            </w:r>
            <w:r>
              <w:rPr>
                <w:rFonts w:hint="eastAsia" w:ascii="Times New Roman" w:hAnsi="Times New Roman" w:eastAsia="黑体"/>
                <w:b/>
                <w:bCs/>
              </w:rPr>
              <w:t>2预测参数</w:t>
            </w:r>
          </w:p>
          <w:p>
            <w:pPr>
              <w:pStyle w:val="46"/>
              <w:numPr>
                <w:ilvl w:val="0"/>
                <w:numId w:val="15"/>
              </w:numPr>
              <w:rPr>
                <w:color w:val="auto"/>
              </w:rPr>
            </w:pPr>
            <w:r>
              <w:rPr>
                <w:rFonts w:hint="eastAsia"/>
                <w:color w:val="auto"/>
              </w:rPr>
              <w:t>噪声源强</w:t>
            </w:r>
          </w:p>
          <w:p>
            <w:pPr>
              <w:pStyle w:val="46"/>
              <w:rPr>
                <w:color w:val="auto"/>
              </w:rPr>
            </w:pPr>
            <w:r>
              <w:rPr>
                <w:rFonts w:hint="eastAsia"/>
                <w:color w:val="auto"/>
              </w:rPr>
              <w:t>本项目主要噪声源强汇总见下表</w:t>
            </w:r>
            <w:r>
              <w:rPr>
                <w:color w:val="auto"/>
              </w:rPr>
              <w:t>。</w:t>
            </w:r>
          </w:p>
          <w:p>
            <w:pPr>
              <w:pStyle w:val="46"/>
              <w:rPr>
                <w:color w:val="auto"/>
              </w:rPr>
            </w:pPr>
          </w:p>
          <w:p>
            <w:pPr>
              <w:pStyle w:val="34"/>
              <w:spacing w:before="120"/>
              <w:ind w:firstLine="422"/>
              <w:rPr>
                <w:rFonts w:ascii="Times New Roman" w:hAnsi="Times New Roman"/>
                <w:b/>
                <w:bCs/>
                <w:sz w:val="21"/>
                <w:szCs w:val="21"/>
              </w:rPr>
            </w:pPr>
          </w:p>
          <w:p>
            <w:pPr>
              <w:pStyle w:val="34"/>
              <w:spacing w:before="120"/>
              <w:ind w:firstLine="422"/>
              <w:rPr>
                <w:rFonts w:ascii="Times New Roman" w:hAnsi="Times New Roman"/>
                <w:b/>
                <w:bCs/>
                <w:sz w:val="21"/>
                <w:szCs w:val="21"/>
                <w:highlight w:val="yellow"/>
              </w:rPr>
            </w:pPr>
            <w:r>
              <w:rPr>
                <w:rFonts w:ascii="Times New Roman" w:hAnsi="Times New Roman"/>
                <w:b/>
                <w:bCs/>
                <w:sz w:val="21"/>
                <w:szCs w:val="21"/>
              </w:rPr>
              <w:t>表4.2-</w:t>
            </w:r>
            <w:r>
              <w:rPr>
                <w:rFonts w:hint="eastAsia" w:ascii="Times New Roman" w:hAnsi="Times New Roman"/>
                <w:b/>
                <w:bCs/>
                <w:sz w:val="21"/>
                <w:szCs w:val="21"/>
              </w:rPr>
              <w:t>5</w:t>
            </w:r>
            <w:r>
              <w:rPr>
                <w:rFonts w:ascii="Times New Roman" w:hAnsi="Times New Roman"/>
                <w:b/>
                <w:bCs/>
                <w:sz w:val="21"/>
                <w:szCs w:val="21"/>
              </w:rPr>
              <w:t xml:space="preserve"> </w:t>
            </w:r>
            <w:r>
              <w:rPr>
                <w:rFonts w:hint="eastAsia" w:ascii="Times New Roman" w:hAnsi="Times New Roman"/>
                <w:b/>
                <w:bCs/>
                <w:sz w:val="21"/>
                <w:szCs w:val="21"/>
              </w:rPr>
              <w:t>本项目噪声源强</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197"/>
              <w:gridCol w:w="1622"/>
              <w:gridCol w:w="1215"/>
              <w:gridCol w:w="1594"/>
              <w:gridCol w:w="1285"/>
              <w:gridCol w:w="10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78" w:type="dxa"/>
                  <w:vAlign w:val="center"/>
                </w:tcPr>
                <w:p>
                  <w:pPr>
                    <w:jc w:val="center"/>
                    <w:rPr>
                      <w:rFonts w:ascii="Times New Roman" w:hAnsi="Times New Roman"/>
                      <w:sz w:val="21"/>
                      <w:szCs w:val="21"/>
                    </w:rPr>
                  </w:pPr>
                  <w:r>
                    <w:rPr>
                      <w:rFonts w:ascii="Times New Roman" w:hAnsi="Times New Roman"/>
                      <w:sz w:val="21"/>
                      <w:szCs w:val="21"/>
                    </w:rPr>
                    <w:t>类型</w:t>
                  </w:r>
                </w:p>
              </w:tc>
              <w:tc>
                <w:tcPr>
                  <w:tcW w:w="1197" w:type="dxa"/>
                  <w:vAlign w:val="center"/>
                </w:tcPr>
                <w:p>
                  <w:pPr>
                    <w:jc w:val="center"/>
                    <w:rPr>
                      <w:rFonts w:ascii="Times New Roman" w:hAnsi="Times New Roman"/>
                      <w:sz w:val="21"/>
                      <w:szCs w:val="21"/>
                    </w:rPr>
                  </w:pPr>
                  <w:r>
                    <w:rPr>
                      <w:rFonts w:ascii="Times New Roman" w:hAnsi="Times New Roman"/>
                      <w:sz w:val="21"/>
                      <w:szCs w:val="21"/>
                    </w:rPr>
                    <w:t>车间/工段</w:t>
                  </w:r>
                </w:p>
              </w:tc>
              <w:tc>
                <w:tcPr>
                  <w:tcW w:w="1622" w:type="dxa"/>
                  <w:vAlign w:val="center"/>
                </w:tcPr>
                <w:p>
                  <w:pPr>
                    <w:jc w:val="center"/>
                    <w:rPr>
                      <w:rFonts w:ascii="Times New Roman" w:hAnsi="Times New Roman"/>
                      <w:sz w:val="21"/>
                      <w:szCs w:val="21"/>
                    </w:rPr>
                  </w:pPr>
                  <w:r>
                    <w:rPr>
                      <w:rFonts w:ascii="Times New Roman" w:hAnsi="Times New Roman"/>
                      <w:sz w:val="21"/>
                      <w:szCs w:val="21"/>
                    </w:rPr>
                    <w:t>噪声源</w:t>
                  </w:r>
                </w:p>
                <w:p>
                  <w:pPr>
                    <w:jc w:val="center"/>
                    <w:rPr>
                      <w:rFonts w:ascii="Times New Roman" w:hAnsi="Times New Roman"/>
                      <w:sz w:val="21"/>
                      <w:szCs w:val="21"/>
                    </w:rPr>
                  </w:pPr>
                  <w:r>
                    <w:rPr>
                      <w:rFonts w:ascii="Times New Roman" w:hAnsi="Times New Roman"/>
                      <w:sz w:val="21"/>
                      <w:szCs w:val="21"/>
                    </w:rPr>
                    <w:t>名称</w:t>
                  </w:r>
                </w:p>
              </w:tc>
              <w:tc>
                <w:tcPr>
                  <w:tcW w:w="1215" w:type="dxa"/>
                  <w:vAlign w:val="center"/>
                </w:tcPr>
                <w:p>
                  <w:pPr>
                    <w:jc w:val="center"/>
                    <w:rPr>
                      <w:rFonts w:ascii="Times New Roman" w:hAnsi="Times New Roman"/>
                      <w:sz w:val="21"/>
                      <w:szCs w:val="21"/>
                    </w:rPr>
                  </w:pPr>
                  <w:r>
                    <w:rPr>
                      <w:rFonts w:ascii="Times New Roman" w:hAnsi="Times New Roman"/>
                      <w:sz w:val="21"/>
                      <w:szCs w:val="21"/>
                    </w:rPr>
                    <w:t>A声压级dB(A)</w:t>
                  </w:r>
                </w:p>
              </w:tc>
              <w:tc>
                <w:tcPr>
                  <w:tcW w:w="1594" w:type="dxa"/>
                  <w:vAlign w:val="center"/>
                </w:tcPr>
                <w:p>
                  <w:pPr>
                    <w:jc w:val="center"/>
                    <w:rPr>
                      <w:rFonts w:ascii="Times New Roman" w:hAnsi="Times New Roman"/>
                      <w:sz w:val="21"/>
                      <w:szCs w:val="21"/>
                    </w:rPr>
                  </w:pPr>
                  <w:r>
                    <w:rPr>
                      <w:rFonts w:ascii="Times New Roman" w:hAnsi="Times New Roman"/>
                      <w:sz w:val="21"/>
                      <w:szCs w:val="21"/>
                    </w:rPr>
                    <w:t>降噪措施及效果dB(A)</w:t>
                  </w:r>
                </w:p>
              </w:tc>
              <w:tc>
                <w:tcPr>
                  <w:tcW w:w="1285" w:type="dxa"/>
                  <w:vAlign w:val="center"/>
                </w:tcPr>
                <w:p>
                  <w:pPr>
                    <w:jc w:val="center"/>
                    <w:rPr>
                      <w:rFonts w:ascii="Times New Roman" w:hAnsi="Times New Roman"/>
                      <w:sz w:val="21"/>
                      <w:szCs w:val="21"/>
                    </w:rPr>
                  </w:pPr>
                  <w:r>
                    <w:rPr>
                      <w:rFonts w:ascii="Times New Roman" w:hAnsi="Times New Roman"/>
                      <w:sz w:val="21"/>
                      <w:szCs w:val="21"/>
                    </w:rPr>
                    <w:t>数量</w:t>
                  </w:r>
                </w:p>
                <w:p>
                  <w:pPr>
                    <w:jc w:val="center"/>
                    <w:rPr>
                      <w:rFonts w:ascii="Times New Roman" w:hAnsi="Times New Roman"/>
                      <w:sz w:val="21"/>
                      <w:szCs w:val="21"/>
                    </w:rPr>
                  </w:pPr>
                  <w:r>
                    <w:rPr>
                      <w:rFonts w:ascii="Times New Roman" w:hAnsi="Times New Roman"/>
                      <w:sz w:val="21"/>
                      <w:szCs w:val="21"/>
                    </w:rPr>
                    <w:t>(台/条)</w:t>
                  </w:r>
                </w:p>
              </w:tc>
              <w:tc>
                <w:tcPr>
                  <w:tcW w:w="1043" w:type="dxa"/>
                  <w:vAlign w:val="center"/>
                </w:tcPr>
                <w:p>
                  <w:pPr>
                    <w:jc w:val="center"/>
                    <w:rPr>
                      <w:rFonts w:ascii="Times New Roman" w:hAnsi="Times New Roman"/>
                      <w:sz w:val="21"/>
                      <w:szCs w:val="21"/>
                    </w:rPr>
                  </w:pPr>
                  <w:r>
                    <w:rPr>
                      <w:rFonts w:hint="eastAsia" w:ascii="Times New Roman" w:hAnsi="Times New Roman"/>
                      <w:sz w:val="21"/>
                      <w:szCs w:val="21"/>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8" w:type="dxa"/>
                  <w:vMerge w:val="restart"/>
                  <w:vAlign w:val="center"/>
                </w:tcPr>
                <w:p>
                  <w:pPr>
                    <w:jc w:val="center"/>
                    <w:rPr>
                      <w:rFonts w:ascii="Times New Roman" w:hAnsi="Times New Roman"/>
                      <w:sz w:val="21"/>
                      <w:szCs w:val="21"/>
                    </w:rPr>
                  </w:pPr>
                  <w:r>
                    <w:rPr>
                      <w:rFonts w:hint="eastAsia" w:ascii="Times New Roman" w:hAnsi="Times New Roman"/>
                      <w:sz w:val="21"/>
                      <w:szCs w:val="21"/>
                    </w:rPr>
                    <w:t>室内声源</w:t>
                  </w: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给料</w:t>
                  </w:r>
                </w:p>
              </w:tc>
              <w:tc>
                <w:tcPr>
                  <w:tcW w:w="1622"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喂料机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restart"/>
                  <w:vAlign w:val="center"/>
                </w:tcPr>
                <w:p>
                  <w:pPr>
                    <w:jc w:val="center"/>
                    <w:rPr>
                      <w:rFonts w:ascii="Times New Roman" w:hAnsi="Times New Roman"/>
                      <w:sz w:val="21"/>
                      <w:szCs w:val="21"/>
                    </w:rPr>
                  </w:pPr>
                  <w:r>
                    <w:rPr>
                      <w:rFonts w:hint="eastAsia" w:ascii="Times New Roman" w:hAnsi="Times New Roman"/>
                      <w:sz w:val="21"/>
                      <w:szCs w:val="21"/>
                    </w:rPr>
                    <w:t>半</w:t>
                  </w:r>
                  <w:r>
                    <w:rPr>
                      <w:rFonts w:ascii="Times New Roman" w:hAnsi="Times New Roman"/>
                      <w:sz w:val="21"/>
                      <w:szCs w:val="21"/>
                    </w:rPr>
                    <w:t>封闭厂房，</w:t>
                  </w:r>
                  <w:r>
                    <w:rPr>
                      <w:rFonts w:hint="eastAsia" w:ascii="Times New Roman" w:hAnsi="Times New Roman"/>
                      <w:sz w:val="21"/>
                      <w:szCs w:val="21"/>
                    </w:rPr>
                    <w:t>设置减震垫，</w:t>
                  </w:r>
                  <w:r>
                    <w:rPr>
                      <w:rFonts w:ascii="Times New Roman" w:hAnsi="Times New Roman"/>
                      <w:sz w:val="21"/>
                      <w:szCs w:val="21"/>
                    </w:rPr>
                    <w:t>降噪</w:t>
                  </w:r>
                  <w:r>
                    <w:rPr>
                      <w:rFonts w:hint="eastAsia" w:ascii="Times New Roman" w:hAnsi="Times New Roman"/>
                      <w:sz w:val="21"/>
                      <w:szCs w:val="21"/>
                    </w:rPr>
                    <w:t>20</w:t>
                  </w:r>
                  <w:r>
                    <w:rPr>
                      <w:rFonts w:ascii="Times New Roman" w:hAnsi="Times New Roman"/>
                      <w:sz w:val="21"/>
                      <w:szCs w:val="21"/>
                    </w:rPr>
                    <w:t>dB（A）</w:t>
                  </w: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restart"/>
                  <w:vAlign w:val="center"/>
                </w:tcPr>
                <w:p>
                  <w:pPr>
                    <w:jc w:val="center"/>
                    <w:rPr>
                      <w:rFonts w:ascii="Times New Roman" w:hAnsi="Times New Roman"/>
                      <w:sz w:val="21"/>
                      <w:szCs w:val="21"/>
                    </w:rPr>
                  </w:pPr>
                  <w:r>
                    <w:rPr>
                      <w:rFonts w:hint="eastAsia" w:ascii="Times New Roman" w:hAnsi="Times New Roman"/>
                      <w:sz w:val="21"/>
                      <w:szCs w:val="21"/>
                    </w:rPr>
                    <w:t>8:00-18:00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破碎</w:t>
                  </w:r>
                </w:p>
              </w:tc>
              <w:tc>
                <w:tcPr>
                  <w:tcW w:w="1622"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破碎机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90-100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2</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筛分</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振动筛</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干选</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干式磁选机</w:t>
                  </w:r>
                </w:p>
              </w:tc>
              <w:tc>
                <w:tcPr>
                  <w:tcW w:w="1215" w:type="dxa"/>
                  <w:vAlign w:val="center"/>
                </w:tcPr>
                <w:p>
                  <w:pPr>
                    <w:jc w:val="center"/>
                    <w:rPr>
                      <w:rFonts w:ascii="Times New Roman" w:hAnsi="Times New Roman"/>
                      <w:sz w:val="21"/>
                      <w:szCs w:val="21"/>
                    </w:rPr>
                  </w:pPr>
                  <w:r>
                    <w:rPr>
                      <w:rFonts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给料</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圆盘给料机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球磨</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湿式球磨机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80-90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bookmarkStart w:id="14" w:name="_Toc42182116"/>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分级</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分级机</w:t>
                  </w:r>
                </w:p>
              </w:tc>
              <w:tc>
                <w:tcPr>
                  <w:tcW w:w="1215" w:type="dxa"/>
                  <w:vAlign w:val="center"/>
                </w:tcPr>
                <w:p>
                  <w:pPr>
                    <w:jc w:val="center"/>
                    <w:rPr>
                      <w:rFonts w:ascii="Times New Roman" w:hAnsi="Times New Roman"/>
                      <w:sz w:val="21"/>
                      <w:szCs w:val="21"/>
                    </w:rPr>
                  </w:pPr>
                  <w:r>
                    <w:rPr>
                      <w:rFonts w:hint="eastAsia" w:ascii="Times New Roman" w:hAnsi="Times New Roman"/>
                      <w:sz w:val="21"/>
                      <w:szCs w:val="21"/>
                    </w:rPr>
                    <w:t>70-80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78" w:type="dxa"/>
                  <w:vMerge w:val="continue"/>
                  <w:vAlign w:val="center"/>
                </w:tcPr>
                <w:p>
                  <w:pPr>
                    <w:rPr>
                      <w:rFonts w:ascii="Times New Roman" w:hAnsi="Times New Roman"/>
                      <w:sz w:val="21"/>
                      <w:szCs w:val="21"/>
                    </w:rPr>
                  </w:pPr>
                </w:p>
              </w:tc>
              <w:tc>
                <w:tcPr>
                  <w:tcW w:w="1197" w:type="dxa"/>
                  <w:vAlign w:val="center"/>
                </w:tcPr>
                <w:p>
                  <w:pPr>
                    <w:jc w:val="center"/>
                    <w:rPr>
                      <w:rFonts w:ascii="Times New Roman" w:hAnsi="Times New Roman"/>
                      <w:sz w:val="21"/>
                      <w:szCs w:val="21"/>
                    </w:rPr>
                  </w:pPr>
                  <w:r>
                    <w:rPr>
                      <w:rFonts w:hint="eastAsia" w:ascii="Times New Roman" w:hAnsi="Times New Roman"/>
                      <w:sz w:val="21"/>
                      <w:szCs w:val="21"/>
                    </w:rPr>
                    <w:t>磁选</w:t>
                  </w:r>
                </w:p>
              </w:tc>
              <w:tc>
                <w:tcPr>
                  <w:tcW w:w="1622" w:type="dxa"/>
                  <w:vAlign w:val="center"/>
                </w:tcPr>
                <w:p>
                  <w:pPr>
                    <w:jc w:val="center"/>
                    <w:rPr>
                      <w:rFonts w:ascii="Times New Roman" w:hAnsi="Times New Roman"/>
                      <w:sz w:val="21"/>
                      <w:szCs w:val="21"/>
                    </w:rPr>
                  </w:pPr>
                  <w:r>
                    <w:rPr>
                      <w:rFonts w:hint="eastAsia" w:ascii="Times New Roman" w:hAnsi="Times New Roman"/>
                      <w:kern w:val="0"/>
                      <w:sz w:val="21"/>
                      <w:szCs w:val="21"/>
                    </w:rPr>
                    <w:t>湿式磁选机</w:t>
                  </w:r>
                </w:p>
              </w:tc>
              <w:tc>
                <w:tcPr>
                  <w:tcW w:w="1215" w:type="dxa"/>
                  <w:vAlign w:val="center"/>
                </w:tcPr>
                <w:p>
                  <w:pPr>
                    <w:jc w:val="center"/>
                    <w:rPr>
                      <w:rFonts w:ascii="Times New Roman" w:hAnsi="Times New Roman"/>
                      <w:sz w:val="21"/>
                      <w:szCs w:val="21"/>
                    </w:rPr>
                  </w:pPr>
                  <w:r>
                    <w:rPr>
                      <w:rFonts w:ascii="Times New Roman" w:hAnsi="Times New Roman"/>
                      <w:sz w:val="21"/>
                      <w:szCs w:val="21"/>
                    </w:rPr>
                    <w:t>80</w:t>
                  </w:r>
                  <w:r>
                    <w:rPr>
                      <w:rFonts w:ascii="Times New Roman" w:hAnsi="Times New Roman" w:eastAsia="华文宋体"/>
                      <w:sz w:val="21"/>
                      <w:szCs w:val="21"/>
                    </w:rPr>
                    <w:t>~90</w:t>
                  </w:r>
                </w:p>
              </w:tc>
              <w:tc>
                <w:tcPr>
                  <w:tcW w:w="1594" w:type="dxa"/>
                  <w:vMerge w:val="continue"/>
                  <w:vAlign w:val="center"/>
                </w:tcPr>
                <w:p>
                  <w:pPr>
                    <w:jc w:val="center"/>
                    <w:rPr>
                      <w:rFonts w:ascii="Times New Roman" w:hAnsi="Times New Roman"/>
                      <w:sz w:val="21"/>
                      <w:szCs w:val="21"/>
                    </w:rPr>
                  </w:pPr>
                </w:p>
              </w:tc>
              <w:tc>
                <w:tcPr>
                  <w:tcW w:w="1285" w:type="dxa"/>
                  <w:vAlign w:val="center"/>
                </w:tcPr>
                <w:p>
                  <w:pPr>
                    <w:widowControl/>
                    <w:jc w:val="center"/>
                    <w:textAlignment w:val="center"/>
                    <w:rPr>
                      <w:rFonts w:ascii="Times New Roman" w:hAnsi="Times New Roman"/>
                      <w:sz w:val="21"/>
                      <w:szCs w:val="21"/>
                    </w:rPr>
                  </w:pPr>
                  <w:r>
                    <w:rPr>
                      <w:rFonts w:hint="eastAsia" w:ascii="Times New Roman" w:hAnsi="Times New Roman"/>
                      <w:kern w:val="0"/>
                      <w:sz w:val="21"/>
                      <w:szCs w:val="21"/>
                    </w:rPr>
                    <w:t>1</w:t>
                  </w:r>
                </w:p>
              </w:tc>
              <w:tc>
                <w:tcPr>
                  <w:tcW w:w="1043" w:type="dxa"/>
                  <w:vMerge w:val="continue"/>
                  <w:vAlign w:val="center"/>
                </w:tcPr>
                <w:p>
                  <w:pPr>
                    <w:jc w:val="center"/>
                    <w:rPr>
                      <w:rFonts w:ascii="Times New Roman" w:hAnsi="Times New Roman"/>
                      <w:sz w:val="18"/>
                      <w:szCs w:val="18"/>
                    </w:rPr>
                  </w:pPr>
                </w:p>
              </w:tc>
            </w:tr>
          </w:tbl>
          <w:p>
            <w:pPr>
              <w:pStyle w:val="46"/>
              <w:numPr>
                <w:ilvl w:val="0"/>
                <w:numId w:val="15"/>
              </w:numPr>
              <w:rPr>
                <w:color w:val="auto"/>
              </w:rPr>
            </w:pPr>
            <w:r>
              <w:rPr>
                <w:rFonts w:hint="eastAsia"/>
                <w:color w:val="auto"/>
              </w:rPr>
              <w:t>基础数据</w:t>
            </w:r>
          </w:p>
          <w:p>
            <w:pPr>
              <w:pStyle w:val="46"/>
              <w:ind w:left="480" w:leftChars="200" w:firstLine="0" w:firstLineChars="0"/>
              <w:rPr>
                <w:color w:val="auto"/>
              </w:rPr>
            </w:pPr>
            <w:r>
              <w:rPr>
                <w:rFonts w:hint="eastAsia"/>
                <w:color w:val="auto"/>
              </w:rPr>
              <w:t>项目噪声环境影响预测基础数据见下表。</w:t>
            </w:r>
          </w:p>
          <w:p>
            <w:pPr>
              <w:pStyle w:val="34"/>
              <w:spacing w:before="120"/>
              <w:ind w:firstLine="422"/>
              <w:rPr>
                <w:rFonts w:ascii="Times New Roman" w:hAnsi="Times New Roman"/>
                <w:b/>
                <w:bCs/>
                <w:sz w:val="21"/>
                <w:szCs w:val="21"/>
                <w:highlight w:val="yellow"/>
              </w:rPr>
            </w:pPr>
            <w:r>
              <w:rPr>
                <w:rFonts w:ascii="Times New Roman" w:hAnsi="Times New Roman"/>
                <w:b/>
                <w:bCs/>
                <w:sz w:val="21"/>
                <w:szCs w:val="21"/>
              </w:rPr>
              <w:t>表4.2-</w:t>
            </w:r>
            <w:r>
              <w:rPr>
                <w:rFonts w:hint="eastAsia" w:ascii="Times New Roman" w:hAnsi="Times New Roman"/>
                <w:b/>
                <w:bCs/>
                <w:sz w:val="21"/>
                <w:szCs w:val="21"/>
              </w:rPr>
              <w:t>6</w:t>
            </w:r>
            <w:r>
              <w:rPr>
                <w:rFonts w:ascii="Times New Roman" w:hAnsi="Times New Roman"/>
                <w:b/>
                <w:bCs/>
                <w:sz w:val="21"/>
                <w:szCs w:val="21"/>
              </w:rPr>
              <w:t xml:space="preserve"> </w:t>
            </w:r>
            <w:r>
              <w:rPr>
                <w:rFonts w:hint="eastAsia" w:ascii="Times New Roman" w:hAnsi="Times New Roman"/>
                <w:b/>
                <w:bCs/>
                <w:sz w:val="21"/>
                <w:szCs w:val="21"/>
              </w:rPr>
              <w:t>项目噪声环境影响预测基础数据表</w:t>
            </w:r>
          </w:p>
          <w:tbl>
            <w:tblPr>
              <w:tblStyle w:val="25"/>
              <w:tblW w:w="8734" w:type="dxa"/>
              <w:tblInd w:w="0" w:type="dxa"/>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834"/>
              <w:gridCol w:w="2444"/>
              <w:gridCol w:w="1543"/>
              <w:gridCol w:w="2913"/>
            </w:tblGrid>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1834" w:type="dxa"/>
                  <w:tcBorders>
                    <w:top w:val="single" w:color="auto" w:sz="12"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序号</w:t>
                  </w:r>
                </w:p>
              </w:tc>
              <w:tc>
                <w:tcPr>
                  <w:tcW w:w="2444" w:type="dxa"/>
                  <w:tcBorders>
                    <w:top w:val="single" w:color="auto" w:sz="12"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名称</w:t>
                  </w:r>
                </w:p>
              </w:tc>
              <w:tc>
                <w:tcPr>
                  <w:tcW w:w="1543" w:type="dxa"/>
                  <w:tcBorders>
                    <w:top w:val="single" w:color="auto" w:sz="12"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单位</w:t>
                  </w:r>
                </w:p>
              </w:tc>
              <w:tc>
                <w:tcPr>
                  <w:tcW w:w="2913" w:type="dxa"/>
                  <w:tcBorders>
                    <w:top w:val="single" w:color="auto" w:sz="12"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Times New Roman"/>
                      <w:b/>
                      <w:bCs/>
                      <w:kern w:val="0"/>
                      <w:szCs w:val="21"/>
                      <w:shd w:val="clear" w:color="auto" w:fill="FFFFFF"/>
                    </w:rPr>
                  </w:pPr>
                  <w:r>
                    <w:rPr>
                      <w:rFonts w:hint="eastAsia" w:ascii="Times New Roman" w:hAnsi="Times New Roman" w:cs="宋体"/>
                      <w:b/>
                      <w:bCs/>
                      <w:kern w:val="0"/>
                      <w:sz w:val="21"/>
                      <w:szCs w:val="21"/>
                      <w:shd w:val="clear" w:color="auto" w:fill="FFFFFF"/>
                      <w:lang w:bidi="ar"/>
                    </w:rPr>
                    <w:t>数据</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1</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年平均风速</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m/s</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1.5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2</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主导风向</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Cs w:val="20"/>
                      <w:shd w:val="clear" w:color="auto" w:fill="FFFFFF"/>
                      <w:lang w:bidi="ar"/>
                    </w:rPr>
                    <w:t>E</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3</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年平均气温</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25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1834"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4</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年平均相对湿度</w:t>
                  </w:r>
                </w:p>
              </w:tc>
              <w:tc>
                <w:tcPr>
                  <w:tcW w:w="15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w:t>
                  </w:r>
                </w:p>
              </w:tc>
              <w:tc>
                <w:tcPr>
                  <w:tcW w:w="2913" w:type="dxa"/>
                  <w:tcBorders>
                    <w:top w:val="single" w:color="auto" w:sz="4" w:space="0"/>
                    <w:left w:val="single" w:color="auto" w:sz="4" w:space="0"/>
                    <w:bottom w:val="single" w:color="auto" w:sz="4" w:space="0"/>
                    <w:right w:val="nil"/>
                  </w:tcBorders>
                  <w:shd w:val="clear" w:color="auto" w:fill="auto"/>
                  <w:vAlign w:val="center"/>
                </w:tcPr>
                <w:p>
                  <w:pPr>
                    <w:autoSpaceDE w:val="0"/>
                    <w:autoSpaceDN w:val="0"/>
                    <w:spacing w:line="288" w:lineRule="auto"/>
                    <w:jc w:val="center"/>
                    <w:rPr>
                      <w:rFonts w:eastAsia="等线"/>
                      <w:kern w:val="0"/>
                      <w:szCs w:val="21"/>
                      <w:shd w:val="clear" w:color="auto" w:fill="FFFFFF"/>
                    </w:rPr>
                  </w:pPr>
                  <w:r>
                    <w:rPr>
                      <w:rFonts w:hint="eastAsia" w:ascii="Times New Roman" w:hAnsi="Times New Roman" w:eastAsia="等线"/>
                      <w:kern w:val="0"/>
                      <w:sz w:val="21"/>
                      <w:szCs w:val="21"/>
                      <w:shd w:val="clear" w:color="auto" w:fill="FFFFFF"/>
                      <w:lang w:bidi="ar"/>
                    </w:rPr>
                    <w:t>75</w:t>
                  </w:r>
                </w:p>
              </w:tc>
            </w:tr>
            <w:tr>
              <w:tblPrEx>
                <w:tblBorders>
                  <w:top w:val="single" w:color="auto" w:sz="12" w:space="0"/>
                  <w:left w:val="none" w:color="auto" w:sz="6" w:space="0"/>
                  <w:bottom w:val="single" w:color="auto" w:sz="12"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1834" w:type="dxa"/>
                  <w:tcBorders>
                    <w:top w:val="single" w:color="auto" w:sz="4" w:space="0"/>
                    <w:left w:val="nil"/>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5</w:t>
                  </w:r>
                </w:p>
              </w:tc>
              <w:tc>
                <w:tcPr>
                  <w:tcW w:w="2444" w:type="dxa"/>
                  <w:tcBorders>
                    <w:top w:val="single" w:color="auto" w:sz="4" w:space="0"/>
                    <w:left w:val="single" w:color="auto" w:sz="4" w:space="0"/>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hint="eastAsia" w:ascii="Times New Roman" w:hAnsi="Times New Roman" w:cs="宋体"/>
                      <w:spacing w:val="-3"/>
                      <w:kern w:val="0"/>
                      <w:sz w:val="21"/>
                      <w:szCs w:val="21"/>
                      <w:shd w:val="clear" w:color="auto" w:fill="FFFFFF"/>
                      <w:lang w:eastAsia="en-US" w:bidi="ar"/>
                    </w:rPr>
                    <w:t>大气压强</w:t>
                  </w:r>
                </w:p>
              </w:tc>
              <w:tc>
                <w:tcPr>
                  <w:tcW w:w="1543" w:type="dxa"/>
                  <w:tcBorders>
                    <w:top w:val="single" w:color="auto" w:sz="4" w:space="0"/>
                    <w:left w:val="single" w:color="auto" w:sz="4" w:space="0"/>
                    <w:bottom w:val="single" w:color="auto" w:sz="12" w:space="0"/>
                    <w:right w:val="single" w:color="auto" w:sz="4" w:space="0"/>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hPa</w:t>
                  </w:r>
                </w:p>
              </w:tc>
              <w:tc>
                <w:tcPr>
                  <w:tcW w:w="2913" w:type="dxa"/>
                  <w:tcBorders>
                    <w:top w:val="single" w:color="auto" w:sz="4" w:space="0"/>
                    <w:left w:val="single" w:color="auto" w:sz="4" w:space="0"/>
                    <w:bottom w:val="single" w:color="auto" w:sz="12" w:space="0"/>
                    <w:right w:val="nil"/>
                  </w:tcBorders>
                  <w:shd w:val="clear" w:color="auto" w:fill="auto"/>
                  <w:vAlign w:val="center"/>
                </w:tcPr>
                <w:p>
                  <w:pPr>
                    <w:autoSpaceDE w:val="0"/>
                    <w:autoSpaceDN w:val="0"/>
                    <w:spacing w:line="288" w:lineRule="auto"/>
                    <w:jc w:val="center"/>
                    <w:rPr>
                      <w:rFonts w:eastAsia="Times New Roman"/>
                      <w:kern w:val="0"/>
                      <w:szCs w:val="21"/>
                      <w:shd w:val="clear" w:color="auto" w:fill="FFFFFF"/>
                    </w:rPr>
                  </w:pPr>
                  <w:r>
                    <w:rPr>
                      <w:rFonts w:ascii="Times New Roman" w:hAnsi="Times New Roman" w:eastAsia="Times New Roman"/>
                      <w:kern w:val="0"/>
                      <w:sz w:val="21"/>
                      <w:szCs w:val="21"/>
                      <w:shd w:val="clear" w:color="auto" w:fill="FFFFFF"/>
                      <w:lang w:bidi="ar"/>
                    </w:rPr>
                    <w:t>1004.13</w:t>
                  </w:r>
                </w:p>
              </w:tc>
            </w:tr>
          </w:tbl>
          <w:p>
            <w:pPr>
              <w:pStyle w:val="46"/>
              <w:numPr>
                <w:ilvl w:val="0"/>
                <w:numId w:val="15"/>
              </w:numPr>
              <w:rPr>
                <w:color w:val="auto"/>
              </w:rPr>
            </w:pPr>
            <w:r>
              <w:rPr>
                <w:rFonts w:hint="eastAsia"/>
                <w:color w:val="auto"/>
              </w:rPr>
              <w:t>地形参数</w:t>
            </w:r>
          </w:p>
          <w:p>
            <w:pPr>
              <w:pStyle w:val="46"/>
              <w:rPr>
                <w:color w:val="auto"/>
                <w:shd w:val="clear" w:color="auto" w:fill="FFFFFF"/>
                <w:lang w:bidi="ar"/>
              </w:rPr>
            </w:pPr>
            <w:r>
              <w:rPr>
                <w:rFonts w:hint="eastAsia"/>
                <w:color w:val="auto"/>
                <w:shd w:val="clear" w:color="auto" w:fill="FFFFFF"/>
                <w:lang w:bidi="ar"/>
              </w:rPr>
              <w:t>地形数据来源于环境影响评价</w:t>
            </w:r>
            <w:r>
              <w:rPr>
                <w:color w:val="auto"/>
                <w:shd w:val="clear" w:color="auto" w:fill="FFFFFF"/>
                <w:lang w:bidi="ar"/>
              </w:rPr>
              <w:t>GIS</w:t>
            </w:r>
            <w:r>
              <w:rPr>
                <w:rFonts w:hint="eastAsia"/>
                <w:color w:val="auto"/>
                <w:shd w:val="clear" w:color="auto" w:fill="FFFFFF"/>
                <w:lang w:bidi="ar"/>
              </w:rPr>
              <w:t>服务平台下载的分辨率为</w:t>
            </w:r>
            <w:r>
              <w:rPr>
                <w:color w:val="auto"/>
                <w:shd w:val="clear" w:color="auto" w:fill="FFFFFF"/>
                <w:lang w:bidi="ar"/>
              </w:rPr>
              <w:t>90m</w:t>
            </w:r>
            <w:r>
              <w:rPr>
                <w:rFonts w:hint="eastAsia"/>
                <w:color w:val="auto"/>
                <w:shd w:val="clear" w:color="auto" w:fill="FFFFFF"/>
                <w:lang w:bidi="ar"/>
              </w:rPr>
              <w:t>的地形数据，将</w:t>
            </w:r>
            <w:r>
              <w:rPr>
                <w:color w:val="auto"/>
                <w:shd w:val="clear" w:color="auto" w:fill="FFFFFF"/>
                <w:lang w:bidi="ar"/>
              </w:rPr>
              <w:t>DEM</w:t>
            </w:r>
            <w:r>
              <w:rPr>
                <w:rFonts w:hint="eastAsia"/>
                <w:color w:val="auto"/>
                <w:shd w:val="clear" w:color="auto" w:fill="FFFFFF"/>
                <w:lang w:bidi="ar"/>
              </w:rPr>
              <w:t>地形文件数据导入预测软件并将运行结果数据导入预测模型，通过</w:t>
            </w:r>
            <w:r>
              <w:rPr>
                <w:color w:val="auto"/>
                <w:shd w:val="clear" w:color="auto" w:fill="FFFFFF"/>
                <w:lang w:bidi="ar"/>
              </w:rPr>
              <w:t>EIAProN2021</w:t>
            </w:r>
            <w:r>
              <w:rPr>
                <w:rFonts w:hint="eastAsia"/>
                <w:color w:val="auto"/>
                <w:shd w:val="clear" w:color="auto" w:fill="FFFFFF"/>
                <w:lang w:bidi="ar"/>
              </w:rPr>
              <w:t>版软件生成地形高程图。</w:t>
            </w: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rPr>
                <w:color w:val="auto"/>
                <w:shd w:val="clear" w:color="auto" w:fill="FFFFFF"/>
                <w:lang w:bidi="ar"/>
              </w:rPr>
            </w:pPr>
          </w:p>
          <w:p>
            <w:pPr>
              <w:pStyle w:val="46"/>
              <w:spacing w:line="240" w:lineRule="auto"/>
              <w:ind w:firstLine="0" w:firstLineChars="0"/>
              <w:jc w:val="center"/>
              <w:rPr>
                <w:color w:val="auto"/>
                <w:shd w:val="clear" w:color="auto" w:fill="FFFFFF"/>
                <w:lang w:bidi="ar"/>
              </w:rPr>
            </w:pP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499110</wp:posOffset>
                      </wp:positionH>
                      <wp:positionV relativeFrom="paragraph">
                        <wp:posOffset>7210425</wp:posOffset>
                      </wp:positionV>
                      <wp:extent cx="561975" cy="9525"/>
                      <wp:effectExtent l="0" t="0" r="0" b="0"/>
                      <wp:wrapNone/>
                      <wp:docPr id="76" name="直接连接符 76"/>
                      <wp:cNvGraphicFramePr/>
                      <a:graphic xmlns:a="http://schemas.openxmlformats.org/drawingml/2006/main">
                        <a:graphicData uri="http://schemas.microsoft.com/office/word/2010/wordprocessingShape">
                          <wps:wsp>
                            <wps:cNvCnPr/>
                            <wps:spPr>
                              <a:xfrm flipV="1">
                                <a:off x="1772285" y="7963535"/>
                                <a:ext cx="561975"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9.3pt;margin-top:567.75pt;height:0.75pt;width:44.25pt;z-index:251667456;mso-width-relative:page;mso-height-relative:page;" filled="f" stroked="t" coordsize="21600,21600" o:gfxdata="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O86+9cAAAAMAQAADwAAAAAAAAABACAAAAA4AAAA&#10;ZHJzL2Rvd25yZXYueG1sUEsBAhQAFAAAAAgAh07iQJ3NXOnyAQAAtQMAAA4AAAAAAAAAAQAgAAAA&#10;PAEAAGRycy9lMm9Eb2MueG1sUEsFBgAAAAAGAAYAWQEAAKAFAAAAAA==&#10;">
                      <v:fill on="f" focussize="0,0"/>
                      <v:stroke weight="2pt" color="#000000 [3213]" joinstyle="round"/>
                      <v:imagedata o:title=""/>
                      <o:lock v:ext="edit" aspectratio="f"/>
                    </v:line>
                  </w:pict>
                </mc:Fallback>
              </mc:AlternateConten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509270</wp:posOffset>
                      </wp:positionH>
                      <wp:positionV relativeFrom="paragraph">
                        <wp:posOffset>6842760</wp:posOffset>
                      </wp:positionV>
                      <wp:extent cx="777875" cy="389890"/>
                      <wp:effectExtent l="0" t="0" r="0" b="0"/>
                      <wp:wrapNone/>
                      <wp:docPr id="78" name="文本框 78"/>
                      <wp:cNvGraphicFramePr/>
                      <a:graphic xmlns:a="http://schemas.openxmlformats.org/drawingml/2006/main">
                        <a:graphicData uri="http://schemas.microsoft.com/office/word/2010/wordprocessingShape">
                          <wps:wsp>
                            <wps:cNvSpPr txBox="1"/>
                            <wps:spPr>
                              <a:xfrm>
                                <a:off x="2477135" y="7668260"/>
                                <a:ext cx="777875"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30"/>
                                      <w:szCs w:val="30"/>
                                    </w:rPr>
                                  </w:pPr>
                                  <w:r>
                                    <w:rPr>
                                      <w:rFonts w:hint="eastAsia"/>
                                      <w:sz w:val="30"/>
                                      <w:szCs w:val="30"/>
                                    </w:rPr>
                                    <w:t>10m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pt;margin-top:538.8pt;height:30.7pt;width:61.25pt;z-index:251668480;mso-width-relative:page;mso-height-relative:page;" filled="f" stroked="f" coordsize="21600,21600" o:gfxdata="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AoOkHbAAAADAEAAA8AAAAAAAAAAQAgAAAAOAAAAGRycy9kb3ducmV2LnhtbFBLAQIUABQA&#10;AAAIAIdO4kBiDvxkSQIAAHMEAAAOAAAAAAAAAAEAIAAAAEABAABkcnMvZTJvRG9jLnhtbFBLBQYA&#10;AAAABgAGAFkBAAD7BQAAAAA=&#10;">
                      <v:fill on="f" focussize="0,0"/>
                      <v:stroke on="f" weight="0.5pt"/>
                      <v:imagedata o:title=""/>
                      <o:lock v:ext="edit" aspectratio="f"/>
                      <v:textbox>
                        <w:txbxContent>
                          <w:p>
                            <w:pPr>
                              <w:rPr>
                                <w:sz w:val="30"/>
                                <w:szCs w:val="30"/>
                              </w:rPr>
                            </w:pPr>
                            <w:r>
                              <w:rPr>
                                <w:rFonts w:hint="eastAsia"/>
                                <w:sz w:val="30"/>
                                <w:szCs w:val="30"/>
                              </w:rPr>
                              <w:t>10m</w:t>
                            </w:r>
                          </w:p>
                        </w:txbxContent>
                      </v:textbox>
                    </v:shape>
                  </w:pict>
                </mc:Fallback>
              </mc:AlternateContent>
            </w:r>
            <w:r>
              <w:rPr>
                <w:color w:val="auto"/>
                <w:sz w:val="28"/>
              </w:rPr>
              <w:drawing>
                <wp:anchor distT="0" distB="0" distL="114300" distR="114300" simplePos="0" relativeHeight="251666432" behindDoc="0" locked="0" layoutInCell="1" allowOverlap="1">
                  <wp:simplePos x="0" y="0"/>
                  <wp:positionH relativeFrom="margin">
                    <wp:posOffset>198755</wp:posOffset>
                  </wp:positionH>
                  <wp:positionV relativeFrom="paragraph">
                    <wp:posOffset>93980</wp:posOffset>
                  </wp:positionV>
                  <wp:extent cx="859790" cy="1084580"/>
                  <wp:effectExtent l="9525" t="9525" r="26035" b="10795"/>
                  <wp:wrapNone/>
                  <wp:docPr id="75" name="图片 75" descr="165658320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656583201075"/>
                          <pic:cNvPicPr>
                            <a:picLocks noChangeAspect="1"/>
                          </pic:cNvPicPr>
                        </pic:nvPicPr>
                        <pic:blipFill>
                          <a:blip r:embed="rId13"/>
                          <a:stretch>
                            <a:fillRect/>
                          </a:stretch>
                        </pic:blipFill>
                        <pic:spPr>
                          <a:xfrm>
                            <a:off x="0" y="0"/>
                            <a:ext cx="859790" cy="1084580"/>
                          </a:xfrm>
                          <a:prstGeom prst="rect">
                            <a:avLst/>
                          </a:prstGeom>
                          <a:ln>
                            <a:solidFill>
                              <a:schemeClr val="tx1"/>
                            </a:solidFill>
                          </a:ln>
                        </pic:spPr>
                      </pic:pic>
                    </a:graphicData>
                  </a:graphic>
                </wp:anchor>
              </w:drawing>
            </w:r>
            <w:r>
              <w:rPr>
                <w:rFonts w:hint="eastAsia"/>
                <w:color w:val="auto"/>
                <w:shd w:val="clear" w:color="auto" w:fill="FFFFFF"/>
              </w:rPr>
              <w:drawing>
                <wp:inline distT="0" distB="0" distL="114300" distR="114300">
                  <wp:extent cx="5295265" cy="7463155"/>
                  <wp:effectExtent l="0" t="0" r="635" b="4445"/>
                  <wp:docPr id="103" name="图片 103" descr="噪声预测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噪声预测点"/>
                          <pic:cNvPicPr>
                            <a:picLocks noChangeAspect="1"/>
                          </pic:cNvPicPr>
                        </pic:nvPicPr>
                        <pic:blipFill>
                          <a:blip r:embed="rId23"/>
                          <a:srcRect l="2304" t="2518" r="2315" b="2526"/>
                          <a:stretch>
                            <a:fillRect/>
                          </a:stretch>
                        </pic:blipFill>
                        <pic:spPr>
                          <a:xfrm>
                            <a:off x="0" y="0"/>
                            <a:ext cx="5295265" cy="7463155"/>
                          </a:xfrm>
                          <a:prstGeom prst="rect">
                            <a:avLst/>
                          </a:prstGeom>
                        </pic:spPr>
                      </pic:pic>
                    </a:graphicData>
                  </a:graphic>
                </wp:inline>
              </w:drawing>
            </w:r>
          </w:p>
          <w:p>
            <w:pPr>
              <w:pStyle w:val="22"/>
              <w:keepNext/>
              <w:adjustRightInd w:val="0"/>
              <w:snapToGrid w:val="0"/>
              <w:spacing w:before="120" w:beforeLines="50" w:after="0" w:line="240" w:lineRule="auto"/>
              <w:ind w:firstLine="422"/>
              <w:outlineLvl w:val="9"/>
              <w:rPr>
                <w:rFonts w:ascii="Times New Roman" w:hAnsi="Times New Roman"/>
                <w:kern w:val="2"/>
                <w:sz w:val="24"/>
                <w:szCs w:val="24"/>
                <w:shd w:val="clear" w:color="auto" w:fill="FFFFFF"/>
                <w:lang w:bidi="ar"/>
              </w:rPr>
            </w:pPr>
            <w:r>
              <w:rPr>
                <w:rFonts w:ascii="Times New Roman" w:hAnsi="Times New Roman" w:eastAsia="黑体"/>
                <w:bCs w:val="0"/>
                <w:sz w:val="21"/>
                <w:szCs w:val="21"/>
              </w:rPr>
              <w:t>图4.2-</w:t>
            </w:r>
            <w:r>
              <w:rPr>
                <w:rFonts w:hint="eastAsia" w:ascii="Times New Roman" w:hAnsi="Times New Roman" w:eastAsia="黑体"/>
                <w:bCs w:val="0"/>
                <w:sz w:val="21"/>
                <w:szCs w:val="21"/>
              </w:rPr>
              <w:t>3项目噪声源分布及噪声点预测</w:t>
            </w:r>
            <w:r>
              <w:rPr>
                <w:rFonts w:ascii="Times New Roman" w:hAnsi="Times New Roman" w:eastAsia="黑体"/>
                <w:bCs w:val="0"/>
                <w:sz w:val="21"/>
                <w:szCs w:val="21"/>
              </w:rPr>
              <w:t>图</w:t>
            </w:r>
          </w:p>
          <w:p>
            <w:pPr>
              <w:adjustRightInd w:val="0"/>
              <w:snapToGrid w:val="0"/>
              <w:spacing w:line="440" w:lineRule="exact"/>
              <w:rPr>
                <w:rFonts w:ascii="Times New Roman" w:hAnsi="Times New Roman" w:eastAsia="黑体"/>
                <w:b/>
                <w:bCs/>
              </w:rPr>
            </w:pPr>
            <w:r>
              <w:rPr>
                <w:rFonts w:ascii="Times New Roman" w:hAnsi="Times New Roman" w:eastAsia="黑体"/>
                <w:b/>
                <w:bCs/>
              </w:rPr>
              <w:t>4.2.</w:t>
            </w:r>
            <w:r>
              <w:rPr>
                <w:rFonts w:hint="eastAsia" w:ascii="Times New Roman" w:hAnsi="Times New Roman" w:eastAsia="黑体"/>
                <w:b/>
                <w:bCs/>
              </w:rPr>
              <w:t>4</w:t>
            </w:r>
            <w:r>
              <w:rPr>
                <w:rFonts w:ascii="Times New Roman" w:hAnsi="Times New Roman" w:eastAsia="黑体"/>
                <w:b/>
                <w:bCs/>
              </w:rPr>
              <w:t>.</w:t>
            </w:r>
            <w:r>
              <w:rPr>
                <w:rFonts w:hint="eastAsia" w:ascii="Times New Roman" w:hAnsi="Times New Roman" w:eastAsia="黑体"/>
                <w:b/>
                <w:bCs/>
              </w:rPr>
              <w:t>3预测结果</w:t>
            </w:r>
          </w:p>
          <w:p>
            <w:pPr>
              <w:pStyle w:val="46"/>
              <w:rPr>
                <w:color w:val="auto"/>
                <w:shd w:val="clear" w:color="auto" w:fill="FFFFFF"/>
                <w:lang w:bidi="ar"/>
              </w:rPr>
            </w:pPr>
            <w:r>
              <w:rPr>
                <w:rFonts w:hint="eastAsia"/>
                <w:color w:val="auto"/>
                <w:shd w:val="clear" w:color="auto" w:fill="FFFFFF"/>
                <w:lang w:bidi="ar"/>
              </w:rPr>
              <w:t>厂界预测点的噪声预测结果见下表。</w:t>
            </w:r>
          </w:p>
          <w:p>
            <w:pPr>
              <w:pStyle w:val="34"/>
              <w:spacing w:before="120"/>
              <w:ind w:firstLine="422"/>
              <w:rPr>
                <w:kern w:val="2"/>
                <w:szCs w:val="24"/>
                <w:shd w:val="clear" w:color="auto" w:fill="FFFFFF"/>
                <w:lang w:bidi="ar"/>
              </w:rPr>
            </w:pPr>
            <w:r>
              <w:rPr>
                <w:rFonts w:ascii="Times New Roman" w:hAnsi="Times New Roman"/>
                <w:b/>
                <w:bCs/>
                <w:sz w:val="21"/>
                <w:szCs w:val="21"/>
              </w:rPr>
              <w:t>表4.2-</w:t>
            </w:r>
            <w:r>
              <w:rPr>
                <w:rFonts w:hint="eastAsia" w:ascii="Times New Roman" w:hAnsi="Times New Roman"/>
                <w:b/>
                <w:bCs/>
                <w:sz w:val="21"/>
                <w:szCs w:val="21"/>
              </w:rPr>
              <w:t>7</w:t>
            </w:r>
            <w:r>
              <w:rPr>
                <w:rFonts w:ascii="Times New Roman" w:hAnsi="Times New Roman"/>
                <w:b/>
                <w:bCs/>
                <w:sz w:val="21"/>
                <w:szCs w:val="21"/>
              </w:rPr>
              <w:t xml:space="preserve"> </w:t>
            </w:r>
            <w:r>
              <w:rPr>
                <w:rFonts w:hint="eastAsia" w:ascii="Times New Roman" w:hAnsi="Times New Roman"/>
                <w:b/>
                <w:bCs/>
                <w:sz w:val="21"/>
                <w:szCs w:val="21"/>
              </w:rPr>
              <w:t>厂界噪声点预测结果</w:t>
            </w:r>
          </w:p>
          <w:tbl>
            <w:tblPr>
              <w:tblStyle w:val="25"/>
              <w:tblW w:w="87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911"/>
              <w:gridCol w:w="1534"/>
              <w:gridCol w:w="2722"/>
              <w:gridCol w:w="1553"/>
              <w:gridCol w:w="20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bookmarkStart w:id="15" w:name="_Hlk297299088"/>
                  <w:r>
                    <w:rPr>
                      <w:rFonts w:hint="eastAsia" w:ascii="Times New Roman" w:hAnsi="Times New Roman" w:cs="宋体"/>
                      <w:sz w:val="21"/>
                      <w:szCs w:val="21"/>
                      <w:shd w:val="clear" w:color="auto" w:fill="FFFFFF"/>
                    </w:rPr>
                    <w:t>编号</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预测点</w:t>
                  </w:r>
                  <w:r>
                    <w:rPr>
                      <w:rFonts w:hint="eastAsia" w:ascii="Times New Roman" w:hAnsi="Times New Roman" w:cs="宋体"/>
                      <w:kern w:val="0"/>
                      <w:sz w:val="21"/>
                      <w:szCs w:val="21"/>
                      <w:shd w:val="clear" w:color="auto" w:fill="FFFFFF"/>
                      <w:vertAlign w:val="superscript"/>
                    </w:rPr>
                    <w:t>注</w:t>
                  </w:r>
                </w:p>
              </w:tc>
              <w:tc>
                <w:tcPr>
                  <w:tcW w:w="2722"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lang w:bidi="ar"/>
                    </w:rPr>
                    <w:t>贡献值</w:t>
                  </w:r>
                  <w:r>
                    <w:rPr>
                      <w:rFonts w:hint="eastAsia" w:ascii="Times New Roman" w:hAnsi="Times New Roman" w:cs="宋体"/>
                      <w:sz w:val="21"/>
                      <w:szCs w:val="21"/>
                      <w:shd w:val="clear" w:color="auto" w:fill="FFFFFF"/>
                    </w:rPr>
                    <w:t>（</w:t>
                  </w:r>
                  <w:r>
                    <w:rPr>
                      <w:sz w:val="21"/>
                      <w:szCs w:val="21"/>
                      <w:shd w:val="clear" w:color="auto" w:fill="FFFFFF"/>
                    </w:rPr>
                    <w:t>dB(A)</w:t>
                  </w:r>
                  <w:r>
                    <w:rPr>
                      <w:rFonts w:hint="eastAsia" w:ascii="Times New Roman" w:hAnsi="Times New Roman" w:cs="宋体"/>
                      <w:sz w:val="21"/>
                      <w:szCs w:val="21"/>
                      <w:shd w:val="clear" w:color="auto" w:fill="FFFFFF"/>
                    </w:rPr>
                    <w:t>）</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执行标准</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bookmarkStart w:id="16" w:name="_Hlk298349965"/>
                  <w:r>
                    <w:rPr>
                      <w:sz w:val="21"/>
                      <w:szCs w:val="21"/>
                      <w:shd w:val="clear" w:color="auto" w:fill="FFFFFF"/>
                    </w:rPr>
                    <w:t>N1</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厂界东</w:t>
                  </w:r>
                  <w:r>
                    <w:rPr>
                      <w:sz w:val="21"/>
                      <w:szCs w:val="21"/>
                      <w:shd w:val="clear" w:color="auto" w:fill="FFFFFF"/>
                    </w:rPr>
                    <w:t>1#</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57.77</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r>
                    <w:rPr>
                      <w:sz w:val="21"/>
                      <w:szCs w:val="21"/>
                      <w:shd w:val="clear" w:color="auto" w:fill="FFFFFF"/>
                    </w:rPr>
                    <w:t>N2</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厂界西侧</w:t>
                  </w:r>
                  <w:r>
                    <w:rPr>
                      <w:sz w:val="21"/>
                      <w:szCs w:val="21"/>
                      <w:shd w:val="clear" w:color="auto" w:fill="FFFFFF"/>
                    </w:rPr>
                    <w:t>2#</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58.14</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11" w:type="dxa"/>
                  <w:tcBorders>
                    <w:tl2br w:val="nil"/>
                    <w:tr2bl w:val="nil"/>
                  </w:tcBorders>
                  <w:shd w:val="clear" w:color="auto" w:fill="auto"/>
                  <w:vAlign w:val="center"/>
                </w:tcPr>
                <w:p>
                  <w:pPr>
                    <w:adjustRightInd w:val="0"/>
                    <w:snapToGrid w:val="0"/>
                    <w:jc w:val="center"/>
                    <w:rPr>
                      <w:sz w:val="21"/>
                      <w:szCs w:val="21"/>
                      <w:shd w:val="clear" w:color="auto" w:fill="FFFFFF"/>
                    </w:rPr>
                  </w:pPr>
                  <w:r>
                    <w:rPr>
                      <w:sz w:val="21"/>
                      <w:szCs w:val="21"/>
                      <w:shd w:val="clear" w:color="auto" w:fill="FFFFFF"/>
                    </w:rPr>
                    <w:t>N</w:t>
                  </w:r>
                  <w:r>
                    <w:rPr>
                      <w:rFonts w:hint="eastAsia"/>
                      <w:sz w:val="21"/>
                      <w:szCs w:val="21"/>
                      <w:shd w:val="clear" w:color="auto" w:fill="FFFFFF"/>
                    </w:rPr>
                    <w:t>3</w:t>
                  </w:r>
                </w:p>
              </w:tc>
              <w:tc>
                <w:tcPr>
                  <w:tcW w:w="1534" w:type="dxa"/>
                  <w:tcBorders>
                    <w:tl2br w:val="nil"/>
                    <w:tr2bl w:val="nil"/>
                  </w:tcBorders>
                  <w:shd w:val="clear" w:color="auto" w:fill="auto"/>
                  <w:vAlign w:val="center"/>
                </w:tcPr>
                <w:p>
                  <w:pPr>
                    <w:adjustRightInd w:val="0"/>
                    <w:snapToGrid w:val="0"/>
                    <w:jc w:val="center"/>
                    <w:rPr>
                      <w:sz w:val="21"/>
                      <w:szCs w:val="21"/>
                      <w:shd w:val="clear" w:color="auto" w:fill="FFFFFF"/>
                    </w:rPr>
                  </w:pPr>
                  <w:r>
                    <w:rPr>
                      <w:rFonts w:hint="eastAsia" w:ascii="Times New Roman" w:hAnsi="Times New Roman" w:cs="宋体"/>
                      <w:sz w:val="21"/>
                      <w:szCs w:val="21"/>
                      <w:shd w:val="clear" w:color="auto" w:fill="FFFFFF"/>
                    </w:rPr>
                    <w:t>厂界西侧</w:t>
                  </w:r>
                  <w:r>
                    <w:rPr>
                      <w:rFonts w:hint="eastAsia"/>
                      <w:sz w:val="21"/>
                      <w:szCs w:val="21"/>
                      <w:shd w:val="clear" w:color="auto" w:fill="FFFFFF"/>
                    </w:rPr>
                    <w:t>3</w:t>
                  </w:r>
                  <w:r>
                    <w:rPr>
                      <w:sz w:val="21"/>
                      <w:szCs w:val="21"/>
                      <w:shd w:val="clear" w:color="auto" w:fill="FFFFFF"/>
                    </w:rPr>
                    <w:t>#</w:t>
                  </w:r>
                </w:p>
              </w:tc>
              <w:tc>
                <w:tcPr>
                  <w:tcW w:w="2722" w:type="dxa"/>
                  <w:tcBorders>
                    <w:tl2br w:val="nil"/>
                    <w:tr2bl w:val="nil"/>
                  </w:tcBorders>
                  <w:shd w:val="clear" w:color="auto" w:fill="auto"/>
                  <w:vAlign w:val="center"/>
                </w:tcPr>
                <w:p>
                  <w:pPr>
                    <w:jc w:val="center"/>
                    <w:rPr>
                      <w:sz w:val="21"/>
                      <w:szCs w:val="21"/>
                      <w:shd w:val="clear" w:color="auto" w:fill="FFFFFF"/>
                    </w:rPr>
                  </w:pPr>
                  <w:r>
                    <w:rPr>
                      <w:rFonts w:hint="eastAsia"/>
                      <w:sz w:val="21"/>
                      <w:szCs w:val="21"/>
                      <w:shd w:val="clear" w:color="auto" w:fill="FFFFFF"/>
                    </w:rPr>
                    <w:t>55.92</w:t>
                  </w:r>
                </w:p>
              </w:tc>
              <w:tc>
                <w:tcPr>
                  <w:tcW w:w="1553"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kern w:val="0"/>
                      <w:sz w:val="21"/>
                      <w:szCs w:val="21"/>
                      <w:shd w:val="clear" w:color="auto" w:fill="FFFFFF"/>
                    </w:rPr>
                    <w:t>60</w:t>
                  </w:r>
                </w:p>
              </w:tc>
              <w:tc>
                <w:tcPr>
                  <w:tcW w:w="2014" w:type="dxa"/>
                  <w:tcBorders>
                    <w:tl2br w:val="nil"/>
                    <w:tr2bl w:val="nil"/>
                  </w:tcBorders>
                  <w:shd w:val="clear" w:color="auto" w:fill="auto"/>
                  <w:vAlign w:val="center"/>
                </w:tcPr>
                <w:p>
                  <w:pPr>
                    <w:autoSpaceDE w:val="0"/>
                    <w:autoSpaceDN w:val="0"/>
                    <w:adjustRightInd w:val="0"/>
                    <w:jc w:val="center"/>
                    <w:rPr>
                      <w:kern w:val="0"/>
                      <w:sz w:val="21"/>
                      <w:szCs w:val="21"/>
                      <w:shd w:val="clear" w:color="auto" w:fill="FFFFFF"/>
                    </w:rPr>
                  </w:pPr>
                  <w:r>
                    <w:rPr>
                      <w:rFonts w:hint="eastAsia" w:ascii="Times New Roman" w:hAnsi="Times New Roman" w:cs="宋体"/>
                      <w:kern w:val="0"/>
                      <w:sz w:val="21"/>
                      <w:szCs w:val="21"/>
                      <w:shd w:val="clear" w:color="auto" w:fill="FFFFFF"/>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34" w:type="dxa"/>
                  <w:gridSpan w:val="5"/>
                  <w:tcBorders>
                    <w:tl2br w:val="nil"/>
                    <w:tr2bl w:val="nil"/>
                  </w:tcBorders>
                  <w:shd w:val="clear" w:color="auto" w:fill="auto"/>
                  <w:vAlign w:val="center"/>
                </w:tcPr>
                <w:p>
                  <w:pPr>
                    <w:autoSpaceDE w:val="0"/>
                    <w:autoSpaceDN w:val="0"/>
                    <w:adjustRightInd w:val="0"/>
                    <w:jc w:val="left"/>
                    <w:rPr>
                      <w:rFonts w:ascii="Times New Roman" w:hAnsi="Times New Roman" w:cs="宋体"/>
                      <w:kern w:val="0"/>
                      <w:sz w:val="21"/>
                      <w:szCs w:val="21"/>
                      <w:shd w:val="clear" w:color="auto" w:fill="FFFFFF"/>
                    </w:rPr>
                  </w:pPr>
                  <w:r>
                    <w:rPr>
                      <w:rFonts w:hint="eastAsia" w:ascii="Times New Roman" w:hAnsi="Times New Roman" w:cs="宋体"/>
                      <w:kern w:val="0"/>
                      <w:sz w:val="21"/>
                      <w:szCs w:val="21"/>
                      <w:shd w:val="clear" w:color="auto" w:fill="FFFFFF"/>
                    </w:rPr>
                    <w:t>备注：项目厂界南侧受限地理位置，故不设置预测点；项目夜间不生产，故夜间不进行预测</w:t>
                  </w:r>
                </w:p>
              </w:tc>
            </w:tr>
            <w:bookmarkEnd w:id="15"/>
            <w:bookmarkEnd w:id="16"/>
          </w:tbl>
          <w:p>
            <w:pPr>
              <w:spacing w:line="420" w:lineRule="atLeast"/>
              <w:ind w:firstLine="480" w:firstLineChars="200"/>
              <w:rPr>
                <w:highlight w:val="yellow"/>
              </w:rPr>
            </w:pPr>
            <w:r>
              <w:rPr>
                <w:rFonts w:hint="eastAsia" w:ascii="Times New Roman" w:hAnsi="Times New Roman" w:cs="宋体"/>
                <w:shd w:val="clear" w:color="auto" w:fill="FFFFFF"/>
                <w:lang w:bidi="ar"/>
              </w:rPr>
              <w:t>根据预测结果，项目厂界昼间噪声贡献值可达到《工业企业厂界环境噪声排放标准》</w:t>
            </w:r>
            <w:r>
              <w:rPr>
                <w:rFonts w:ascii="Times New Roman" w:hAnsi="Times New Roman"/>
                <w:shd w:val="clear" w:color="auto" w:fill="FFFFFF"/>
                <w:lang w:bidi="ar"/>
              </w:rPr>
              <w:t>(GB12348-2008)</w:t>
            </w:r>
            <w:r>
              <w:rPr>
                <w:rFonts w:hint="eastAsia" w:ascii="Times New Roman" w:hAnsi="Times New Roman"/>
                <w:shd w:val="clear" w:color="auto" w:fill="FFFFFF"/>
                <w:lang w:bidi="ar"/>
              </w:rPr>
              <w:t>2</w:t>
            </w:r>
            <w:r>
              <w:rPr>
                <w:rFonts w:hint="eastAsia" w:ascii="Times New Roman" w:hAnsi="Times New Roman" w:cs="宋体"/>
                <w:shd w:val="clear" w:color="auto" w:fill="FFFFFF"/>
                <w:lang w:bidi="ar"/>
              </w:rPr>
              <w:t>类标准</w:t>
            </w:r>
            <w:bookmarkEnd w:id="14"/>
            <w: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5</w:t>
            </w:r>
            <w:r>
              <w:rPr>
                <w:rFonts w:ascii="Times New Roman" w:hAnsi="Times New Roman"/>
                <w:szCs w:val="24"/>
              </w:rPr>
              <w:t>固体废物</w:t>
            </w:r>
          </w:p>
          <w:p>
            <w:pPr>
              <w:widowControl/>
              <w:spacing w:line="440" w:lineRule="exact"/>
              <w:rPr>
                <w:rFonts w:ascii="Times New Roman" w:hAnsi="Times New Roman"/>
                <w:b/>
              </w:rPr>
            </w:pPr>
            <w:r>
              <w:rPr>
                <w:rFonts w:ascii="Times New Roman" w:hAnsi="Times New Roman"/>
                <w:b/>
              </w:rPr>
              <w:t>4.2.</w:t>
            </w:r>
            <w:r>
              <w:rPr>
                <w:rFonts w:hint="eastAsia" w:ascii="Times New Roman" w:hAnsi="Times New Roman"/>
                <w:b/>
              </w:rPr>
              <w:t>5</w:t>
            </w:r>
            <w:r>
              <w:rPr>
                <w:rFonts w:ascii="Times New Roman" w:hAnsi="Times New Roman"/>
                <w:b/>
              </w:rPr>
              <w:t>.1固体废物产生及处置情况</w:t>
            </w:r>
          </w:p>
          <w:p>
            <w:pPr>
              <w:widowControl/>
              <w:spacing w:line="440" w:lineRule="exact"/>
              <w:ind w:firstLine="480" w:firstLineChars="200"/>
              <w:rPr>
                <w:rFonts w:ascii="Times New Roman" w:hAnsi="Times New Roman"/>
              </w:rPr>
            </w:pPr>
            <w:r>
              <w:rPr>
                <w:rFonts w:ascii="Times New Roman" w:hAnsi="Times New Roman"/>
              </w:rPr>
              <w:t>项目</w:t>
            </w:r>
            <w:r>
              <w:rPr>
                <w:rFonts w:hint="eastAsia" w:ascii="Times New Roman" w:hAnsi="Times New Roman"/>
              </w:rPr>
              <w:t>运营期</w:t>
            </w:r>
            <w:r>
              <w:rPr>
                <w:rFonts w:ascii="Times New Roman" w:hAnsi="Times New Roman"/>
              </w:rPr>
              <w:t>固废主要</w:t>
            </w:r>
            <w:r>
              <w:rPr>
                <w:rFonts w:hint="eastAsia" w:ascii="Times New Roman" w:hAnsi="Times New Roman"/>
              </w:rPr>
              <w:t>为</w:t>
            </w:r>
            <w:r>
              <w:rPr>
                <w:rFonts w:ascii="Times New Roman" w:hAnsi="Times New Roman"/>
              </w:rPr>
              <w:t>污泥</w:t>
            </w:r>
            <w:r>
              <w:rPr>
                <w:rFonts w:hint="eastAsia" w:ascii="Times New Roman" w:hAnsi="Times New Roman"/>
              </w:rPr>
              <w:t>、压滤机废滤布、尾渣、</w:t>
            </w:r>
            <w:r>
              <w:rPr>
                <w:rFonts w:ascii="Times New Roman" w:hAnsi="Times New Roman"/>
              </w:rPr>
              <w:t>设备运营过程中产生的少量废机油</w:t>
            </w:r>
            <w:r>
              <w:rPr>
                <w:rFonts w:hint="eastAsia" w:ascii="Times New Roman" w:hAnsi="Times New Roman"/>
              </w:rPr>
              <w:t>、隔油池产生的少量浮油及</w:t>
            </w:r>
            <w:r>
              <w:rPr>
                <w:rFonts w:ascii="Times New Roman" w:hAnsi="Times New Roman"/>
              </w:rPr>
              <w:t>生活垃圾</w:t>
            </w:r>
            <w:r>
              <w:rPr>
                <w:rFonts w:hint="eastAsia" w:ascii="Times New Roman" w:hAnsi="Times New Roman"/>
              </w:rPr>
              <w:t>。</w:t>
            </w:r>
          </w:p>
          <w:p>
            <w:pPr>
              <w:widowControl/>
              <w:spacing w:line="440" w:lineRule="exact"/>
              <w:ind w:firstLine="480" w:firstLineChars="200"/>
              <w:rPr>
                <w:rFonts w:ascii="Times New Roman" w:hAnsi="Times New Roman"/>
              </w:rPr>
            </w:pPr>
            <w:r>
              <w:rPr>
                <w:rFonts w:ascii="Times New Roman" w:hAnsi="Times New Roman"/>
              </w:rPr>
              <w:t>（1）污泥</w:t>
            </w:r>
          </w:p>
          <w:p>
            <w:pPr>
              <w:pStyle w:val="46"/>
              <w:rPr>
                <w:color w:val="auto"/>
              </w:rPr>
            </w:pPr>
            <w:r>
              <w:rPr>
                <w:color w:val="auto"/>
              </w:rPr>
              <w:t>项目生产废水经</w:t>
            </w:r>
            <w:r>
              <w:rPr>
                <w:rFonts w:hint="eastAsia"/>
                <w:color w:val="auto"/>
              </w:rPr>
              <w:t>“隔油池+沉淀池”</w:t>
            </w:r>
            <w:r>
              <w:rPr>
                <w:color w:val="auto"/>
              </w:rPr>
              <w:t>处理后，下层为泥水混合物，</w:t>
            </w:r>
            <w:r>
              <w:rPr>
                <w:rFonts w:hint="eastAsia"/>
                <w:color w:val="auto"/>
              </w:rPr>
              <w:t>通过渣浆泵将其抽至板框压滤机压滤，污泥产生量约为30t/a，污泥含水率约20%，废物代码为900-999-61。压滤后的污泥外运至机砖厂作为原料利用。</w:t>
            </w:r>
          </w:p>
          <w:p>
            <w:pPr>
              <w:pStyle w:val="46"/>
              <w:rPr>
                <w:color w:val="auto"/>
              </w:rPr>
            </w:pPr>
            <w:r>
              <w:rPr>
                <w:rFonts w:hint="eastAsia"/>
                <w:color w:val="auto"/>
              </w:rPr>
              <w:t>（2）压滤机废滤布</w:t>
            </w:r>
          </w:p>
          <w:p>
            <w:pPr>
              <w:pStyle w:val="46"/>
              <w:rPr>
                <w:color w:val="auto"/>
              </w:rPr>
            </w:pPr>
            <w:r>
              <w:rPr>
                <w:bCs/>
                <w:color w:val="auto"/>
              </w:rPr>
              <w:t>项目压滤机设有72块</w:t>
            </w:r>
            <w:r>
              <w:rPr>
                <w:rFonts w:hint="eastAsia"/>
                <w:bCs/>
                <w:color w:val="auto"/>
              </w:rPr>
              <w:t>滤布</w:t>
            </w:r>
            <w:r>
              <w:rPr>
                <w:bCs/>
                <w:color w:val="auto"/>
              </w:rPr>
              <w:t>，</w:t>
            </w:r>
            <w:r>
              <w:rPr>
                <w:rFonts w:hint="eastAsia"/>
                <w:bCs/>
                <w:color w:val="auto"/>
              </w:rPr>
              <w:t>滤布</w:t>
            </w:r>
            <w:r>
              <w:rPr>
                <w:bCs/>
                <w:color w:val="auto"/>
              </w:rPr>
              <w:t>一般不同时损坏、更换，采用每破损一块更换一块的方式。</w:t>
            </w:r>
            <w:r>
              <w:rPr>
                <w:rFonts w:hint="eastAsia"/>
                <w:bCs/>
                <w:color w:val="auto"/>
              </w:rPr>
              <w:t>滤布</w:t>
            </w:r>
            <w:r>
              <w:rPr>
                <w:bCs/>
                <w:color w:val="auto"/>
              </w:rPr>
              <w:t>平均寿命按一年，每</w:t>
            </w:r>
            <w:r>
              <w:rPr>
                <w:rFonts w:hint="eastAsia"/>
                <w:bCs/>
                <w:color w:val="auto"/>
              </w:rPr>
              <w:t>个滤布的</w:t>
            </w:r>
            <w:r>
              <w:rPr>
                <w:bCs/>
                <w:color w:val="auto"/>
              </w:rPr>
              <w:t>质量约3kg，则年产生废滤布约0.2t，固态，属于一般固体废物，废物代码为900-999-99，临时暂存于一般固废区，最后由可回收利用的厂家回收。</w:t>
            </w:r>
          </w:p>
          <w:p>
            <w:pPr>
              <w:pStyle w:val="46"/>
              <w:rPr>
                <w:color w:val="auto"/>
              </w:rPr>
            </w:pPr>
            <w:r>
              <w:rPr>
                <w:rFonts w:hint="eastAsia"/>
                <w:color w:val="auto"/>
              </w:rPr>
              <w:t>（3）尾渣</w:t>
            </w:r>
          </w:p>
          <w:p>
            <w:pPr>
              <w:pStyle w:val="46"/>
              <w:rPr>
                <w:color w:val="auto"/>
              </w:rPr>
            </w:pPr>
            <w:r>
              <w:rPr>
                <w:rFonts w:hint="eastAsia"/>
                <w:color w:val="auto"/>
              </w:rPr>
              <w:t>项目干选会产生干选尾渣，湿式磁选产生磁选尾渣，属于一般固体废物，干选为尾渣（含水率8%）、磁选尾渣（含水率12-17%）的产生量分别为40000t/a、32800t/a，废物代码为900-999-99。尾渣运至机砖厂作为原料利用。</w:t>
            </w:r>
          </w:p>
          <w:p>
            <w:pPr>
              <w:pStyle w:val="46"/>
              <w:rPr>
                <w:color w:val="auto"/>
              </w:rPr>
            </w:pPr>
            <w:r>
              <w:rPr>
                <w:color w:val="auto"/>
              </w:rPr>
              <w:t>（</w:t>
            </w:r>
            <w:r>
              <w:rPr>
                <w:rFonts w:hint="eastAsia"/>
                <w:color w:val="auto"/>
              </w:rPr>
              <w:t>4</w:t>
            </w:r>
            <w:r>
              <w:rPr>
                <w:color w:val="auto"/>
              </w:rPr>
              <w:t>）废机油</w:t>
            </w:r>
          </w:p>
          <w:p>
            <w:pPr>
              <w:pStyle w:val="46"/>
              <w:rPr>
                <w:color w:val="auto"/>
              </w:rPr>
            </w:pPr>
            <w:r>
              <w:rPr>
                <w:color w:val="auto"/>
              </w:rPr>
              <w:t>项目在运营后，在机修过程中会产生少量废机油，废机油属于危险废物，产生量约0.</w:t>
            </w:r>
            <w:r>
              <w:rPr>
                <w:rFonts w:hint="eastAsia"/>
                <w:color w:val="auto"/>
              </w:rPr>
              <w:t>1</w:t>
            </w:r>
            <w:r>
              <w:rPr>
                <w:color w:val="auto"/>
              </w:rPr>
              <w:t>t/a，</w:t>
            </w:r>
            <w:r>
              <w:rPr>
                <w:rFonts w:hint="eastAsia"/>
                <w:color w:val="auto"/>
              </w:rPr>
              <w:t>危废代码为900-218-08，</w:t>
            </w:r>
            <w:r>
              <w:rPr>
                <w:color w:val="auto"/>
              </w:rPr>
              <w:t>经桶装收集后，统一贮存在危废间，并建立台账，委托有资质的单位处置。</w:t>
            </w:r>
          </w:p>
          <w:p>
            <w:pPr>
              <w:pStyle w:val="46"/>
              <w:rPr>
                <w:color w:val="auto"/>
              </w:rPr>
            </w:pPr>
            <w:r>
              <w:rPr>
                <w:rFonts w:hint="eastAsia"/>
                <w:color w:val="auto"/>
              </w:rPr>
              <w:t>（5）浮油</w:t>
            </w:r>
          </w:p>
          <w:p>
            <w:pPr>
              <w:pStyle w:val="46"/>
              <w:rPr>
                <w:color w:val="auto"/>
              </w:rPr>
            </w:pPr>
            <w:r>
              <w:rPr>
                <w:rFonts w:hint="eastAsia"/>
                <w:color w:val="auto"/>
              </w:rPr>
              <w:t>本项目石油类物质来源于废铁渣、铸造砂、转炉渣、钢渣等原辅材料烧结过程中残余的油类物质，烧结温度远高于油类物质的沸点，基本无油类物质残留。保守取值，进入隔油池的石油类浓度取10mg/L，隔油池的去除效率除油效率取70%，进入废水处理设施的废水量约60m</w:t>
            </w:r>
            <w:r>
              <w:rPr>
                <w:rFonts w:hint="eastAsia"/>
                <w:color w:val="auto"/>
                <w:vertAlign w:val="superscript"/>
              </w:rPr>
              <w:t>3</w:t>
            </w:r>
            <w:r>
              <w:rPr>
                <w:rFonts w:hint="eastAsia"/>
                <w:color w:val="auto"/>
              </w:rPr>
              <w:t>/d，则产生的浮油量约为0.42kg/d，年产生量为0.13t，危废代码为900-210-08。</w:t>
            </w:r>
          </w:p>
          <w:p>
            <w:pPr>
              <w:pStyle w:val="46"/>
              <w:rPr>
                <w:color w:val="auto"/>
              </w:rPr>
            </w:pPr>
            <w:r>
              <w:rPr>
                <w:color w:val="auto"/>
              </w:rPr>
              <w:t>（</w:t>
            </w:r>
            <w:r>
              <w:rPr>
                <w:rFonts w:hint="eastAsia"/>
                <w:color w:val="auto"/>
              </w:rPr>
              <w:t>6</w:t>
            </w:r>
            <w:r>
              <w:rPr>
                <w:color w:val="auto"/>
              </w:rPr>
              <w:t>）生活垃圾</w:t>
            </w:r>
          </w:p>
          <w:p>
            <w:pPr>
              <w:pStyle w:val="46"/>
              <w:rPr>
                <w:color w:val="auto"/>
              </w:rPr>
            </w:pPr>
            <w:r>
              <w:rPr>
                <w:color w:val="auto"/>
              </w:rPr>
              <w:t>项目员工</w:t>
            </w:r>
            <w:r>
              <w:rPr>
                <w:rFonts w:hint="eastAsia"/>
                <w:color w:val="auto"/>
              </w:rPr>
              <w:t>10</w:t>
            </w:r>
            <w:r>
              <w:rPr>
                <w:color w:val="auto"/>
              </w:rPr>
              <w:t>人，均不住厂，参照我国生活污染物排放系数，不住厂职工垃圾排放系数取0.3kg/人·天，则项目生活垃圾产生量为</w:t>
            </w:r>
            <w:r>
              <w:rPr>
                <w:rFonts w:hint="eastAsia"/>
                <w:color w:val="auto"/>
              </w:rPr>
              <w:t>3</w:t>
            </w:r>
            <w:r>
              <w:rPr>
                <w:color w:val="auto"/>
              </w:rPr>
              <w:t>kg/d（</w:t>
            </w:r>
            <w:r>
              <w:rPr>
                <w:rFonts w:hint="eastAsia"/>
                <w:color w:val="auto"/>
              </w:rPr>
              <w:t>0.9</w:t>
            </w:r>
            <w:r>
              <w:rPr>
                <w:color w:val="auto"/>
              </w:rPr>
              <w:t>t/a）。</w:t>
            </w:r>
          </w:p>
          <w:p>
            <w:pPr>
              <w:widowControl/>
              <w:spacing w:line="440" w:lineRule="exact"/>
              <w:ind w:firstLine="480" w:firstLineChars="200"/>
              <w:rPr>
                <w:rFonts w:ascii="Times New Roman" w:hAnsi="Times New Roman"/>
              </w:rPr>
            </w:pPr>
            <w:r>
              <w:rPr>
                <w:rFonts w:ascii="Times New Roman" w:hAnsi="Times New Roman"/>
              </w:rPr>
              <w:t>项目固体废物产生、处置情况见下表。</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8</w:t>
            </w:r>
            <w:r>
              <w:rPr>
                <w:rFonts w:ascii="Times New Roman" w:hAnsi="Times New Roman" w:eastAsia="黑体"/>
                <w:b/>
                <w:bCs/>
                <w:kern w:val="0"/>
                <w:sz w:val="21"/>
                <w:szCs w:val="21"/>
              </w:rPr>
              <w:t xml:space="preserve"> 项目固体废物产生、处置情况一览表</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16"/>
              <w:gridCol w:w="848"/>
              <w:gridCol w:w="1033"/>
              <w:gridCol w:w="1059"/>
              <w:gridCol w:w="1136"/>
              <w:gridCol w:w="1187"/>
              <w:gridCol w:w="275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5" w:hRule="atLeast"/>
                <w:tblHeader/>
              </w:trPr>
              <w:tc>
                <w:tcPr>
                  <w:tcW w:w="716" w:type="dxa"/>
                  <w:vAlign w:val="center"/>
                </w:tcPr>
                <w:p>
                  <w:pPr>
                    <w:spacing w:line="200" w:lineRule="exact"/>
                    <w:jc w:val="center"/>
                    <w:rPr>
                      <w:rFonts w:ascii="Times New Roman" w:hAnsi="Times New Roman"/>
                      <w:sz w:val="18"/>
                      <w:szCs w:val="18"/>
                    </w:rPr>
                  </w:pPr>
                  <w:r>
                    <w:rPr>
                      <w:rFonts w:ascii="Times New Roman" w:hAnsi="Times New Roman"/>
                      <w:sz w:val="18"/>
                      <w:szCs w:val="18"/>
                    </w:rPr>
                    <w:t>序号</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工序</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固废名称</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固废属性</w:t>
                  </w:r>
                </w:p>
              </w:tc>
              <w:tc>
                <w:tcPr>
                  <w:tcW w:w="1136" w:type="dxa"/>
                  <w:vAlign w:val="center"/>
                </w:tcPr>
                <w:p>
                  <w:pPr>
                    <w:spacing w:line="200" w:lineRule="exact"/>
                    <w:jc w:val="center"/>
                    <w:rPr>
                      <w:rFonts w:ascii="Times New Roman" w:hAnsi="Times New Roman"/>
                      <w:sz w:val="18"/>
                      <w:szCs w:val="18"/>
                    </w:rPr>
                  </w:pPr>
                  <w:r>
                    <w:rPr>
                      <w:rFonts w:ascii="Times New Roman" w:hAnsi="Times New Roman"/>
                      <w:sz w:val="18"/>
                      <w:szCs w:val="18"/>
                    </w:rPr>
                    <w:t>代码</w:t>
                  </w:r>
                </w:p>
              </w:tc>
              <w:tc>
                <w:tcPr>
                  <w:tcW w:w="1187" w:type="dxa"/>
                  <w:vAlign w:val="center"/>
                </w:tcPr>
                <w:p>
                  <w:pPr>
                    <w:spacing w:line="200" w:lineRule="exact"/>
                    <w:jc w:val="center"/>
                    <w:rPr>
                      <w:rFonts w:ascii="Times New Roman" w:hAnsi="Times New Roman"/>
                      <w:sz w:val="18"/>
                      <w:szCs w:val="18"/>
                    </w:rPr>
                  </w:pPr>
                  <w:r>
                    <w:rPr>
                      <w:rFonts w:ascii="Times New Roman" w:hAnsi="Times New Roman"/>
                      <w:sz w:val="18"/>
                      <w:szCs w:val="18"/>
                    </w:rPr>
                    <w:t>产生量（t/a）</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处置措施及去向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废水</w:t>
                  </w:r>
                  <w:r>
                    <w:rPr>
                      <w:rFonts w:ascii="Times New Roman" w:hAnsi="Times New Roman"/>
                      <w:sz w:val="18"/>
                      <w:szCs w:val="18"/>
                    </w:rPr>
                    <w:t>压滤</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污泥</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一般工业固废</w:t>
                  </w:r>
                </w:p>
              </w:tc>
              <w:tc>
                <w:tcPr>
                  <w:tcW w:w="1136" w:type="dxa"/>
                  <w:noWrap/>
                  <w:vAlign w:val="center"/>
                </w:tcPr>
                <w:p>
                  <w:pPr>
                    <w:spacing w:line="200" w:lineRule="exact"/>
                    <w:jc w:val="center"/>
                    <w:rPr>
                      <w:rFonts w:ascii="Times New Roman" w:hAnsi="Times New Roman"/>
                      <w:sz w:val="18"/>
                      <w:szCs w:val="18"/>
                    </w:rPr>
                  </w:pPr>
                  <w:r>
                    <w:rPr>
                      <w:rFonts w:hint="eastAsia" w:ascii="Times New Roman" w:hAnsi="Times New Roman"/>
                      <w:sz w:val="18"/>
                      <w:szCs w:val="18"/>
                    </w:rPr>
                    <w:t>900-999-61</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30</w:t>
                  </w:r>
                </w:p>
              </w:tc>
              <w:tc>
                <w:tcPr>
                  <w:tcW w:w="2755" w:type="dxa"/>
                  <w:vAlign w:val="center"/>
                </w:tcPr>
                <w:p>
                  <w:pPr>
                    <w:spacing w:line="200" w:lineRule="exact"/>
                    <w:rPr>
                      <w:rFonts w:ascii="Times New Roman" w:hAnsi="Times New Roman"/>
                      <w:sz w:val="18"/>
                      <w:szCs w:val="18"/>
                    </w:rPr>
                  </w:pPr>
                  <w:r>
                    <w:rPr>
                      <w:rFonts w:ascii="Times New Roman" w:hAnsi="Times New Roman"/>
                      <w:sz w:val="18"/>
                      <w:szCs w:val="18"/>
                    </w:rPr>
                    <w:t>存放于</w:t>
                  </w:r>
                  <w:r>
                    <w:rPr>
                      <w:rFonts w:hint="eastAsia" w:ascii="Times New Roman" w:hAnsi="Times New Roman"/>
                      <w:sz w:val="18"/>
                      <w:szCs w:val="18"/>
                    </w:rPr>
                    <w:t>尾渣堆场</w:t>
                  </w:r>
                  <w:r>
                    <w:rPr>
                      <w:rFonts w:ascii="Times New Roman" w:hAnsi="Times New Roman"/>
                      <w:sz w:val="18"/>
                      <w:szCs w:val="18"/>
                    </w:rPr>
                    <w:t>，定期转运至</w:t>
                  </w:r>
                  <w:r>
                    <w:rPr>
                      <w:rFonts w:hint="eastAsia" w:ascii="Times New Roman" w:hAnsi="Times New Roman"/>
                      <w:sz w:val="18"/>
                      <w:szCs w:val="18"/>
                    </w:rPr>
                    <w:t>外部单位作为原料利用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2</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压滤</w:t>
                  </w:r>
                </w:p>
              </w:tc>
              <w:tc>
                <w:tcPr>
                  <w:tcW w:w="1033" w:type="dxa"/>
                  <w:vAlign w:val="center"/>
                </w:tcPr>
                <w:p>
                  <w:pPr>
                    <w:pStyle w:val="42"/>
                    <w:rPr>
                      <w:rFonts w:ascii="Times New Roman" w:hAnsi="Times New Roman"/>
                      <w:sz w:val="18"/>
                      <w:szCs w:val="18"/>
                    </w:rPr>
                  </w:pPr>
                  <w:r>
                    <w:rPr>
                      <w:rFonts w:ascii="Times New Roman" w:hAnsi="Times New Roman"/>
                      <w:sz w:val="18"/>
                      <w:szCs w:val="18"/>
                    </w:rPr>
                    <w:t>压滤机废滤布</w:t>
                  </w:r>
                </w:p>
              </w:tc>
              <w:tc>
                <w:tcPr>
                  <w:tcW w:w="1059" w:type="dxa"/>
                  <w:vAlign w:val="center"/>
                </w:tcPr>
                <w:p>
                  <w:pPr>
                    <w:pStyle w:val="42"/>
                    <w:rPr>
                      <w:rFonts w:ascii="Times New Roman" w:hAnsi="Times New Roman"/>
                      <w:sz w:val="18"/>
                      <w:szCs w:val="18"/>
                    </w:rPr>
                  </w:pPr>
                  <w:r>
                    <w:rPr>
                      <w:rFonts w:ascii="Times New Roman" w:hAnsi="Times New Roman"/>
                      <w:sz w:val="18"/>
                      <w:szCs w:val="18"/>
                    </w:rPr>
                    <w:t>一般固废</w:t>
                  </w:r>
                </w:p>
              </w:tc>
              <w:tc>
                <w:tcPr>
                  <w:tcW w:w="1136" w:type="dxa"/>
                  <w:noWrap/>
                  <w:vAlign w:val="center"/>
                </w:tcPr>
                <w:p>
                  <w:pPr>
                    <w:pStyle w:val="42"/>
                    <w:rPr>
                      <w:rFonts w:ascii="Times New Roman" w:hAnsi="Times New Roman"/>
                      <w:sz w:val="18"/>
                      <w:szCs w:val="18"/>
                    </w:rPr>
                  </w:pPr>
                  <w:r>
                    <w:rPr>
                      <w:rFonts w:ascii="Times New Roman" w:hAnsi="Times New Roman"/>
                      <w:sz w:val="18"/>
                      <w:szCs w:val="18"/>
                    </w:rPr>
                    <w:t>900-999-99</w:t>
                  </w:r>
                </w:p>
              </w:tc>
              <w:tc>
                <w:tcPr>
                  <w:tcW w:w="1187" w:type="dxa"/>
                  <w:vAlign w:val="center"/>
                </w:tcPr>
                <w:p>
                  <w:pPr>
                    <w:pStyle w:val="42"/>
                    <w:rPr>
                      <w:rFonts w:ascii="Times New Roman" w:hAnsi="Times New Roman"/>
                      <w:sz w:val="18"/>
                      <w:szCs w:val="18"/>
                    </w:rPr>
                  </w:pPr>
                  <w:r>
                    <w:rPr>
                      <w:rFonts w:ascii="Times New Roman" w:hAnsi="Times New Roman"/>
                      <w:sz w:val="18"/>
                      <w:szCs w:val="18"/>
                    </w:rPr>
                    <w:t>0.2</w:t>
                  </w:r>
                </w:p>
              </w:tc>
              <w:tc>
                <w:tcPr>
                  <w:tcW w:w="2755" w:type="dxa"/>
                  <w:vAlign w:val="center"/>
                </w:tcPr>
                <w:p>
                  <w:pPr>
                    <w:pStyle w:val="42"/>
                    <w:rPr>
                      <w:rFonts w:ascii="Times New Roman" w:hAnsi="Times New Roman"/>
                      <w:sz w:val="18"/>
                      <w:szCs w:val="18"/>
                    </w:rPr>
                  </w:pPr>
                  <w:r>
                    <w:rPr>
                      <w:rFonts w:ascii="Times New Roman" w:hAnsi="Times New Roman"/>
                      <w:sz w:val="18"/>
                      <w:szCs w:val="18"/>
                    </w:rPr>
                    <w:t>可回收利用的厂家回收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6"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2</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干选、脱水筛、板框压滤</w:t>
                  </w:r>
                </w:p>
              </w:tc>
              <w:tc>
                <w:tcPr>
                  <w:tcW w:w="1033"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干选尾渣、磁选尾渣</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一般工业固废</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900-999-9</w:t>
                  </w:r>
                  <w:r>
                    <w:rPr>
                      <w:rFonts w:hint="eastAsia" w:ascii="Times New Roman" w:hAnsi="Times New Roman"/>
                      <w:sz w:val="18"/>
                      <w:szCs w:val="18"/>
                    </w:rPr>
                    <w:t>9</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72800</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存放于</w:t>
                  </w:r>
                  <w:r>
                    <w:rPr>
                      <w:rFonts w:hint="eastAsia" w:ascii="Times New Roman" w:hAnsi="Times New Roman"/>
                      <w:sz w:val="18"/>
                      <w:szCs w:val="18"/>
                    </w:rPr>
                    <w:t>尾渣堆场</w:t>
                  </w:r>
                  <w:r>
                    <w:rPr>
                      <w:rFonts w:ascii="Times New Roman" w:hAnsi="Times New Roman"/>
                      <w:sz w:val="18"/>
                      <w:szCs w:val="18"/>
                    </w:rPr>
                    <w:t>，定期转运至</w:t>
                  </w:r>
                  <w:r>
                    <w:rPr>
                      <w:rFonts w:hint="eastAsia" w:ascii="Times New Roman" w:hAnsi="Times New Roman"/>
                      <w:sz w:val="18"/>
                      <w:szCs w:val="18"/>
                    </w:rPr>
                    <w:t>外部单位作为原料利用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3</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生产过程设备</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废机油</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危废</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900-21</w:t>
                  </w:r>
                  <w:r>
                    <w:rPr>
                      <w:rFonts w:hint="eastAsia" w:ascii="Times New Roman" w:hAnsi="Times New Roman"/>
                      <w:sz w:val="18"/>
                      <w:szCs w:val="18"/>
                    </w:rPr>
                    <w:t>8</w:t>
                  </w:r>
                  <w:r>
                    <w:rPr>
                      <w:rFonts w:ascii="Times New Roman" w:hAnsi="Times New Roman"/>
                      <w:sz w:val="18"/>
                      <w:szCs w:val="18"/>
                    </w:rPr>
                    <w:t>-08</w:t>
                  </w:r>
                </w:p>
              </w:tc>
              <w:tc>
                <w:tcPr>
                  <w:tcW w:w="1187" w:type="dxa"/>
                  <w:vAlign w:val="center"/>
                </w:tcPr>
                <w:p>
                  <w:pPr>
                    <w:spacing w:line="200" w:lineRule="exact"/>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1</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统一贮存在危废间，并建立台账，委托有资质的单位处置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4</w:t>
                  </w:r>
                </w:p>
              </w:tc>
              <w:tc>
                <w:tcPr>
                  <w:tcW w:w="848"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隔油池隔油</w:t>
                  </w:r>
                </w:p>
              </w:tc>
              <w:tc>
                <w:tcPr>
                  <w:tcW w:w="1033"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浮油</w:t>
                  </w:r>
                </w:p>
              </w:tc>
              <w:tc>
                <w:tcPr>
                  <w:tcW w:w="1059"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危废</w:t>
                  </w:r>
                </w:p>
              </w:tc>
              <w:tc>
                <w:tcPr>
                  <w:tcW w:w="1136" w:type="dxa"/>
                  <w:noWrap/>
                  <w:vAlign w:val="center"/>
                </w:tcPr>
                <w:p>
                  <w:pPr>
                    <w:spacing w:line="200" w:lineRule="exact"/>
                    <w:jc w:val="center"/>
                    <w:rPr>
                      <w:rFonts w:ascii="Times New Roman" w:hAnsi="Times New Roman"/>
                      <w:sz w:val="18"/>
                      <w:szCs w:val="18"/>
                    </w:rPr>
                  </w:pPr>
                  <w:r>
                    <w:rPr>
                      <w:rFonts w:hint="eastAsia" w:ascii="Times New Roman" w:hAnsi="Times New Roman"/>
                      <w:sz w:val="18"/>
                      <w:szCs w:val="18"/>
                    </w:rPr>
                    <w:t>900-210-08</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0.13</w:t>
                  </w:r>
                </w:p>
              </w:tc>
              <w:tc>
                <w:tcPr>
                  <w:tcW w:w="2755"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收集后</w:t>
                  </w:r>
                  <w:r>
                    <w:rPr>
                      <w:rFonts w:ascii="Times New Roman" w:hAnsi="Times New Roman"/>
                      <w:sz w:val="18"/>
                      <w:szCs w:val="18"/>
                    </w:rPr>
                    <w:t>统一贮存在危废间，并建立台账，委托有资质的单位处置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716"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5</w:t>
                  </w:r>
                </w:p>
              </w:tc>
              <w:tc>
                <w:tcPr>
                  <w:tcW w:w="848" w:type="dxa"/>
                  <w:vAlign w:val="center"/>
                </w:tcPr>
                <w:p>
                  <w:pPr>
                    <w:spacing w:line="200" w:lineRule="exact"/>
                    <w:jc w:val="center"/>
                    <w:rPr>
                      <w:rFonts w:ascii="Times New Roman" w:hAnsi="Times New Roman"/>
                      <w:sz w:val="18"/>
                      <w:szCs w:val="18"/>
                    </w:rPr>
                  </w:pPr>
                  <w:r>
                    <w:rPr>
                      <w:rFonts w:ascii="Times New Roman" w:hAnsi="Times New Roman"/>
                      <w:sz w:val="18"/>
                      <w:szCs w:val="18"/>
                    </w:rPr>
                    <w:t>职工生活</w:t>
                  </w:r>
                </w:p>
              </w:tc>
              <w:tc>
                <w:tcPr>
                  <w:tcW w:w="1033" w:type="dxa"/>
                  <w:vAlign w:val="center"/>
                </w:tcPr>
                <w:p>
                  <w:pPr>
                    <w:spacing w:line="200" w:lineRule="exact"/>
                    <w:jc w:val="center"/>
                    <w:rPr>
                      <w:rFonts w:ascii="Times New Roman" w:hAnsi="Times New Roman"/>
                      <w:sz w:val="18"/>
                      <w:szCs w:val="18"/>
                    </w:rPr>
                  </w:pPr>
                  <w:r>
                    <w:rPr>
                      <w:rFonts w:ascii="Times New Roman" w:hAnsi="Times New Roman"/>
                      <w:sz w:val="18"/>
                      <w:szCs w:val="18"/>
                    </w:rPr>
                    <w:t>生活垃圾</w:t>
                  </w:r>
                </w:p>
              </w:tc>
              <w:tc>
                <w:tcPr>
                  <w:tcW w:w="1059" w:type="dxa"/>
                  <w:vAlign w:val="center"/>
                </w:tcPr>
                <w:p>
                  <w:pPr>
                    <w:spacing w:line="200" w:lineRule="exact"/>
                    <w:jc w:val="center"/>
                    <w:rPr>
                      <w:rFonts w:ascii="Times New Roman" w:hAnsi="Times New Roman"/>
                      <w:sz w:val="18"/>
                      <w:szCs w:val="18"/>
                    </w:rPr>
                  </w:pPr>
                  <w:r>
                    <w:rPr>
                      <w:rFonts w:ascii="Times New Roman" w:hAnsi="Times New Roman"/>
                      <w:sz w:val="18"/>
                      <w:szCs w:val="18"/>
                    </w:rPr>
                    <w:t>生活垃圾</w:t>
                  </w:r>
                </w:p>
              </w:tc>
              <w:tc>
                <w:tcPr>
                  <w:tcW w:w="1136" w:type="dxa"/>
                  <w:noWrap/>
                  <w:vAlign w:val="center"/>
                </w:tcPr>
                <w:p>
                  <w:pPr>
                    <w:spacing w:line="200" w:lineRule="exact"/>
                    <w:jc w:val="center"/>
                    <w:rPr>
                      <w:rFonts w:ascii="Times New Roman" w:hAnsi="Times New Roman"/>
                      <w:sz w:val="18"/>
                      <w:szCs w:val="18"/>
                    </w:rPr>
                  </w:pPr>
                  <w:r>
                    <w:rPr>
                      <w:rFonts w:ascii="Times New Roman" w:hAnsi="Times New Roman"/>
                      <w:sz w:val="18"/>
                      <w:szCs w:val="18"/>
                    </w:rPr>
                    <w:t>/</w:t>
                  </w:r>
                </w:p>
              </w:tc>
              <w:tc>
                <w:tcPr>
                  <w:tcW w:w="1187" w:type="dxa"/>
                  <w:vAlign w:val="center"/>
                </w:tcPr>
                <w:p>
                  <w:pPr>
                    <w:spacing w:line="200" w:lineRule="exact"/>
                    <w:jc w:val="center"/>
                    <w:rPr>
                      <w:rFonts w:ascii="Times New Roman" w:hAnsi="Times New Roman"/>
                      <w:sz w:val="18"/>
                      <w:szCs w:val="18"/>
                    </w:rPr>
                  </w:pPr>
                  <w:r>
                    <w:rPr>
                      <w:rFonts w:hint="eastAsia" w:ascii="Times New Roman" w:hAnsi="Times New Roman"/>
                      <w:sz w:val="18"/>
                      <w:szCs w:val="18"/>
                    </w:rPr>
                    <w:t>0.9</w:t>
                  </w:r>
                </w:p>
              </w:tc>
              <w:tc>
                <w:tcPr>
                  <w:tcW w:w="2755" w:type="dxa"/>
                  <w:vAlign w:val="center"/>
                </w:tcPr>
                <w:p>
                  <w:pPr>
                    <w:spacing w:line="200" w:lineRule="exact"/>
                    <w:jc w:val="center"/>
                    <w:rPr>
                      <w:rFonts w:ascii="Times New Roman" w:hAnsi="Times New Roman"/>
                      <w:sz w:val="18"/>
                      <w:szCs w:val="18"/>
                    </w:rPr>
                  </w:pPr>
                  <w:r>
                    <w:rPr>
                      <w:rFonts w:ascii="Times New Roman" w:hAnsi="Times New Roman"/>
                      <w:sz w:val="18"/>
                      <w:szCs w:val="18"/>
                    </w:rPr>
                    <w:t>委托当地环卫部门统一清运处理</w:t>
                  </w:r>
                </w:p>
              </w:tc>
            </w:tr>
          </w:tbl>
          <w:p>
            <w:pPr>
              <w:autoSpaceDE w:val="0"/>
              <w:autoSpaceDN w:val="0"/>
              <w:adjustRightInd w:val="0"/>
              <w:snapToGrid w:val="0"/>
              <w:spacing w:line="440" w:lineRule="exact"/>
              <w:rPr>
                <w:rFonts w:ascii="Times New Roman" w:hAnsi="Times New Roman"/>
                <w:b/>
                <w:bCs/>
                <w:kern w:val="21"/>
              </w:rPr>
            </w:pPr>
            <w:r>
              <w:rPr>
                <w:rFonts w:ascii="Times New Roman" w:hAnsi="Times New Roman"/>
                <w:b/>
              </w:rPr>
              <w:t>4.2.</w:t>
            </w:r>
            <w:r>
              <w:rPr>
                <w:rFonts w:hint="eastAsia" w:ascii="Times New Roman" w:hAnsi="Times New Roman"/>
                <w:b/>
              </w:rPr>
              <w:t>5</w:t>
            </w:r>
            <w:r>
              <w:rPr>
                <w:rFonts w:ascii="Times New Roman" w:hAnsi="Times New Roman"/>
                <w:b/>
              </w:rPr>
              <w:t>.2</w:t>
            </w:r>
            <w:r>
              <w:rPr>
                <w:rFonts w:ascii="Times New Roman" w:hAnsi="Times New Roman"/>
                <w:b/>
                <w:bCs/>
                <w:kern w:val="21"/>
              </w:rPr>
              <w:t>固体废物处置措施及可行性分析</w:t>
            </w:r>
          </w:p>
          <w:p>
            <w:pPr>
              <w:keepNext w:val="0"/>
              <w:keepLines w:val="0"/>
              <w:pageBreakBefore w:val="0"/>
              <w:widowControl w:val="0"/>
              <w:numPr>
                <w:ilvl w:val="0"/>
                <w:numId w:val="16"/>
              </w:numPr>
              <w:kinsoku/>
              <w:wordWrap/>
              <w:overflowPunct/>
              <w:topLinePunct w:val="0"/>
              <w:autoSpaceDE/>
              <w:autoSpaceDN/>
              <w:bidi w:val="0"/>
              <w:adjustRightInd w:val="0"/>
              <w:snapToGrid w:val="0"/>
              <w:spacing w:line="420" w:lineRule="exact"/>
              <w:ind w:left="601"/>
              <w:textAlignment w:val="auto"/>
              <w:rPr>
                <w:rFonts w:ascii="Times New Roman" w:hAnsi="Times New Roman"/>
                <w:b/>
                <w:bCs/>
              </w:rPr>
            </w:pPr>
            <w:r>
              <w:rPr>
                <w:rFonts w:ascii="Times New Roman" w:hAnsi="Times New Roman"/>
                <w:b/>
                <w:bCs/>
              </w:rPr>
              <w:t>危险废物</w:t>
            </w:r>
            <w:r>
              <w:rPr>
                <w:rFonts w:hint="eastAsia" w:ascii="Times New Roman" w:hAnsi="Times New Roman"/>
                <w:b/>
                <w:bCs/>
              </w:rPr>
              <w:t>收集、暂存、转运相关要求</w:t>
            </w:r>
          </w:p>
          <w:p>
            <w:pPr>
              <w:spacing w:line="420" w:lineRule="exact"/>
              <w:ind w:firstLine="480" w:firstLineChars="200"/>
              <w:rPr>
                <w:rFonts w:hAnsi="Tahoma"/>
              </w:rPr>
            </w:pPr>
            <w:r>
              <w:rPr>
                <w:rFonts w:hint="eastAsia" w:ascii="Times New Roman" w:hAnsi="Times New Roman"/>
              </w:rPr>
              <w:t>根据</w:t>
            </w:r>
            <w:r>
              <w:rPr>
                <w:rFonts w:ascii="Times New Roman" w:hAnsi="Times New Roman"/>
              </w:rPr>
              <w:t>《危险废物贮存污染控制标准》(GB18597-2023)</w:t>
            </w:r>
            <w:r>
              <w:rPr>
                <w:rFonts w:hint="eastAsia" w:hAnsi="Tahoma"/>
              </w:rPr>
              <w:t>有关规定对危废进行管理、收集、暂存和运输，具体要求如下：</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危险废物的收集包装</w:t>
            </w:r>
          </w:p>
          <w:p>
            <w:pPr>
              <w:spacing w:line="420" w:lineRule="exact"/>
              <w:ind w:firstLine="480" w:firstLineChars="200"/>
              <w:rPr>
                <w:rFonts w:hAnsi="Tahoma"/>
              </w:rPr>
            </w:pPr>
            <w:r>
              <w:rPr>
                <w:rFonts w:hint="eastAsia" w:hAnsi="Tahoma"/>
              </w:rPr>
              <w:t>①配置专职人员专门负责厂区危险废物的收集，并采用符合要求的收集容器进行收集，收集人员配备个人防护设备；</w:t>
            </w:r>
          </w:p>
          <w:p>
            <w:pPr>
              <w:spacing w:line="420" w:lineRule="exact"/>
              <w:ind w:firstLine="480" w:firstLineChars="200"/>
              <w:rPr>
                <w:rFonts w:hAnsi="Tahoma"/>
              </w:rPr>
            </w:pPr>
            <w:r>
              <w:rPr>
                <w:rFonts w:hint="eastAsia" w:hAnsi="Tahoma"/>
              </w:rPr>
              <w:t>②危险废物的收集容器应在醒目位置贴有危险废物标签，在收集场所醒目的地方设置危险废物警告标识。</w:t>
            </w:r>
          </w:p>
          <w:p>
            <w:pPr>
              <w:spacing w:line="420" w:lineRule="exact"/>
              <w:ind w:firstLine="480" w:firstLineChars="200"/>
              <w:rPr>
                <w:rFonts w:hAnsi="Tahoma"/>
              </w:rPr>
            </w:pPr>
            <w:r>
              <w:rPr>
                <w:rFonts w:hint="eastAsia" w:hAnsi="Tahoma"/>
              </w:rPr>
              <w:t>③危险废物标签应标明以下信息：主要化学成分或危险废物名称、数量、物理形态、危险类别、安全措施以及危险废物产生单位名称、地址、联系人及电话。</w:t>
            </w:r>
          </w:p>
          <w:p>
            <w:pPr>
              <w:spacing w:line="420" w:lineRule="exact"/>
              <w:ind w:firstLine="480" w:firstLineChars="200"/>
              <w:rPr>
                <w:rFonts w:hAnsi="Tahoma"/>
              </w:rPr>
            </w:pPr>
            <w:r>
              <w:rPr>
                <w:rFonts w:hint="eastAsia" w:hAnsi="Tahoma"/>
              </w:rPr>
              <w:t>④危险废物在产生点收集后严格按照指定路线转移运输至危险废物暂存间，运输过程采用专用手推车。</w:t>
            </w:r>
          </w:p>
          <w:p>
            <w:pPr>
              <w:spacing w:line="420" w:lineRule="exact"/>
              <w:ind w:firstLine="480" w:firstLineChars="200"/>
              <w:rPr>
                <w:rFonts w:hAnsi="Tahoma"/>
              </w:rPr>
            </w:pPr>
            <w:r>
              <w:rPr>
                <w:rFonts w:hint="eastAsia" w:hAnsi="Tahoma"/>
              </w:rPr>
              <w:t>⑤加强运输过程中的管理，严防洒落现象，若发生洒落及时进行收集处置。</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危险废物的暂存要求</w:t>
            </w:r>
          </w:p>
          <w:p>
            <w:pPr>
              <w:spacing w:line="420" w:lineRule="exact"/>
              <w:ind w:firstLine="480" w:firstLineChars="200"/>
              <w:rPr>
                <w:rFonts w:hint="eastAsia" w:hAnsi="Tahoma"/>
              </w:rPr>
            </w:pPr>
            <w:r>
              <w:rPr>
                <w:rFonts w:hint="eastAsia" w:hAnsi="Tahoma"/>
                <w:lang w:val="en-US" w:eastAsia="zh-CN"/>
              </w:rPr>
              <w:t>①</w:t>
            </w:r>
            <w:r>
              <w:rPr>
                <w:rFonts w:hint="eastAsia" w:hAnsi="Tahoma"/>
              </w:rPr>
              <w:t>危废暂存间按《危险废物识别标志设置技术规范》(HJ 1276-2022)设置警示标志。</w:t>
            </w:r>
          </w:p>
          <w:p>
            <w:pPr>
              <w:spacing w:line="420" w:lineRule="exact"/>
              <w:ind w:firstLine="480" w:firstLineChars="200"/>
              <w:rPr>
                <w:rFonts w:hint="eastAsia" w:hAnsi="Tahoma"/>
              </w:rPr>
            </w:pPr>
            <w:r>
              <w:rPr>
                <w:rFonts w:hint="eastAsia" w:hAnsi="Tahoma"/>
              </w:rPr>
              <w:t>②必须有耐腐蚀的硬化地面和基础防渗层，地面无裂隙；</w:t>
            </w:r>
          </w:p>
          <w:p>
            <w:pPr>
              <w:spacing w:line="420" w:lineRule="exact"/>
              <w:ind w:firstLine="480" w:firstLineChars="200"/>
              <w:rPr>
                <w:rFonts w:hint="eastAsia" w:hAnsi="Tahoma"/>
              </w:rPr>
            </w:pPr>
            <w:r>
              <w:rPr>
                <w:rFonts w:hint="eastAsia" w:hAnsi="Tahoma"/>
              </w:rPr>
              <w:t>③危废暂存间所地面采用地下水重点防渗措施进行防渗。</w:t>
            </w:r>
          </w:p>
          <w:p>
            <w:pPr>
              <w:spacing w:line="420" w:lineRule="exact"/>
              <w:ind w:firstLine="480" w:firstLineChars="200"/>
              <w:rPr>
                <w:rFonts w:hint="eastAsia" w:hAnsi="Tahoma"/>
              </w:rPr>
            </w:pPr>
            <w:r>
              <w:rPr>
                <w:rFonts w:hint="eastAsia" w:hAnsi="Tahoma"/>
              </w:rPr>
              <w:t>④要求必要的防风、防雨、防晒措施，并设立明显废物识别标志，临时储存场所应具备一个月以上的贮存能力。</w:t>
            </w:r>
          </w:p>
          <w:p>
            <w:pPr>
              <w:spacing w:line="420" w:lineRule="exact"/>
              <w:ind w:firstLine="480" w:firstLineChars="200"/>
              <w:rPr>
                <w:rFonts w:hint="eastAsia" w:hAnsi="Tahoma"/>
              </w:rPr>
            </w:pPr>
            <w:r>
              <w:rPr>
                <w:rFonts w:hint="eastAsia" w:hAnsi="Tahoma"/>
              </w:rPr>
              <w:t>⑤不得将不相容的废物混合或合并存放。</w:t>
            </w:r>
          </w:p>
          <w:p>
            <w:pPr>
              <w:spacing w:line="420" w:lineRule="exact"/>
              <w:ind w:firstLine="480" w:firstLineChars="200"/>
              <w:rPr>
                <w:rFonts w:hint="eastAsia" w:hAnsi="Tahoma"/>
              </w:rPr>
            </w:pPr>
            <w:r>
              <w:rPr>
                <w:rFonts w:hint="eastAsia" w:hAnsi="Tahoma"/>
              </w:rPr>
              <w:t>⑥应配备通讯设备、照明设施、安全防护服装及工具，并设有报警装置和应急防护设施。</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ascii="Times New Roman" w:hAnsi="Tahoma"/>
                <w:b/>
                <w:bCs/>
              </w:rPr>
            </w:pPr>
            <w:r>
              <w:rPr>
                <w:rFonts w:hint="eastAsia" w:ascii="Times New Roman" w:hAnsi="Tahoma"/>
                <w:b/>
                <w:bCs/>
              </w:rPr>
              <w:t>危险废物的运输要求</w:t>
            </w:r>
          </w:p>
          <w:p>
            <w:pPr>
              <w:spacing w:line="400" w:lineRule="exact"/>
              <w:ind w:firstLine="480" w:firstLineChars="200"/>
              <w:rPr>
                <w:rFonts w:hAnsi="Tahoma"/>
              </w:rPr>
            </w:pPr>
            <w:r>
              <w:rPr>
                <w:rFonts w:hint="eastAsia" w:hAnsi="Tahoma"/>
              </w:rPr>
              <w:t>危险废物的运输由有资质的单位运输，转运环节执行“电子联单”制度，保证运输安全，防止非法转移和非法处置，保证危险废物的安全监控，防止危险废物污染事故发生。</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危险废物处置要求</w:t>
            </w:r>
          </w:p>
          <w:p>
            <w:pPr>
              <w:spacing w:line="400" w:lineRule="exact"/>
              <w:ind w:firstLine="480" w:firstLineChars="200"/>
              <w:rPr>
                <w:rFonts w:hAnsi="Tahoma"/>
              </w:rPr>
            </w:pPr>
            <w:r>
              <w:rPr>
                <w:rFonts w:hint="eastAsia" w:hAnsi="Tahoma"/>
              </w:rPr>
              <w:t>项目产生的危险废物在厂区内规范化暂存后，委托有资质的单位进行处置，严禁委托无相关处置资质的单位违规进行处置。</w:t>
            </w:r>
          </w:p>
          <w:p>
            <w:pPr>
              <w:keepNext w:val="0"/>
              <w:keepLines w:val="0"/>
              <w:pageBreakBefore w:val="0"/>
              <w:widowControl/>
              <w:numPr>
                <w:ilvl w:val="0"/>
                <w:numId w:val="17"/>
              </w:numPr>
              <w:kinsoku/>
              <w:wordWrap/>
              <w:overflowPunct/>
              <w:topLinePunct w:val="0"/>
              <w:autoSpaceDE/>
              <w:autoSpaceDN/>
              <w:bidi w:val="0"/>
              <w:adjustRightInd/>
              <w:snapToGrid/>
              <w:spacing w:line="400" w:lineRule="exact"/>
              <w:ind w:left="-119" w:firstLine="420"/>
              <w:jc w:val="left"/>
              <w:textAlignment w:val="auto"/>
              <w:rPr>
                <w:rFonts w:hint="eastAsia" w:ascii="Times New Roman" w:hAnsi="Tahoma"/>
                <w:b/>
                <w:bCs/>
              </w:rPr>
            </w:pPr>
            <w:r>
              <w:rPr>
                <w:rFonts w:hint="eastAsia" w:ascii="Times New Roman" w:hAnsi="Tahoma"/>
                <w:b/>
                <w:bCs/>
              </w:rPr>
              <w:t>环境管理要求</w:t>
            </w:r>
          </w:p>
          <w:p>
            <w:pPr>
              <w:widowControl/>
              <w:numPr>
                <w:ilvl w:val="0"/>
                <w:numId w:val="18"/>
              </w:numPr>
              <w:spacing w:line="400" w:lineRule="exact"/>
              <w:ind w:left="-120" w:firstLine="482"/>
              <w:jc w:val="left"/>
              <w:rPr>
                <w:rFonts w:ascii="Times New Roman" w:hAnsi="Tahoma"/>
              </w:rPr>
            </w:pPr>
            <w:r>
              <w:rPr>
                <w:rFonts w:hint="eastAsia" w:ascii="Times New Roman" w:hAnsi="Tahoma"/>
              </w:rPr>
              <w:t>安排专职人员负责危险废物的收集、暂存管理及后续处置；</w:t>
            </w:r>
          </w:p>
          <w:p>
            <w:pPr>
              <w:widowControl/>
              <w:numPr>
                <w:ilvl w:val="0"/>
                <w:numId w:val="18"/>
              </w:numPr>
              <w:spacing w:line="400" w:lineRule="exact"/>
              <w:ind w:left="-120" w:firstLine="482"/>
              <w:jc w:val="left"/>
              <w:rPr>
                <w:rFonts w:ascii="Times New Roman" w:hAnsi="Tahoma"/>
              </w:rPr>
            </w:pPr>
            <w:r>
              <w:rPr>
                <w:rFonts w:hint="eastAsia" w:ascii="Times New Roman" w:hAnsi="Tahoma"/>
              </w:rPr>
              <w:t>建设规范的危废暂存场所，危险废物应在临时贮存场内分别堆放，禁止将不相容的危险废物混装；</w:t>
            </w:r>
          </w:p>
          <w:p>
            <w:pPr>
              <w:widowControl/>
              <w:numPr>
                <w:ilvl w:val="0"/>
                <w:numId w:val="18"/>
              </w:numPr>
              <w:spacing w:line="400" w:lineRule="exact"/>
              <w:ind w:left="-120" w:firstLine="482"/>
              <w:jc w:val="left"/>
              <w:rPr>
                <w:rFonts w:ascii="Times New Roman" w:hAnsi="Tahoma"/>
              </w:rPr>
            </w:pPr>
            <w:r>
              <w:rPr>
                <w:rFonts w:hint="eastAsia" w:ascii="Times New Roman" w:hAnsi="Tahoma"/>
              </w:rPr>
              <w:t>对危险废物的容器和包装物以及收集、贮存、运输、处置危险废物的设施、场所，必须设置危险废物识别标志；</w:t>
            </w:r>
          </w:p>
          <w:p>
            <w:pPr>
              <w:widowControl/>
              <w:numPr>
                <w:ilvl w:val="0"/>
                <w:numId w:val="18"/>
              </w:numPr>
              <w:spacing w:line="400" w:lineRule="exact"/>
              <w:ind w:left="-120" w:firstLine="482"/>
              <w:jc w:val="left"/>
              <w:rPr>
                <w:rFonts w:ascii="Times New Roman" w:hAnsi="Tahoma"/>
              </w:rPr>
            </w:pPr>
            <w:r>
              <w:rPr>
                <w:rFonts w:hint="eastAsia" w:ascii="Times New Roman" w:hAnsi="Tahoma"/>
              </w:rPr>
              <w:t>禁止将危险废物提供或者委托给无经营许可证的单位从事收集、贮存、利用、处置的经营活动。</w:t>
            </w:r>
          </w:p>
          <w:p>
            <w:pPr>
              <w:widowControl/>
              <w:numPr>
                <w:ilvl w:val="0"/>
                <w:numId w:val="18"/>
              </w:numPr>
              <w:spacing w:line="400" w:lineRule="exact"/>
              <w:ind w:left="-120" w:firstLine="482"/>
              <w:jc w:val="left"/>
              <w:rPr>
                <w:rFonts w:ascii="Times New Roman" w:hAnsi="Tahoma"/>
              </w:rPr>
            </w:pPr>
            <w:r>
              <w:rPr>
                <w:rFonts w:hint="eastAsia" w:ascii="Times New Roman" w:hAnsi="Tahoma"/>
              </w:rPr>
              <w:t>建立危险废物管理台账，记录厂区内危险废物的产生、贮存、处置等情况。</w:t>
            </w:r>
          </w:p>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危险废物</w:t>
            </w:r>
            <w:r>
              <w:rPr>
                <w:rFonts w:hint="eastAsia" w:ascii="Times New Roman" w:hAnsi="Times New Roman"/>
                <w:b/>
                <w:bCs/>
              </w:rPr>
              <w:t>暂存设施可行性分析</w:t>
            </w:r>
          </w:p>
          <w:p>
            <w:pPr>
              <w:spacing w:line="400" w:lineRule="exact"/>
              <w:ind w:firstLine="480" w:firstLineChars="200"/>
              <w:rPr>
                <w:rFonts w:ascii="Times New Roman" w:hAnsi="Times New Roman"/>
                <w:szCs w:val="21"/>
              </w:rPr>
            </w:pPr>
            <w:r>
              <w:rPr>
                <w:rFonts w:hint="eastAsia" w:hAnsi="Tahoma"/>
              </w:rPr>
              <w:t>厂区按规范设置危废暂存间</w:t>
            </w:r>
            <w:r>
              <w:rPr>
                <w:rFonts w:ascii="Times New Roman" w:hAnsi="Times New Roman"/>
              </w:rPr>
              <w:t>1个，</w:t>
            </w:r>
            <w:r>
              <w:rPr>
                <w:rFonts w:hint="eastAsia" w:ascii="Times New Roman" w:hAnsi="Times New Roman"/>
              </w:rPr>
              <w:t>占地</w:t>
            </w:r>
            <w:r>
              <w:rPr>
                <w:rFonts w:ascii="Times New Roman" w:hAnsi="Times New Roman"/>
              </w:rPr>
              <w:t>面积约为15m</w:t>
            </w:r>
            <w:r>
              <w:rPr>
                <w:rFonts w:ascii="Times New Roman" w:hAnsi="Times New Roman"/>
                <w:vertAlign w:val="superscript"/>
              </w:rPr>
              <w:t>2</w:t>
            </w:r>
            <w:r>
              <w:rPr>
                <w:rFonts w:ascii="Times New Roman" w:hAnsi="Times New Roman"/>
              </w:rPr>
              <w:t>，</w:t>
            </w:r>
            <w:r>
              <w:rPr>
                <w:rFonts w:hint="eastAsia" w:hAnsi="Tahoma"/>
              </w:rPr>
              <w:t>地面采取“防渗混凝土硬化</w:t>
            </w:r>
            <w:r>
              <w:rPr>
                <w:rFonts w:hAnsi="Tahoma"/>
              </w:rPr>
              <w:t>+</w:t>
            </w:r>
            <w:r>
              <w:rPr>
                <w:rFonts w:hint="eastAsia" w:hAnsi="Tahoma"/>
              </w:rPr>
              <w:t>环氧树脂地坪漆”防渗，并设置防风、防雨、防晒及截流措施，废机油及浮油采用专用容器包装后贮存在危废暂存间，并设置警示牌。本项目设置的危废暂存间基本满足相关规范要求，暂存场贮存能力满足暂存要求</w:t>
            </w:r>
            <w:r>
              <w:rPr>
                <w:rFonts w:ascii="Times New Roman" w:hAnsi="Times New Roman"/>
                <w:szCs w:val="21"/>
              </w:rPr>
              <w:t>。</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9</w:t>
            </w:r>
            <w:r>
              <w:rPr>
                <w:rFonts w:ascii="Times New Roman" w:hAnsi="Times New Roman" w:eastAsia="黑体"/>
                <w:b/>
                <w:bCs/>
                <w:kern w:val="0"/>
                <w:sz w:val="21"/>
                <w:szCs w:val="21"/>
              </w:rPr>
              <w:t xml:space="preserve"> </w:t>
            </w:r>
            <w:r>
              <w:rPr>
                <w:rFonts w:hint="eastAsia" w:ascii="Times New Roman" w:hAnsi="Times New Roman" w:eastAsia="黑体"/>
                <w:b/>
                <w:bCs/>
                <w:kern w:val="0"/>
                <w:sz w:val="21"/>
                <w:szCs w:val="21"/>
              </w:rPr>
              <w:t>建设项目危险废物贮存库基本情况</w:t>
            </w:r>
          </w:p>
          <w:tbl>
            <w:tblPr>
              <w:tblStyle w:val="25"/>
              <w:tblW w:w="872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61"/>
              <w:gridCol w:w="1532"/>
              <w:gridCol w:w="804"/>
              <w:gridCol w:w="1048"/>
              <w:gridCol w:w="1102"/>
              <w:gridCol w:w="800"/>
              <w:gridCol w:w="12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Align w:val="center"/>
                </w:tcPr>
                <w:p>
                  <w:pPr>
                    <w:jc w:val="center"/>
                    <w:rPr>
                      <w:rFonts w:ascii="Times New Roman" w:hAnsi="Times New Roman"/>
                      <w:sz w:val="21"/>
                      <w:szCs w:val="21"/>
                    </w:rPr>
                  </w:pPr>
                  <w:r>
                    <w:rPr>
                      <w:rFonts w:hint="eastAsia" w:ascii="Times New Roman" w:hAnsi="Times New Roman"/>
                      <w:sz w:val="21"/>
                      <w:szCs w:val="21"/>
                    </w:rPr>
                    <w:t>贮存场所名称</w:t>
                  </w: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危废名称</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危废代码</w:t>
                  </w:r>
                </w:p>
              </w:tc>
              <w:tc>
                <w:tcPr>
                  <w:tcW w:w="804" w:type="dxa"/>
                  <w:vAlign w:val="center"/>
                </w:tcPr>
                <w:p>
                  <w:pPr>
                    <w:jc w:val="center"/>
                    <w:rPr>
                      <w:rFonts w:ascii="Times New Roman" w:hAnsi="Times New Roman"/>
                      <w:sz w:val="21"/>
                      <w:szCs w:val="21"/>
                    </w:rPr>
                  </w:pPr>
                  <w:r>
                    <w:rPr>
                      <w:rFonts w:hint="eastAsia" w:ascii="Times New Roman" w:hAnsi="Times New Roman"/>
                      <w:sz w:val="21"/>
                      <w:szCs w:val="21"/>
                    </w:rPr>
                    <w:t>占地面积</w:t>
                  </w: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贮存</w:t>
                  </w:r>
                </w:p>
                <w:p>
                  <w:pPr>
                    <w:jc w:val="center"/>
                    <w:rPr>
                      <w:rFonts w:ascii="Times New Roman" w:hAnsi="Times New Roman"/>
                      <w:sz w:val="21"/>
                      <w:szCs w:val="21"/>
                    </w:rPr>
                  </w:pPr>
                  <w:r>
                    <w:rPr>
                      <w:rFonts w:hint="eastAsia" w:ascii="Times New Roman" w:hAnsi="Times New Roman"/>
                      <w:sz w:val="21"/>
                      <w:szCs w:val="21"/>
                    </w:rPr>
                    <w:t>方式</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产生量</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贮存能力</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贮存周期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Merge w:val="restart"/>
                  <w:vAlign w:val="center"/>
                </w:tcPr>
                <w:p>
                  <w:pPr>
                    <w:jc w:val="center"/>
                    <w:rPr>
                      <w:rFonts w:ascii="Times New Roman" w:hAnsi="Times New Roman"/>
                      <w:sz w:val="21"/>
                      <w:szCs w:val="21"/>
                    </w:rPr>
                  </w:pPr>
                  <w:r>
                    <w:rPr>
                      <w:rFonts w:hint="eastAsia" w:ascii="Times New Roman" w:hAnsi="Times New Roman"/>
                      <w:sz w:val="21"/>
                      <w:szCs w:val="21"/>
                    </w:rPr>
                    <w:t>危废暂存间</w:t>
                  </w: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废机油</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900-218-08</w:t>
                  </w:r>
                </w:p>
              </w:tc>
              <w:tc>
                <w:tcPr>
                  <w:tcW w:w="804" w:type="dxa"/>
                  <w:vMerge w:val="restart"/>
                  <w:vAlign w:val="center"/>
                </w:tcPr>
                <w:p>
                  <w:pPr>
                    <w:jc w:val="center"/>
                    <w:rPr>
                      <w:rFonts w:ascii="Times New Roman" w:hAnsi="Times New Roman"/>
                      <w:sz w:val="21"/>
                      <w:szCs w:val="21"/>
                    </w:rPr>
                  </w:pPr>
                  <w:r>
                    <w:rPr>
                      <w:rFonts w:hint="eastAsia" w:ascii="Times New Roman" w:hAnsi="Times New Roman"/>
                      <w:sz w:val="21"/>
                      <w:szCs w:val="21"/>
                    </w:rPr>
                    <w:t>15m</w:t>
                  </w:r>
                  <w:r>
                    <w:rPr>
                      <w:rFonts w:hint="eastAsia" w:ascii="Times New Roman" w:hAnsi="Times New Roman"/>
                      <w:sz w:val="21"/>
                      <w:szCs w:val="21"/>
                      <w:vertAlign w:val="superscript"/>
                    </w:rPr>
                    <w:t>2</w:t>
                  </w: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桶装密闭贮存</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0.1t/a</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5t</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1~3个月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0" w:type="dxa"/>
                  <w:vMerge w:val="continue"/>
                  <w:vAlign w:val="center"/>
                </w:tcPr>
                <w:p>
                  <w:pPr>
                    <w:jc w:val="center"/>
                    <w:rPr>
                      <w:rFonts w:ascii="Times New Roman" w:hAnsi="Times New Roman"/>
                      <w:sz w:val="21"/>
                      <w:szCs w:val="21"/>
                    </w:rPr>
                  </w:pPr>
                </w:p>
              </w:tc>
              <w:tc>
                <w:tcPr>
                  <w:tcW w:w="961" w:type="dxa"/>
                  <w:vAlign w:val="center"/>
                </w:tcPr>
                <w:p>
                  <w:pPr>
                    <w:jc w:val="center"/>
                    <w:rPr>
                      <w:rFonts w:ascii="Times New Roman" w:hAnsi="Times New Roman"/>
                      <w:sz w:val="21"/>
                      <w:szCs w:val="21"/>
                    </w:rPr>
                  </w:pPr>
                  <w:r>
                    <w:rPr>
                      <w:rFonts w:hint="eastAsia" w:ascii="Times New Roman" w:hAnsi="Times New Roman"/>
                      <w:sz w:val="21"/>
                      <w:szCs w:val="21"/>
                    </w:rPr>
                    <w:t>浮油</w:t>
                  </w:r>
                </w:p>
              </w:tc>
              <w:tc>
                <w:tcPr>
                  <w:tcW w:w="1532" w:type="dxa"/>
                  <w:vAlign w:val="center"/>
                </w:tcPr>
                <w:p>
                  <w:pPr>
                    <w:jc w:val="center"/>
                    <w:rPr>
                      <w:rFonts w:ascii="Times New Roman" w:hAnsi="Times New Roman"/>
                      <w:sz w:val="21"/>
                      <w:szCs w:val="21"/>
                    </w:rPr>
                  </w:pPr>
                  <w:r>
                    <w:rPr>
                      <w:rFonts w:hint="eastAsia" w:ascii="Times New Roman" w:hAnsi="Times New Roman"/>
                      <w:sz w:val="21"/>
                      <w:szCs w:val="21"/>
                    </w:rPr>
                    <w:t>900-210-08</w:t>
                  </w:r>
                </w:p>
              </w:tc>
              <w:tc>
                <w:tcPr>
                  <w:tcW w:w="804" w:type="dxa"/>
                  <w:vMerge w:val="continue"/>
                  <w:vAlign w:val="center"/>
                </w:tcPr>
                <w:p>
                  <w:pPr>
                    <w:jc w:val="center"/>
                    <w:rPr>
                      <w:rFonts w:ascii="Times New Roman" w:hAnsi="Times New Roman"/>
                      <w:sz w:val="21"/>
                      <w:szCs w:val="21"/>
                    </w:rPr>
                  </w:pPr>
                </w:p>
              </w:tc>
              <w:tc>
                <w:tcPr>
                  <w:tcW w:w="1048" w:type="dxa"/>
                  <w:vAlign w:val="center"/>
                </w:tcPr>
                <w:p>
                  <w:pPr>
                    <w:jc w:val="center"/>
                    <w:rPr>
                      <w:rFonts w:ascii="Times New Roman" w:hAnsi="Times New Roman"/>
                      <w:sz w:val="21"/>
                      <w:szCs w:val="21"/>
                    </w:rPr>
                  </w:pPr>
                  <w:r>
                    <w:rPr>
                      <w:rFonts w:hint="eastAsia" w:ascii="Times New Roman" w:hAnsi="Times New Roman"/>
                      <w:sz w:val="21"/>
                      <w:szCs w:val="21"/>
                    </w:rPr>
                    <w:t>桶装密闭贮存</w:t>
                  </w:r>
                </w:p>
              </w:tc>
              <w:tc>
                <w:tcPr>
                  <w:tcW w:w="1102" w:type="dxa"/>
                  <w:vAlign w:val="center"/>
                </w:tcPr>
                <w:p>
                  <w:pPr>
                    <w:jc w:val="center"/>
                    <w:rPr>
                      <w:rFonts w:ascii="Times New Roman" w:hAnsi="Times New Roman"/>
                      <w:sz w:val="21"/>
                      <w:szCs w:val="21"/>
                    </w:rPr>
                  </w:pPr>
                  <w:r>
                    <w:rPr>
                      <w:rFonts w:hint="eastAsia" w:ascii="Times New Roman" w:hAnsi="Times New Roman"/>
                      <w:sz w:val="21"/>
                      <w:szCs w:val="21"/>
                    </w:rPr>
                    <w:t>0.13t/a</w:t>
                  </w:r>
                </w:p>
              </w:tc>
              <w:tc>
                <w:tcPr>
                  <w:tcW w:w="800" w:type="dxa"/>
                  <w:vAlign w:val="center"/>
                </w:tcPr>
                <w:p>
                  <w:pPr>
                    <w:jc w:val="center"/>
                    <w:rPr>
                      <w:rFonts w:ascii="Times New Roman" w:hAnsi="Times New Roman"/>
                      <w:sz w:val="21"/>
                      <w:szCs w:val="21"/>
                    </w:rPr>
                  </w:pPr>
                  <w:r>
                    <w:rPr>
                      <w:rFonts w:hint="eastAsia" w:ascii="Times New Roman" w:hAnsi="Times New Roman"/>
                      <w:sz w:val="21"/>
                      <w:szCs w:val="21"/>
                    </w:rPr>
                    <w:t>5t</w:t>
                  </w:r>
                </w:p>
              </w:tc>
              <w:tc>
                <w:tcPr>
                  <w:tcW w:w="1242" w:type="dxa"/>
                  <w:vAlign w:val="center"/>
                </w:tcPr>
                <w:p>
                  <w:pPr>
                    <w:jc w:val="center"/>
                    <w:rPr>
                      <w:rFonts w:ascii="Times New Roman" w:hAnsi="Times New Roman"/>
                      <w:sz w:val="21"/>
                      <w:szCs w:val="21"/>
                    </w:rPr>
                  </w:pPr>
                  <w:r>
                    <w:rPr>
                      <w:rFonts w:hint="eastAsia" w:ascii="Times New Roman" w:hAnsi="Times New Roman"/>
                      <w:sz w:val="21"/>
                      <w:szCs w:val="21"/>
                    </w:rPr>
                    <w:t>1~3个月</w:t>
                  </w:r>
                </w:p>
              </w:tc>
            </w:tr>
          </w:tbl>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一般工业固体废物</w:t>
            </w:r>
          </w:p>
          <w:p>
            <w:pPr>
              <w:adjustRightInd w:val="0"/>
              <w:snapToGrid w:val="0"/>
              <w:spacing w:line="400" w:lineRule="exact"/>
              <w:ind w:firstLine="480" w:firstLineChars="200"/>
              <w:rPr>
                <w:rFonts w:ascii="Times New Roman" w:hAnsi="Times New Roman"/>
                <w:szCs w:val="21"/>
              </w:rPr>
            </w:pPr>
            <w:r>
              <w:rPr>
                <w:rFonts w:ascii="Times New Roman" w:hAnsi="Times New Roman"/>
              </w:rPr>
              <w:t>项目</w:t>
            </w:r>
            <w:r>
              <w:rPr>
                <w:rFonts w:hint="eastAsia" w:ascii="Times New Roman" w:hAnsi="Times New Roman"/>
              </w:rPr>
              <w:t>尾渣堆场</w:t>
            </w:r>
            <w:r>
              <w:rPr>
                <w:rFonts w:ascii="Times New Roman" w:hAnsi="Times New Roman"/>
              </w:rPr>
              <w:t>采用防渗混凝土硬化，符合《一般工业固体废物贮存和填埋污染控制标准》（GB 18599-2020）。</w:t>
            </w:r>
            <w:r>
              <w:rPr>
                <w:rFonts w:hint="eastAsia" w:ascii="Times New Roman" w:hAnsi="Times New Roman"/>
              </w:rPr>
              <w:t>尾渣、污泥经收集后，委托可利用的单位回收后综合利用</w:t>
            </w:r>
            <w:r>
              <w:rPr>
                <w:rFonts w:ascii="Times New Roman" w:hAnsi="Times New Roman"/>
                <w:szCs w:val="21"/>
              </w:rPr>
              <w:t>。</w:t>
            </w:r>
            <w:r>
              <w:rPr>
                <w:rFonts w:hint="eastAsia" w:ascii="Times New Roman" w:hAnsi="Times New Roman"/>
                <w:szCs w:val="21"/>
              </w:rPr>
              <w:t>压滤机废滤布委托可回收利用的厂家回收。</w:t>
            </w:r>
          </w:p>
          <w:p>
            <w:pPr>
              <w:numPr>
                <w:ilvl w:val="0"/>
                <w:numId w:val="16"/>
              </w:numPr>
              <w:adjustRightInd w:val="0"/>
              <w:snapToGrid w:val="0"/>
              <w:spacing w:line="400" w:lineRule="exact"/>
              <w:ind w:left="600"/>
              <w:rPr>
                <w:rFonts w:ascii="Times New Roman" w:hAnsi="Times New Roman"/>
                <w:b/>
                <w:bCs/>
              </w:rPr>
            </w:pPr>
            <w:r>
              <w:rPr>
                <w:rFonts w:ascii="Times New Roman" w:hAnsi="Times New Roman"/>
                <w:b/>
                <w:bCs/>
              </w:rPr>
              <w:t>生活垃圾</w:t>
            </w:r>
          </w:p>
          <w:p>
            <w:pPr>
              <w:adjustRightInd w:val="0"/>
              <w:snapToGrid w:val="0"/>
              <w:spacing w:line="400" w:lineRule="exact"/>
              <w:ind w:firstLine="480" w:firstLineChars="200"/>
              <w:rPr>
                <w:rFonts w:ascii="Times New Roman" w:hAnsi="Times New Roman"/>
              </w:rPr>
            </w:pPr>
            <w:r>
              <w:rPr>
                <w:rFonts w:ascii="Times New Roman" w:hAnsi="Times New Roman"/>
              </w:rPr>
              <w:t>项目已定点设置垃圾桶，生活垃圾集中收集后由当地环卫部门统一清运。</w:t>
            </w:r>
          </w:p>
          <w:p>
            <w:pPr>
              <w:spacing w:line="440" w:lineRule="exact"/>
              <w:ind w:firstLine="480" w:firstLineChars="200"/>
              <w:rPr>
                <w:rFonts w:ascii="Times New Roman" w:hAnsi="Times New Roman"/>
              </w:rPr>
            </w:pPr>
            <w:r>
              <w:rPr>
                <w:rFonts w:ascii="Times New Roman" w:hAnsi="Times New Roman"/>
              </w:rPr>
              <w:t>综上所述，固体废物均得到有效处置，不会对周围环境产生很大影响</w:t>
            </w:r>
            <w:r>
              <w:rPr>
                <w:rFonts w:hint="eastAsia" w:ascii="Times New Roman" w:hAnsi="Times New Roman"/>
              </w:rP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6地下水</w:t>
            </w:r>
          </w:p>
          <w:p>
            <w:pPr>
              <w:numPr>
                <w:ilvl w:val="0"/>
                <w:numId w:val="19"/>
              </w:num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地下水污染防治原则</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针对本项目可能发生的地下水污染，地下水污染防治措施按照</w:t>
            </w:r>
            <w:r>
              <w:rPr>
                <w:rFonts w:ascii="Times New Roman" w:hAnsi="Times New Roman" w:cs="宋体"/>
                <w:shd w:val="clear" w:color="auto" w:fill="FFFFFF"/>
                <w:lang w:bidi="ar"/>
              </w:rPr>
              <w:t>“</w:t>
            </w:r>
            <w:r>
              <w:rPr>
                <w:rFonts w:hint="eastAsia" w:ascii="Times New Roman" w:hAnsi="Times New Roman" w:cs="宋体"/>
                <w:shd w:val="clear" w:color="auto" w:fill="FFFFFF"/>
                <w:lang w:bidi="ar"/>
              </w:rPr>
              <w:t>源头控制、末端防治、污染监控、应急响应</w:t>
            </w:r>
            <w:r>
              <w:rPr>
                <w:rFonts w:ascii="Times New Roman" w:hAnsi="Times New Roman" w:cs="宋体"/>
                <w:shd w:val="clear" w:color="auto" w:fill="FFFFFF"/>
                <w:lang w:bidi="ar"/>
              </w:rPr>
              <w:t>”</w:t>
            </w:r>
            <w:r>
              <w:rPr>
                <w:rFonts w:hint="eastAsia" w:ascii="Times New Roman" w:hAnsi="Times New Roman" w:cs="宋体"/>
                <w:shd w:val="clear" w:color="auto" w:fill="FFFFFF"/>
                <w:lang w:bidi="ar"/>
              </w:rPr>
              <w:t>相结合的原则，从污染物的产生、入渗、扩散、应急响应全阶段进行控制。</w:t>
            </w:r>
          </w:p>
          <w:p>
            <w:pPr>
              <w:spacing w:line="420" w:lineRule="atLeast"/>
              <w:ind w:firstLine="480" w:firstLineChars="200"/>
              <w:rPr>
                <w:shd w:val="clear" w:color="auto" w:fill="FFFFFF"/>
              </w:rPr>
            </w:pPr>
            <w:r>
              <w:rPr>
                <w:rFonts w:hint="eastAsia" w:ascii="Times New Roman" w:hAnsi="Times New Roman" w:cs="宋体"/>
                <w:shd w:val="clear" w:color="auto" w:fill="FFFFFF"/>
                <w:lang w:bidi="ar"/>
              </w:rPr>
              <w:t>①源头控制措施：主要包括在工艺、管道、设备等采取相应措施，防止和降低污染物跑、冒、滴、漏，将污染物泄漏的环境风险事故降到最低程度；管线敷设尽量采用</w:t>
            </w:r>
            <w:r>
              <w:rPr>
                <w:rFonts w:ascii="Times New Roman" w:hAnsi="Times New Roman"/>
                <w:shd w:val="clear" w:color="auto" w:fill="FFFFFF"/>
                <w:lang w:bidi="ar"/>
              </w:rPr>
              <w:t>“</w:t>
            </w:r>
            <w:r>
              <w:rPr>
                <w:rFonts w:hint="eastAsia" w:ascii="Times New Roman" w:hAnsi="Times New Roman" w:cs="宋体"/>
                <w:shd w:val="clear" w:color="auto" w:fill="FFFFFF"/>
                <w:lang w:bidi="ar"/>
              </w:rPr>
              <w:t>可视化</w:t>
            </w:r>
            <w:r>
              <w:rPr>
                <w:rFonts w:ascii="Times New Roman" w:hAnsi="Times New Roman"/>
                <w:shd w:val="clear" w:color="auto" w:fill="FFFFFF"/>
                <w:lang w:bidi="ar"/>
              </w:rPr>
              <w:t>”</w:t>
            </w:r>
            <w:r>
              <w:rPr>
                <w:rFonts w:hint="eastAsia" w:ascii="Times New Roman" w:hAnsi="Times New Roman" w:cs="宋体"/>
                <w:shd w:val="clear" w:color="auto" w:fill="FFFFFF"/>
                <w:lang w:bidi="ar"/>
              </w:rPr>
              <w:t>原则，即管道尽可能地上敷设，做到污染物</w:t>
            </w:r>
            <w:r>
              <w:rPr>
                <w:rFonts w:ascii="Times New Roman" w:hAnsi="Times New Roman"/>
                <w:shd w:val="clear" w:color="auto" w:fill="FFFFFF"/>
                <w:lang w:bidi="ar"/>
              </w:rPr>
              <w:t>“</w:t>
            </w:r>
            <w:r>
              <w:rPr>
                <w:rFonts w:hint="eastAsia" w:ascii="Times New Roman" w:hAnsi="Times New Roman" w:cs="宋体"/>
                <w:shd w:val="clear" w:color="auto" w:fill="FFFFFF"/>
                <w:lang w:bidi="ar"/>
              </w:rPr>
              <w:t>早发现、早处理</w:t>
            </w:r>
            <w:r>
              <w:rPr>
                <w:rFonts w:ascii="Times New Roman" w:hAnsi="Times New Roman"/>
                <w:shd w:val="clear" w:color="auto" w:fill="FFFFFF"/>
                <w:lang w:bidi="ar"/>
              </w:rPr>
              <w:t>”</w:t>
            </w:r>
            <w:r>
              <w:rPr>
                <w:rFonts w:hint="eastAsia" w:ascii="Times New Roman" w:hAnsi="Times New Roman" w:cs="宋体"/>
                <w:shd w:val="clear" w:color="auto" w:fill="FFFFFF"/>
                <w:lang w:bidi="ar"/>
              </w:rPr>
              <w:t>，减少由于埋地管道泄漏而造成的地下水污染。</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②末端控制措施：主要包括针对污染区地面建设防渗措施和泄漏、渗漏污染物收集措施，即在污染区地面进行防渗处理，防止洒落地面的污染物渗入地下，并把滞留在地面的污染物收集后集中处置；末端控制采取分区防渗措施。</w:t>
            </w:r>
          </w:p>
          <w:p>
            <w:pPr>
              <w:numPr>
                <w:ilvl w:val="0"/>
                <w:numId w:val="19"/>
              </w:numPr>
              <w:spacing w:line="420" w:lineRule="atLeast"/>
              <w:ind w:firstLine="480" w:firstLineChars="200"/>
              <w:rPr>
                <w:rFonts w:ascii="Times New Roman" w:hAnsi="Times New Roman" w:cs="宋体"/>
                <w:shd w:val="clear" w:color="auto" w:fill="FFFFFF"/>
                <w:lang w:bidi="ar"/>
              </w:rPr>
            </w:pPr>
            <w:bookmarkStart w:id="17" w:name="_Hlk109756817"/>
            <w:r>
              <w:rPr>
                <w:rFonts w:hint="eastAsia" w:ascii="Times New Roman" w:hAnsi="Times New Roman" w:cs="宋体"/>
                <w:shd w:val="clear" w:color="auto" w:fill="FFFFFF"/>
                <w:lang w:bidi="ar"/>
              </w:rPr>
              <w:t>地下水污染防渗分区</w:t>
            </w:r>
            <w:bookmarkEnd w:id="17"/>
          </w:p>
          <w:p>
            <w:pPr>
              <w:autoSpaceDE w:val="0"/>
              <w:autoSpaceDN w:val="0"/>
              <w:spacing w:line="420" w:lineRule="atLeast"/>
              <w:ind w:firstLine="480" w:firstLineChars="200"/>
              <w:rPr>
                <w:shd w:val="clear" w:color="auto" w:fill="FFFFFF"/>
              </w:rPr>
            </w:pPr>
            <w:r>
              <w:rPr>
                <w:rFonts w:hint="eastAsia" w:ascii="Times New Roman" w:hAnsi="Times New Roman" w:cs="宋体"/>
                <w:shd w:val="clear" w:color="auto" w:fill="FFFFFF"/>
                <w:lang w:bidi="ar"/>
              </w:rPr>
              <w:t>根据项目可能泄漏至地面区域的污染物类型、污染物控制的难易程度和厂区的实际情况，将厂区划分为重点防渗区、</w:t>
            </w:r>
            <w:r>
              <w:rPr>
                <w:rFonts w:hint="eastAsia" w:ascii="Times New Roman" w:hAnsi="Times New Roman" w:cs="宋体"/>
                <w:bCs/>
                <w:snapToGrid w:val="0"/>
                <w:kern w:val="0"/>
                <w:shd w:val="clear" w:color="auto" w:fill="FFFFFF"/>
                <w:lang w:bidi="ar"/>
              </w:rPr>
              <w:t>一般防渗区和简单防渗区</w:t>
            </w:r>
            <w:r>
              <w:rPr>
                <w:rFonts w:hint="eastAsia" w:ascii="Times New Roman" w:hAnsi="Times New Roman" w:cs="宋体"/>
                <w:shd w:val="clear" w:color="auto" w:fill="FFFFFF"/>
                <w:lang w:bidi="ar"/>
              </w:rP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①重点防渗区</w:t>
            </w:r>
          </w:p>
          <w:p>
            <w:pPr>
              <w:autoSpaceDE w:val="0"/>
              <w:autoSpaceDN w:val="0"/>
              <w:spacing w:line="420" w:lineRule="atLeast"/>
              <w:ind w:firstLine="480" w:firstLineChars="200"/>
              <w:rPr>
                <w:shd w:val="clear" w:color="auto" w:fill="FFFFFF"/>
              </w:rPr>
            </w:pPr>
            <w:r>
              <w:rPr>
                <w:rFonts w:hint="eastAsia" w:ascii="Times New Roman" w:hAnsi="Times New Roman" w:cs="宋体"/>
                <w:shd w:val="clear" w:color="auto" w:fill="FFFFFF"/>
                <w:lang w:bidi="ar"/>
              </w:rPr>
              <w:t>项目重点防渗区主要为危废暂存间。</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防渗技术要求：危废暂存间地面及墙裙采用“防渗混凝土+环氧树脂地坪漆”进行防渗。</w:t>
            </w:r>
            <w:r>
              <w:t>要求</w:t>
            </w:r>
            <w:r>
              <w:rPr>
                <w:rFonts w:hint="eastAsia"/>
              </w:rPr>
              <w:t>重点污染防治区</w:t>
            </w:r>
            <w:r>
              <w:t>防渗层的</w:t>
            </w:r>
            <w:r>
              <w:rPr>
                <w:rFonts w:hint="eastAsia"/>
              </w:rPr>
              <w:t>防渗性能不能低于6m厚渗透系数为</w:t>
            </w:r>
            <w:r>
              <w:t>1.0×10</w:t>
            </w:r>
            <w:r>
              <w:rPr>
                <w:vertAlign w:val="superscript"/>
              </w:rPr>
              <w:t>-</w:t>
            </w:r>
            <w:r>
              <w:rPr>
                <w:rFonts w:hint="eastAsia"/>
                <w:vertAlign w:val="superscript"/>
              </w:rPr>
              <w:t>7</w:t>
            </w:r>
            <w:r>
              <w:t>cm/s</w:t>
            </w:r>
            <w:r>
              <w:rPr>
                <w:rFonts w:hint="eastAsia"/>
              </w:rPr>
              <w:t>的黏土层的防渗性能</w:t>
            </w:r>
            <w: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②一般防渗区</w:t>
            </w:r>
          </w:p>
          <w:p>
            <w:pPr>
              <w:autoSpaceDE w:val="0"/>
              <w:autoSpaceDN w:val="0"/>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项目一般防渗区主要为隔油池、沉淀池、磁选渣暂存池、回用水池、生产区等。</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防渗技术要求：隔油池、沉淀池、磁选渣暂存池等设施在地上建设，池体和池底采用防渗混凝土建设，生产区地面采取防渗混凝土防渗。</w:t>
            </w:r>
            <w:r>
              <w:t>要求一般污染防治区</w:t>
            </w:r>
            <w:r>
              <w:rPr>
                <w:rFonts w:hint="eastAsia"/>
              </w:rPr>
              <w:t>各种</w:t>
            </w:r>
            <w:r>
              <w:t>防渗层的</w:t>
            </w:r>
            <w:r>
              <w:rPr>
                <w:rFonts w:hint="eastAsia"/>
              </w:rPr>
              <w:t>防渗性能不能低于1.5m厚渗透系数为</w:t>
            </w:r>
            <w:r>
              <w:t>1.0×10</w:t>
            </w:r>
            <w:r>
              <w:rPr>
                <w:vertAlign w:val="superscript"/>
              </w:rPr>
              <w:t>-</w:t>
            </w:r>
            <w:r>
              <w:rPr>
                <w:rFonts w:hint="eastAsia"/>
                <w:vertAlign w:val="superscript"/>
              </w:rPr>
              <w:t>7</w:t>
            </w:r>
            <w:r>
              <w:t>cm/s</w:t>
            </w:r>
            <w:r>
              <w:rPr>
                <w:rFonts w:hint="eastAsia"/>
              </w:rPr>
              <w:t>的黏土层的防渗性能</w:t>
            </w:r>
            <w:r>
              <w:t>。</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③简单防渗区</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项目简单防渗区主要为运输路面等其他区域。</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防渗技术要求：采用一般地面硬化的方式进行防渗。</w:t>
            </w:r>
          </w:p>
          <w:p>
            <w:pPr>
              <w:spacing w:line="420" w:lineRule="atLeast"/>
              <w:ind w:firstLine="480" w:firstLineChars="200"/>
              <w:rPr>
                <w:rFonts w:ascii="Times New Roman" w:hAnsi="Times New Roman" w:cs="宋体"/>
                <w:shd w:val="clear" w:color="auto" w:fill="FFFFFF"/>
                <w:lang w:bidi="ar"/>
              </w:rPr>
            </w:pPr>
            <w:r>
              <w:rPr>
                <w:rFonts w:hint="eastAsia" w:ascii="Times New Roman" w:hAnsi="Times New Roman" w:cs="宋体"/>
                <w:shd w:val="clear" w:color="auto" w:fill="FFFFFF"/>
                <w:lang w:bidi="ar"/>
              </w:rPr>
              <w:t>地下水分区防渗图见附图1</w:t>
            </w:r>
            <w:r>
              <w:rPr>
                <w:rFonts w:hint="eastAsia" w:ascii="Times New Roman" w:hAnsi="Times New Roman" w:cs="宋体"/>
                <w:shd w:val="clear" w:color="auto" w:fill="FFFFFF"/>
                <w:lang w:val="en-US" w:eastAsia="zh-CN" w:bidi="ar"/>
              </w:rPr>
              <w:t>1</w:t>
            </w:r>
            <w:r>
              <w:rPr>
                <w:rFonts w:hint="eastAsia" w:ascii="Times New Roman" w:hAnsi="Times New Roman" w:cs="宋体"/>
                <w:shd w:val="clear" w:color="auto" w:fill="FFFFFF"/>
                <w:lang w:bidi="ar"/>
              </w:rPr>
              <w:t>。</w:t>
            </w:r>
          </w:p>
          <w:p>
            <w:pPr>
              <w:pStyle w:val="8"/>
              <w:numPr>
                <w:ilvl w:val="0"/>
                <w:numId w:val="0"/>
              </w:numPr>
              <w:spacing w:line="440" w:lineRule="exact"/>
              <w:rPr>
                <w:rFonts w:ascii="Times New Roman" w:hAnsi="Times New Roman"/>
                <w:szCs w:val="24"/>
              </w:rPr>
            </w:pPr>
            <w:r>
              <w:rPr>
                <w:rFonts w:ascii="Times New Roman" w:hAnsi="Times New Roman"/>
                <w:szCs w:val="24"/>
              </w:rPr>
              <w:t>4.2.</w:t>
            </w:r>
            <w:r>
              <w:rPr>
                <w:rFonts w:hint="eastAsia" w:ascii="Times New Roman" w:hAnsi="Times New Roman"/>
                <w:szCs w:val="24"/>
              </w:rPr>
              <w:t>7</w:t>
            </w:r>
            <w:r>
              <w:rPr>
                <w:rFonts w:ascii="Times New Roman" w:hAnsi="Times New Roman"/>
                <w:szCs w:val="24"/>
              </w:rPr>
              <w:t>生态</w:t>
            </w:r>
          </w:p>
          <w:p>
            <w:pPr>
              <w:pStyle w:val="3"/>
              <w:spacing w:line="460" w:lineRule="exact"/>
              <w:ind w:right="-120" w:firstLine="480" w:firstLineChars="200"/>
              <w:rPr>
                <w:rFonts w:ascii="Times New Roman" w:hAnsi="Times New Roman"/>
                <w:kern w:val="2"/>
                <w:szCs w:val="24"/>
              </w:rPr>
            </w:pPr>
            <w:r>
              <w:rPr>
                <w:rFonts w:ascii="Times New Roman" w:hAnsi="Times New Roman"/>
                <w:kern w:val="2"/>
                <w:szCs w:val="24"/>
              </w:rPr>
              <w:t>本项目租用大田县</w:t>
            </w:r>
            <w:r>
              <w:rPr>
                <w:rFonts w:hint="eastAsia" w:ascii="Times New Roman" w:hAnsi="Times New Roman"/>
                <w:kern w:val="2"/>
                <w:szCs w:val="24"/>
              </w:rPr>
              <w:t>武陵乡大石村249号岩盛公司部分闲置厂房，无新增开发用地</w:t>
            </w:r>
            <w:r>
              <w:rPr>
                <w:rFonts w:ascii="Times New Roman" w:hAnsi="Times New Roman"/>
                <w:kern w:val="2"/>
                <w:szCs w:val="24"/>
              </w:rPr>
              <w:t>，经现场调查，用地周边主要为山地</w:t>
            </w:r>
            <w:r>
              <w:rPr>
                <w:rFonts w:hint="eastAsia" w:ascii="Times New Roman" w:hAnsi="Times New Roman"/>
                <w:kern w:val="2"/>
                <w:szCs w:val="24"/>
              </w:rPr>
              <w:t>及铸造厂</w:t>
            </w:r>
            <w:r>
              <w:rPr>
                <w:rFonts w:ascii="Times New Roman" w:hAnsi="Times New Roman"/>
                <w:kern w:val="2"/>
                <w:szCs w:val="24"/>
              </w:rPr>
              <w:t>，无珍稀濒危物种、自然保护区、风景名胜区等生态敏感目标，不属于生态敏感区</w:t>
            </w:r>
            <w:r>
              <w:rPr>
                <w:rFonts w:hint="eastAsia" w:ascii="Times New Roman" w:hAnsi="Times New Roman"/>
                <w:kern w:val="2"/>
                <w:szCs w:val="24"/>
              </w:rPr>
              <w:t>。</w:t>
            </w:r>
            <w:r>
              <w:rPr>
                <w:rFonts w:ascii="Times New Roman" w:hAnsi="Times New Roman"/>
                <w:kern w:val="2"/>
                <w:szCs w:val="24"/>
              </w:rPr>
              <w:t>项目建设对周边生态环境影响很小。</w:t>
            </w:r>
          </w:p>
          <w:p>
            <w:pPr>
              <w:pStyle w:val="8"/>
              <w:numPr>
                <w:ilvl w:val="0"/>
                <w:numId w:val="0"/>
              </w:numPr>
              <w:spacing w:line="240" w:lineRule="auto"/>
              <w:rPr>
                <w:rFonts w:ascii="Times New Roman" w:hAnsi="Times New Roman"/>
                <w:szCs w:val="24"/>
              </w:rPr>
            </w:pPr>
            <w:r>
              <w:rPr>
                <w:rFonts w:ascii="Times New Roman" w:hAnsi="Times New Roman"/>
                <w:szCs w:val="24"/>
              </w:rPr>
              <w:t>4.2.</w:t>
            </w:r>
            <w:r>
              <w:rPr>
                <w:rFonts w:hint="eastAsia" w:ascii="Times New Roman" w:hAnsi="Times New Roman"/>
                <w:szCs w:val="24"/>
              </w:rPr>
              <w:t>8</w:t>
            </w:r>
            <w:r>
              <w:rPr>
                <w:rFonts w:ascii="Times New Roman" w:hAnsi="Times New Roman"/>
                <w:szCs w:val="24"/>
              </w:rPr>
              <w:t>环境风险</w:t>
            </w:r>
          </w:p>
          <w:p>
            <w:pPr>
              <w:pStyle w:val="3"/>
              <w:spacing w:line="460" w:lineRule="exact"/>
              <w:ind w:right="-120" w:firstLine="480" w:firstLineChars="200"/>
              <w:rPr>
                <w:rFonts w:ascii="Times New Roman" w:hAnsi="Times New Roman"/>
                <w:kern w:val="2"/>
                <w:szCs w:val="24"/>
              </w:rPr>
            </w:pPr>
            <w:r>
              <w:rPr>
                <w:rFonts w:ascii="Times New Roman" w:hAnsi="Times New Roman"/>
                <w:kern w:val="2"/>
                <w:szCs w:val="24"/>
              </w:rPr>
              <w:t>根据环境风险识别与分析，项目</w:t>
            </w:r>
            <w:r>
              <w:rPr>
                <w:rFonts w:hint="eastAsia" w:ascii="Times New Roman" w:hAnsi="Times New Roman"/>
                <w:kern w:val="2"/>
                <w:szCs w:val="24"/>
              </w:rPr>
              <w:t>涉及的环境风险物质为废机油、浮油，储存于危废暂存间内，最大暂存量为0.23t，经计算，Q值为9.2×</w:t>
            </w:r>
            <w:r>
              <w:rPr>
                <w:rFonts w:ascii="Times New Roman" w:hAnsi="Times New Roman"/>
                <w:kern w:val="2"/>
                <w:szCs w:val="24"/>
              </w:rPr>
              <w:t>10</w:t>
            </w:r>
            <w:r>
              <w:rPr>
                <w:rFonts w:ascii="Times New Roman" w:hAnsi="Times New Roman"/>
                <w:kern w:val="2"/>
                <w:szCs w:val="24"/>
                <w:vertAlign w:val="superscript"/>
              </w:rPr>
              <w:t>-</w:t>
            </w:r>
            <w:r>
              <w:rPr>
                <w:rFonts w:hint="eastAsia" w:ascii="Times New Roman" w:hAnsi="Times New Roman"/>
                <w:kern w:val="2"/>
                <w:szCs w:val="24"/>
                <w:vertAlign w:val="superscript"/>
              </w:rPr>
              <w:t>5</w:t>
            </w:r>
            <w:r>
              <w:rPr>
                <w:rFonts w:hint="eastAsia" w:ascii="Times New Roman" w:hAnsi="Times New Roman"/>
                <w:kern w:val="2"/>
                <w:szCs w:val="24"/>
              </w:rPr>
              <w:t>＜1，</w:t>
            </w:r>
            <w:r>
              <w:rPr>
                <w:rFonts w:ascii="Times New Roman" w:hAnsi="Times New Roman"/>
                <w:kern w:val="2"/>
                <w:szCs w:val="24"/>
              </w:rPr>
              <w:t>运营过程的主要环境风险事故为废机油泄漏事故，通过采取以下环境风险防范措施，项目环境风险可控，环境风险防范措施有效</w:t>
            </w:r>
            <w:r>
              <w:rPr>
                <w:rFonts w:hint="eastAsia" w:ascii="Times New Roman" w:hAnsi="Times New Roman"/>
                <w:kern w:val="2"/>
                <w:szCs w:val="24"/>
              </w:rPr>
              <w:t>。Q值计算见表4.2-5，环境风险简单分析内容表见4.2-6。</w:t>
            </w:r>
          </w:p>
          <w:p>
            <w:pPr>
              <w:widowControl/>
              <w:ind w:firstLine="422"/>
              <w:jc w:val="center"/>
              <w:rPr>
                <w:rFonts w:eastAsia="黑体"/>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10</w:t>
            </w:r>
            <w:r>
              <w:rPr>
                <w:rFonts w:ascii="Times New Roman" w:hAnsi="Times New Roman" w:eastAsia="黑体"/>
                <w:b/>
                <w:bCs/>
                <w:kern w:val="0"/>
                <w:sz w:val="21"/>
                <w:szCs w:val="21"/>
              </w:rPr>
              <w:t xml:space="preserve"> </w:t>
            </w:r>
            <w:r>
              <w:rPr>
                <w:rFonts w:hint="eastAsia" w:ascii="Times New Roman" w:hAnsi="Times New Roman" w:eastAsia="黑体"/>
                <w:b/>
                <w:bCs/>
                <w:kern w:val="0"/>
                <w:sz w:val="21"/>
                <w:szCs w:val="21"/>
              </w:rPr>
              <w:t>环境风险物质及临界量</w:t>
            </w:r>
          </w:p>
          <w:tbl>
            <w:tblPr>
              <w:tblStyle w:val="25"/>
              <w:tblW w:w="873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401"/>
              <w:gridCol w:w="2349"/>
              <w:gridCol w:w="2080"/>
              <w:gridCol w:w="18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51" w:type="dxa"/>
                  <w:vAlign w:val="center"/>
                </w:tcPr>
                <w:p>
                  <w:pPr>
                    <w:jc w:val="center"/>
                    <w:rPr>
                      <w:rFonts w:ascii="Times New Roman" w:hAnsi="Times New Roman"/>
                      <w:sz w:val="21"/>
                      <w:szCs w:val="21"/>
                    </w:rPr>
                  </w:pPr>
                  <w:r>
                    <w:rPr>
                      <w:rFonts w:ascii="Times New Roman" w:hAnsi="Times New Roman"/>
                      <w:sz w:val="21"/>
                      <w:szCs w:val="21"/>
                    </w:rPr>
                    <w:t>序号</w:t>
                  </w:r>
                </w:p>
              </w:tc>
              <w:tc>
                <w:tcPr>
                  <w:tcW w:w="1401" w:type="dxa"/>
                  <w:vAlign w:val="center"/>
                </w:tcPr>
                <w:p>
                  <w:pPr>
                    <w:jc w:val="center"/>
                    <w:rPr>
                      <w:rFonts w:ascii="Times New Roman" w:hAnsi="Times New Roman"/>
                      <w:sz w:val="21"/>
                      <w:szCs w:val="21"/>
                    </w:rPr>
                  </w:pPr>
                  <w:r>
                    <w:rPr>
                      <w:rFonts w:ascii="Times New Roman" w:hAnsi="Times New Roman"/>
                      <w:sz w:val="21"/>
                      <w:szCs w:val="21"/>
                    </w:rPr>
                    <w:t>名称</w:t>
                  </w:r>
                </w:p>
              </w:tc>
              <w:tc>
                <w:tcPr>
                  <w:tcW w:w="2349" w:type="dxa"/>
                  <w:vAlign w:val="center"/>
                </w:tcPr>
                <w:p>
                  <w:pPr>
                    <w:jc w:val="center"/>
                    <w:rPr>
                      <w:rFonts w:ascii="Times New Roman" w:hAnsi="Times New Roman"/>
                      <w:sz w:val="21"/>
                      <w:szCs w:val="21"/>
                    </w:rPr>
                  </w:pPr>
                  <w:r>
                    <w:rPr>
                      <w:rFonts w:ascii="Times New Roman" w:hAnsi="Times New Roman"/>
                      <w:sz w:val="21"/>
                      <w:szCs w:val="21"/>
                    </w:rPr>
                    <w:t>最大存储(qi)t</w:t>
                  </w:r>
                </w:p>
              </w:tc>
              <w:tc>
                <w:tcPr>
                  <w:tcW w:w="2080" w:type="dxa"/>
                  <w:vAlign w:val="center"/>
                </w:tcPr>
                <w:p>
                  <w:pPr>
                    <w:jc w:val="center"/>
                    <w:rPr>
                      <w:rFonts w:ascii="Times New Roman" w:hAnsi="Times New Roman"/>
                      <w:sz w:val="21"/>
                      <w:szCs w:val="21"/>
                    </w:rPr>
                  </w:pPr>
                  <w:r>
                    <w:rPr>
                      <w:rFonts w:ascii="Times New Roman" w:hAnsi="Times New Roman"/>
                      <w:sz w:val="21"/>
                      <w:szCs w:val="21"/>
                    </w:rPr>
                    <w:t>临界量(Qi)t</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Q=</w:t>
                  </w:r>
                  <w:r>
                    <w:rPr>
                      <w:rFonts w:ascii="Times New Roman" w:hAnsi="Times New Roman"/>
                      <w:sz w:val="21"/>
                      <w:szCs w:val="21"/>
                    </w:rPr>
                    <w:t>qi</w:t>
                  </w:r>
                  <w:r>
                    <w:rPr>
                      <w:rFonts w:hint="eastAsia" w:ascii="Times New Roman" w:hAnsi="Times New Roman"/>
                      <w:sz w:val="21"/>
                      <w:szCs w:val="21"/>
                    </w:rPr>
                    <w:t>/Qi</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1" w:type="dxa"/>
                  <w:vAlign w:val="center"/>
                </w:tcPr>
                <w:p>
                  <w:pPr>
                    <w:jc w:val="center"/>
                    <w:rPr>
                      <w:rFonts w:ascii="Times New Roman" w:hAnsi="Times New Roman"/>
                      <w:sz w:val="21"/>
                      <w:szCs w:val="21"/>
                    </w:rPr>
                  </w:pPr>
                  <w:r>
                    <w:rPr>
                      <w:rFonts w:ascii="Times New Roman" w:hAnsi="Times New Roman"/>
                      <w:sz w:val="21"/>
                      <w:szCs w:val="21"/>
                    </w:rPr>
                    <w:t>1</w:t>
                  </w:r>
                </w:p>
              </w:tc>
              <w:tc>
                <w:tcPr>
                  <w:tcW w:w="1401" w:type="dxa"/>
                  <w:vAlign w:val="center"/>
                </w:tcPr>
                <w:p>
                  <w:pPr>
                    <w:jc w:val="center"/>
                    <w:rPr>
                      <w:rFonts w:ascii="Times New Roman" w:hAnsi="Times New Roman"/>
                      <w:sz w:val="21"/>
                      <w:szCs w:val="21"/>
                    </w:rPr>
                  </w:pPr>
                  <w:r>
                    <w:rPr>
                      <w:rFonts w:hint="eastAsia" w:ascii="Times New Roman" w:hAnsi="Times New Roman"/>
                      <w:sz w:val="21"/>
                      <w:szCs w:val="21"/>
                    </w:rPr>
                    <w:t>废机油</w:t>
                  </w:r>
                </w:p>
              </w:tc>
              <w:tc>
                <w:tcPr>
                  <w:tcW w:w="2349" w:type="dxa"/>
                  <w:vAlign w:val="center"/>
                </w:tcPr>
                <w:p>
                  <w:pPr>
                    <w:jc w:val="center"/>
                    <w:rPr>
                      <w:rFonts w:ascii="Times New Roman" w:hAnsi="Times New Roman"/>
                      <w:sz w:val="21"/>
                      <w:szCs w:val="21"/>
                    </w:rPr>
                  </w:pPr>
                  <w:r>
                    <w:rPr>
                      <w:rFonts w:ascii="Times New Roman" w:hAnsi="Times New Roman"/>
                      <w:sz w:val="21"/>
                      <w:szCs w:val="21"/>
                    </w:rPr>
                    <w:t>0.</w:t>
                  </w:r>
                  <w:r>
                    <w:rPr>
                      <w:rFonts w:hint="eastAsia" w:ascii="Times New Roman" w:hAnsi="Times New Roman"/>
                      <w:sz w:val="21"/>
                      <w:szCs w:val="21"/>
                    </w:rPr>
                    <w:t>1</w:t>
                  </w:r>
                </w:p>
              </w:tc>
              <w:tc>
                <w:tcPr>
                  <w:tcW w:w="2080" w:type="dxa"/>
                  <w:vAlign w:val="center"/>
                </w:tcPr>
                <w:p>
                  <w:pPr>
                    <w:jc w:val="center"/>
                    <w:rPr>
                      <w:rFonts w:ascii="Times New Roman" w:hAnsi="Times New Roman"/>
                      <w:sz w:val="21"/>
                      <w:szCs w:val="21"/>
                    </w:rPr>
                  </w:pPr>
                  <w:r>
                    <w:rPr>
                      <w:rFonts w:ascii="Times New Roman" w:hAnsi="Times New Roman"/>
                      <w:sz w:val="21"/>
                      <w:szCs w:val="21"/>
                    </w:rPr>
                    <w:t>2500</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4×</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51" w:type="dxa"/>
                  <w:vAlign w:val="center"/>
                </w:tcPr>
                <w:p>
                  <w:pPr>
                    <w:jc w:val="center"/>
                    <w:rPr>
                      <w:rFonts w:ascii="Times New Roman" w:hAnsi="Times New Roman"/>
                      <w:sz w:val="21"/>
                      <w:szCs w:val="21"/>
                    </w:rPr>
                  </w:pPr>
                  <w:r>
                    <w:rPr>
                      <w:rFonts w:hint="eastAsia" w:ascii="Times New Roman" w:hAnsi="Times New Roman"/>
                      <w:sz w:val="21"/>
                      <w:szCs w:val="21"/>
                    </w:rPr>
                    <w:t>2</w:t>
                  </w:r>
                </w:p>
              </w:tc>
              <w:tc>
                <w:tcPr>
                  <w:tcW w:w="1401" w:type="dxa"/>
                  <w:vAlign w:val="center"/>
                </w:tcPr>
                <w:p>
                  <w:pPr>
                    <w:jc w:val="center"/>
                    <w:rPr>
                      <w:rFonts w:ascii="Times New Roman" w:hAnsi="Times New Roman"/>
                      <w:sz w:val="21"/>
                      <w:szCs w:val="21"/>
                    </w:rPr>
                  </w:pPr>
                  <w:r>
                    <w:rPr>
                      <w:rFonts w:hint="eastAsia" w:ascii="Times New Roman" w:hAnsi="Times New Roman"/>
                      <w:sz w:val="21"/>
                      <w:szCs w:val="21"/>
                    </w:rPr>
                    <w:t>浮油</w:t>
                  </w:r>
                </w:p>
              </w:tc>
              <w:tc>
                <w:tcPr>
                  <w:tcW w:w="2349" w:type="dxa"/>
                  <w:vAlign w:val="center"/>
                </w:tcPr>
                <w:p>
                  <w:pPr>
                    <w:jc w:val="center"/>
                    <w:rPr>
                      <w:rFonts w:ascii="Times New Roman" w:hAnsi="Times New Roman"/>
                      <w:sz w:val="21"/>
                      <w:szCs w:val="21"/>
                    </w:rPr>
                  </w:pPr>
                  <w:r>
                    <w:rPr>
                      <w:rFonts w:hint="eastAsia" w:ascii="Times New Roman" w:hAnsi="Times New Roman"/>
                      <w:sz w:val="21"/>
                      <w:szCs w:val="21"/>
                    </w:rPr>
                    <w:t>0.13</w:t>
                  </w:r>
                </w:p>
              </w:tc>
              <w:tc>
                <w:tcPr>
                  <w:tcW w:w="2080" w:type="dxa"/>
                  <w:vAlign w:val="center"/>
                </w:tcPr>
                <w:p>
                  <w:pPr>
                    <w:jc w:val="center"/>
                    <w:rPr>
                      <w:rFonts w:ascii="Times New Roman" w:hAnsi="Times New Roman"/>
                      <w:sz w:val="21"/>
                      <w:szCs w:val="21"/>
                    </w:rPr>
                  </w:pPr>
                  <w:r>
                    <w:rPr>
                      <w:rFonts w:hint="eastAsia" w:ascii="Times New Roman" w:hAnsi="Times New Roman"/>
                      <w:sz w:val="21"/>
                      <w:szCs w:val="21"/>
                    </w:rPr>
                    <w:t>2500</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5.2×</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81" w:type="dxa"/>
                  <w:gridSpan w:val="4"/>
                  <w:vAlign w:val="center"/>
                </w:tcPr>
                <w:p>
                  <w:pPr>
                    <w:jc w:val="center"/>
                    <w:rPr>
                      <w:rFonts w:ascii="Times New Roman" w:hAnsi="Times New Roman"/>
                      <w:sz w:val="21"/>
                      <w:szCs w:val="21"/>
                    </w:rPr>
                  </w:pPr>
                  <w:r>
                    <w:rPr>
                      <w:rFonts w:ascii="Times New Roman" w:hAnsi="Times New Roman"/>
                      <w:sz w:val="21"/>
                      <w:szCs w:val="21"/>
                    </w:rPr>
                    <w:t>合计</w:t>
                  </w:r>
                </w:p>
              </w:tc>
              <w:tc>
                <w:tcPr>
                  <w:tcW w:w="1850" w:type="dxa"/>
                  <w:vAlign w:val="center"/>
                </w:tcPr>
                <w:p>
                  <w:pPr>
                    <w:jc w:val="center"/>
                    <w:rPr>
                      <w:rFonts w:ascii="Times New Roman" w:hAnsi="Times New Roman"/>
                      <w:sz w:val="21"/>
                      <w:szCs w:val="21"/>
                    </w:rPr>
                  </w:pPr>
                  <w:r>
                    <w:rPr>
                      <w:rFonts w:hint="eastAsia" w:ascii="Times New Roman" w:hAnsi="Times New Roman"/>
                      <w:sz w:val="21"/>
                      <w:szCs w:val="21"/>
                    </w:rPr>
                    <w:t>9.2×</w:t>
                  </w:r>
                  <w:r>
                    <w:rPr>
                      <w:rFonts w:ascii="Times New Roman" w:hAnsi="Times New Roman"/>
                      <w:sz w:val="21"/>
                      <w:szCs w:val="21"/>
                    </w:rPr>
                    <w:t>10</w:t>
                  </w:r>
                  <w:r>
                    <w:rPr>
                      <w:rFonts w:ascii="Times New Roman" w:hAnsi="Times New Roman"/>
                      <w:sz w:val="21"/>
                      <w:szCs w:val="21"/>
                      <w:vertAlign w:val="superscript"/>
                    </w:rPr>
                    <w:t>-</w:t>
                  </w:r>
                  <w:r>
                    <w:rPr>
                      <w:rFonts w:hint="eastAsia" w:ascii="Times New Roman" w:hAnsi="Times New Roman"/>
                      <w:sz w:val="21"/>
                      <w:szCs w:val="21"/>
                      <w:vertAlign w:val="superscript"/>
                    </w:rPr>
                    <w:t>5</w:t>
                  </w:r>
                </w:p>
              </w:tc>
            </w:tr>
          </w:tbl>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p>
          <w:p>
            <w:pPr>
              <w:widowControl/>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表4.2-</w:t>
            </w:r>
            <w:r>
              <w:rPr>
                <w:rFonts w:hint="eastAsia" w:ascii="Times New Roman" w:hAnsi="Times New Roman" w:eastAsia="黑体"/>
                <w:b/>
                <w:bCs/>
                <w:kern w:val="0"/>
                <w:sz w:val="21"/>
                <w:szCs w:val="21"/>
              </w:rPr>
              <w:t>11</w:t>
            </w:r>
            <w:r>
              <w:rPr>
                <w:rFonts w:ascii="Times New Roman" w:hAnsi="Times New Roman" w:eastAsia="黑体"/>
                <w:b/>
                <w:bCs/>
                <w:kern w:val="0"/>
                <w:sz w:val="21"/>
                <w:szCs w:val="21"/>
              </w:rPr>
              <w:t xml:space="preserve"> 环境风险简单分析内容表</w:t>
            </w:r>
          </w:p>
          <w:tbl>
            <w:tblPr>
              <w:tblStyle w:val="25"/>
              <w:tblW w:w="873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22"/>
              <w:gridCol w:w="791"/>
              <w:gridCol w:w="2259"/>
              <w:gridCol w:w="859"/>
              <w:gridCol w:w="220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建设项目名称</w:t>
                  </w:r>
                </w:p>
              </w:tc>
              <w:tc>
                <w:tcPr>
                  <w:tcW w:w="6112" w:type="dxa"/>
                  <w:gridSpan w:val="4"/>
                  <w:vAlign w:val="center"/>
                </w:tcPr>
                <w:p>
                  <w:pPr>
                    <w:jc w:val="center"/>
                    <w:rPr>
                      <w:rFonts w:ascii="Times New Roman" w:hAnsi="Times New Roman"/>
                      <w:sz w:val="21"/>
                      <w:szCs w:val="21"/>
                    </w:rPr>
                  </w:pPr>
                  <w:r>
                    <w:rPr>
                      <w:rFonts w:hint="eastAsia" w:ascii="Times New Roman" w:hAnsi="Times New Roman"/>
                      <w:sz w:val="21"/>
                      <w:szCs w:val="21"/>
                    </w:rPr>
                    <w:t>大田卓阳达再生资源综合利用建设项目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建设地点</w:t>
                  </w:r>
                </w:p>
              </w:tc>
              <w:tc>
                <w:tcPr>
                  <w:tcW w:w="6112" w:type="dxa"/>
                  <w:gridSpan w:val="4"/>
                  <w:vAlign w:val="center"/>
                </w:tcPr>
                <w:p>
                  <w:pPr>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REF 建设地点 \h  \* MERGEFORMAT </w:instrText>
                  </w:r>
                  <w:r>
                    <w:rPr>
                      <w:rFonts w:ascii="Times New Roman" w:hAnsi="Times New Roman"/>
                      <w:sz w:val="21"/>
                      <w:szCs w:val="21"/>
                    </w:rPr>
                    <w:fldChar w:fldCharType="separate"/>
                  </w:r>
                  <w:r>
                    <w:rPr>
                      <w:rFonts w:ascii="Times New Roman" w:hAnsi="Times New Roman"/>
                      <w:sz w:val="21"/>
                      <w:szCs w:val="21"/>
                    </w:rPr>
                    <w:t>大田县</w:t>
                  </w:r>
                  <w:r>
                    <w:rPr>
                      <w:rFonts w:hint="eastAsia" w:ascii="Times New Roman" w:hAnsi="Times New Roman"/>
                      <w:sz w:val="21"/>
                      <w:szCs w:val="21"/>
                    </w:rPr>
                    <w:t>武陵乡</w:t>
                  </w:r>
                  <w:r>
                    <w:rPr>
                      <w:rFonts w:ascii="Times New Roman" w:hAnsi="Times New Roman"/>
                      <w:sz w:val="21"/>
                      <w:szCs w:val="21"/>
                    </w:rPr>
                    <w:fldChar w:fldCharType="end"/>
                  </w:r>
                  <w:r>
                    <w:rPr>
                      <w:rFonts w:hint="eastAsia" w:ascii="Times New Roman" w:hAnsi="Times New Roman"/>
                      <w:sz w:val="21"/>
                      <w:szCs w:val="21"/>
                    </w:rPr>
                    <w:t>大石村</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地理坐标</w:t>
                  </w:r>
                </w:p>
              </w:tc>
              <w:tc>
                <w:tcPr>
                  <w:tcW w:w="791" w:type="dxa"/>
                  <w:vAlign w:val="center"/>
                </w:tcPr>
                <w:p>
                  <w:pPr>
                    <w:rPr>
                      <w:rFonts w:ascii="Times New Roman" w:hAnsi="Times New Roman"/>
                      <w:sz w:val="21"/>
                      <w:szCs w:val="21"/>
                    </w:rPr>
                  </w:pPr>
                  <w:r>
                    <w:rPr>
                      <w:rFonts w:ascii="Times New Roman" w:hAnsi="Times New Roman"/>
                      <w:sz w:val="21"/>
                      <w:szCs w:val="21"/>
                    </w:rPr>
                    <w:t>经度</w:t>
                  </w:r>
                </w:p>
              </w:tc>
              <w:tc>
                <w:tcPr>
                  <w:tcW w:w="2259" w:type="dxa"/>
                  <w:vAlign w:val="center"/>
                </w:tcPr>
                <w:p>
                  <w:pPr>
                    <w:rPr>
                      <w:rFonts w:ascii="Times New Roman" w:hAnsi="Times New Roman"/>
                      <w:sz w:val="21"/>
                      <w:szCs w:val="21"/>
                    </w:rPr>
                  </w:pPr>
                  <w:r>
                    <w:rPr>
                      <w:rFonts w:ascii="Times New Roman" w:hAnsi="Times New Roman"/>
                      <w:sz w:val="21"/>
                      <w:szCs w:val="21"/>
                    </w:rPr>
                    <w:t>117度</w:t>
                  </w:r>
                  <w:r>
                    <w:rPr>
                      <w:rFonts w:hint="eastAsia" w:ascii="Times New Roman" w:hAnsi="Times New Roman"/>
                      <w:sz w:val="21"/>
                      <w:szCs w:val="21"/>
                    </w:rPr>
                    <w:t>47</w:t>
                  </w:r>
                  <w:r>
                    <w:rPr>
                      <w:rFonts w:ascii="Times New Roman" w:hAnsi="Times New Roman"/>
                      <w:sz w:val="21"/>
                      <w:szCs w:val="21"/>
                    </w:rPr>
                    <w:t>分</w:t>
                  </w:r>
                  <w:r>
                    <w:rPr>
                      <w:rFonts w:hint="eastAsia" w:ascii="Times New Roman" w:hAnsi="Times New Roman"/>
                      <w:sz w:val="21"/>
                      <w:szCs w:val="21"/>
                    </w:rPr>
                    <w:t>26.714</w:t>
                  </w:r>
                  <w:r>
                    <w:rPr>
                      <w:rFonts w:ascii="Times New Roman" w:hAnsi="Times New Roman"/>
                      <w:sz w:val="21"/>
                      <w:szCs w:val="21"/>
                    </w:rPr>
                    <w:t>秒</w:t>
                  </w:r>
                </w:p>
              </w:tc>
              <w:tc>
                <w:tcPr>
                  <w:tcW w:w="859" w:type="dxa"/>
                  <w:vAlign w:val="center"/>
                </w:tcPr>
                <w:p>
                  <w:pPr>
                    <w:rPr>
                      <w:rFonts w:ascii="Times New Roman" w:hAnsi="Times New Roman"/>
                      <w:sz w:val="21"/>
                      <w:szCs w:val="21"/>
                    </w:rPr>
                  </w:pPr>
                  <w:r>
                    <w:rPr>
                      <w:rFonts w:ascii="Times New Roman" w:hAnsi="Times New Roman"/>
                      <w:sz w:val="21"/>
                      <w:szCs w:val="21"/>
                    </w:rPr>
                    <w:t>纬度</w:t>
                  </w:r>
                </w:p>
              </w:tc>
              <w:tc>
                <w:tcPr>
                  <w:tcW w:w="2203" w:type="dxa"/>
                  <w:vAlign w:val="center"/>
                </w:tcPr>
                <w:p>
                  <w:pPr>
                    <w:rPr>
                      <w:rFonts w:ascii="Times New Roman" w:hAnsi="Times New Roman"/>
                      <w:sz w:val="21"/>
                      <w:szCs w:val="21"/>
                    </w:rPr>
                  </w:pPr>
                  <w:r>
                    <w:rPr>
                      <w:rFonts w:ascii="Times New Roman" w:hAnsi="Times New Roman"/>
                      <w:sz w:val="21"/>
                      <w:szCs w:val="21"/>
                    </w:rPr>
                    <w:t>25度</w:t>
                  </w:r>
                  <w:r>
                    <w:rPr>
                      <w:rFonts w:hint="eastAsia" w:ascii="Times New Roman" w:hAnsi="Times New Roman"/>
                      <w:sz w:val="21"/>
                      <w:szCs w:val="21"/>
                    </w:rPr>
                    <w:t>37</w:t>
                  </w:r>
                  <w:r>
                    <w:rPr>
                      <w:rFonts w:ascii="Times New Roman" w:hAnsi="Times New Roman"/>
                      <w:sz w:val="21"/>
                      <w:szCs w:val="21"/>
                    </w:rPr>
                    <w:t>分</w:t>
                  </w:r>
                  <w:r>
                    <w:rPr>
                      <w:rFonts w:hint="eastAsia" w:ascii="Times New Roman" w:hAnsi="Times New Roman"/>
                      <w:sz w:val="21"/>
                      <w:szCs w:val="21"/>
                    </w:rPr>
                    <w:t>57.146</w:t>
                  </w:r>
                  <w:r>
                    <w:rPr>
                      <w:rFonts w:ascii="Times New Roman" w:hAnsi="Times New Roman"/>
                      <w:sz w:val="21"/>
                      <w:szCs w:val="21"/>
                    </w:rPr>
                    <w:t>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主要危险物质及分布</w:t>
                  </w:r>
                </w:p>
              </w:tc>
              <w:tc>
                <w:tcPr>
                  <w:tcW w:w="6112" w:type="dxa"/>
                  <w:gridSpan w:val="4"/>
                  <w:vAlign w:val="center"/>
                </w:tcPr>
                <w:p>
                  <w:pPr>
                    <w:jc w:val="center"/>
                    <w:rPr>
                      <w:rFonts w:ascii="Times New Roman" w:hAnsi="Times New Roman"/>
                      <w:sz w:val="21"/>
                      <w:szCs w:val="21"/>
                    </w:rPr>
                  </w:pPr>
                  <w:r>
                    <w:rPr>
                      <w:rFonts w:ascii="Times New Roman" w:hAnsi="Times New Roman"/>
                      <w:sz w:val="21"/>
                      <w:szCs w:val="21"/>
                    </w:rPr>
                    <w:t>项目涉及的风险物质为废机油</w:t>
                  </w:r>
                  <w:r>
                    <w:rPr>
                      <w:rFonts w:hint="eastAsia" w:ascii="Times New Roman" w:hAnsi="Times New Roman"/>
                      <w:sz w:val="21"/>
                      <w:szCs w:val="21"/>
                    </w:rPr>
                    <w:t>、浮油</w:t>
                  </w:r>
                  <w:r>
                    <w:rPr>
                      <w:rFonts w:ascii="Times New Roman" w:hAnsi="Times New Roman"/>
                      <w:sz w:val="21"/>
                      <w:szCs w:val="21"/>
                    </w:rPr>
                    <w:t>，主要位于危废暂存间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环境影响途径及危害后果</w:t>
                  </w:r>
                </w:p>
              </w:tc>
              <w:tc>
                <w:tcPr>
                  <w:tcW w:w="6112" w:type="dxa"/>
                  <w:gridSpan w:val="4"/>
                  <w:vAlign w:val="center"/>
                </w:tcPr>
                <w:p>
                  <w:pPr>
                    <w:numPr>
                      <w:ilvl w:val="0"/>
                      <w:numId w:val="20"/>
                    </w:numPr>
                    <w:spacing w:line="320" w:lineRule="exact"/>
                    <w:jc w:val="left"/>
                    <w:rPr>
                      <w:rFonts w:ascii="Times New Roman" w:hAnsi="Times New Roman"/>
                      <w:sz w:val="21"/>
                      <w:szCs w:val="21"/>
                    </w:rPr>
                  </w:pPr>
                  <w:r>
                    <w:rPr>
                      <w:rFonts w:ascii="Times New Roman" w:hAnsi="Times New Roman"/>
                      <w:sz w:val="21"/>
                      <w:szCs w:val="21"/>
                    </w:rPr>
                    <w:t>废机油泄漏：项目危废间地面</w:t>
                  </w:r>
                  <w:r>
                    <w:rPr>
                      <w:rFonts w:hint="eastAsia" w:ascii="Times New Roman" w:hAnsi="Times New Roman"/>
                      <w:sz w:val="21"/>
                      <w:szCs w:val="21"/>
                    </w:rPr>
                    <w:t>刷“环氧树脂地坪漆”进行防渗；</w:t>
                  </w:r>
                </w:p>
                <w:p>
                  <w:pPr>
                    <w:jc w:val="left"/>
                    <w:rPr>
                      <w:rFonts w:ascii="Times New Roman" w:hAnsi="Times New Roman"/>
                      <w:sz w:val="21"/>
                      <w:szCs w:val="21"/>
                    </w:rPr>
                  </w:pPr>
                  <w:r>
                    <w:rPr>
                      <w:rFonts w:ascii="Times New Roman" w:hAnsi="Times New Roman"/>
                      <w:sz w:val="21"/>
                      <w:szCs w:val="21"/>
                    </w:rPr>
                    <w:t>，废机油采用</w:t>
                  </w:r>
                  <w:r>
                    <w:rPr>
                      <w:rFonts w:hint="eastAsia" w:ascii="Times New Roman" w:hAnsi="Times New Roman"/>
                      <w:sz w:val="21"/>
                      <w:szCs w:val="21"/>
                    </w:rPr>
                    <w:t>加盖桶装，</w:t>
                  </w:r>
                  <w:r>
                    <w:rPr>
                      <w:rFonts w:ascii="Times New Roman" w:hAnsi="Times New Roman"/>
                      <w:sz w:val="21"/>
                      <w:szCs w:val="21"/>
                    </w:rPr>
                    <w:t>门口设置围坎，一旦发生渗漏，可被及时发现，少量的泄漏液体可被截留危废暂存间内，不会漫流至外环境。</w:t>
                  </w:r>
                </w:p>
                <w:p>
                  <w:pPr>
                    <w:jc w:val="left"/>
                    <w:rPr>
                      <w:rFonts w:ascii="Times New Roman" w:hAnsi="Times New Roman"/>
                      <w:sz w:val="21"/>
                      <w:szCs w:val="21"/>
                    </w:rPr>
                  </w:pPr>
                  <w:r>
                    <w:rPr>
                      <w:rFonts w:ascii="Times New Roman" w:hAnsi="Times New Roman"/>
                      <w:sz w:val="21"/>
                      <w:szCs w:val="21"/>
                    </w:rPr>
                    <w:t>本项目废机油</w:t>
                  </w:r>
                  <w:r>
                    <w:rPr>
                      <w:rFonts w:hint="eastAsia" w:ascii="Times New Roman" w:hAnsi="Times New Roman"/>
                      <w:sz w:val="21"/>
                      <w:szCs w:val="21"/>
                    </w:rPr>
                    <w:t>、浮油</w:t>
                  </w:r>
                  <w:r>
                    <w:rPr>
                      <w:rFonts w:ascii="Times New Roman" w:hAnsi="Times New Roman"/>
                      <w:sz w:val="21"/>
                      <w:szCs w:val="21"/>
                    </w:rPr>
                    <w:t>的产生量少，产生量为</w:t>
                  </w:r>
                  <w:r>
                    <w:rPr>
                      <w:rFonts w:hint="eastAsia" w:ascii="Times New Roman" w:hAnsi="Times New Roman"/>
                      <w:sz w:val="21"/>
                      <w:szCs w:val="21"/>
                    </w:rPr>
                    <w:t>0.23</w:t>
                  </w:r>
                  <w:r>
                    <w:rPr>
                      <w:rFonts w:ascii="Times New Roman" w:hAnsi="Times New Roman"/>
                      <w:sz w:val="21"/>
                      <w:szCs w:val="21"/>
                    </w:rPr>
                    <w:t>t/a，废机油</w:t>
                  </w:r>
                  <w:r>
                    <w:rPr>
                      <w:rFonts w:hint="eastAsia" w:ascii="Times New Roman" w:hAnsi="Times New Roman"/>
                      <w:sz w:val="21"/>
                      <w:szCs w:val="21"/>
                    </w:rPr>
                    <w:t>、浮油</w:t>
                  </w:r>
                  <w:r>
                    <w:rPr>
                      <w:rFonts w:ascii="Times New Roman" w:hAnsi="Times New Roman"/>
                      <w:sz w:val="21"/>
                      <w:szCs w:val="21"/>
                    </w:rPr>
                    <w:t>不属于易燃物质，危废间平时处于关闭状态，同时每天安排专人巡检，不易遇明火。同时在危废间附近设置泡沫灭火器，一旦发生火灾，发现人员可第一时间利用附近的泡沫灭火器灭火。故可不考虑火灾事故引发的消防事故废水排放事故。</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风险防范措施要求</w:t>
                  </w:r>
                </w:p>
              </w:tc>
              <w:tc>
                <w:tcPr>
                  <w:tcW w:w="6112" w:type="dxa"/>
                  <w:gridSpan w:val="4"/>
                  <w:vAlign w:val="center"/>
                </w:tcPr>
                <w:p>
                  <w:pPr>
                    <w:jc w:val="left"/>
                    <w:rPr>
                      <w:rFonts w:ascii="Times New Roman" w:hAnsi="Times New Roman"/>
                      <w:sz w:val="21"/>
                      <w:szCs w:val="21"/>
                    </w:rPr>
                  </w:pPr>
                  <w:r>
                    <w:rPr>
                      <w:rFonts w:hint="eastAsia" w:ascii="Times New Roman" w:hAnsi="Times New Roman"/>
                      <w:sz w:val="21"/>
                      <w:szCs w:val="21"/>
                    </w:rPr>
                    <w:t>采用“防渗混凝土+环氧树脂地坪漆”防渗，</w:t>
                  </w:r>
                  <w:r>
                    <w:rPr>
                      <w:rFonts w:ascii="Times New Roman" w:hAnsi="Times New Roman"/>
                      <w:sz w:val="21"/>
                      <w:szCs w:val="21"/>
                    </w:rPr>
                    <w:t>门口设置围坎。</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2622" w:type="dxa"/>
                  <w:vAlign w:val="center"/>
                </w:tcPr>
                <w:p>
                  <w:pPr>
                    <w:jc w:val="center"/>
                    <w:rPr>
                      <w:rFonts w:ascii="Times New Roman" w:hAnsi="Times New Roman"/>
                      <w:sz w:val="21"/>
                      <w:szCs w:val="21"/>
                    </w:rPr>
                  </w:pPr>
                  <w:r>
                    <w:rPr>
                      <w:rFonts w:ascii="Times New Roman" w:hAnsi="Times New Roman"/>
                      <w:sz w:val="21"/>
                      <w:szCs w:val="21"/>
                    </w:rPr>
                    <w:t>填表说明</w:t>
                  </w:r>
                </w:p>
              </w:tc>
              <w:tc>
                <w:tcPr>
                  <w:tcW w:w="6112" w:type="dxa"/>
                  <w:gridSpan w:val="4"/>
                  <w:vAlign w:val="center"/>
                </w:tcPr>
                <w:p>
                  <w:pPr>
                    <w:jc w:val="left"/>
                    <w:rPr>
                      <w:rFonts w:ascii="Times New Roman" w:hAnsi="Times New Roman"/>
                      <w:sz w:val="21"/>
                      <w:szCs w:val="21"/>
                    </w:rPr>
                  </w:pPr>
                  <w:r>
                    <w:rPr>
                      <w:rFonts w:ascii="Times New Roman" w:hAnsi="Times New Roman"/>
                      <w:sz w:val="21"/>
                      <w:szCs w:val="21"/>
                    </w:rPr>
                    <w:t>本项目危险物质数量与临界量比值Q＜1，环境风险潜势划分为Ⅰ级，根据环境风险评价工作等级划分依据，本项目环境风险评价工作等级为简单分析。通过对项目风险物质、环境影响途径、环境危害后果、风险防范措施等方面的分析，在严格落实各项风险防范措施后，本项目环境风险可防可控。</w:t>
                  </w:r>
                </w:p>
              </w:tc>
            </w:tr>
          </w:tbl>
          <w:p>
            <w:pPr>
              <w:pStyle w:val="6"/>
              <w:ind w:left="311"/>
              <w:rPr>
                <w:color w:val="auto"/>
              </w:rPr>
            </w:pPr>
            <w:r>
              <w:rPr>
                <w:color w:val="auto"/>
              </w:rPr>
              <w:t>4.3</w:t>
            </w:r>
            <w:r>
              <w:rPr>
                <w:rFonts w:hint="eastAsia"/>
                <w:color w:val="auto"/>
              </w:rPr>
              <w:t>项目退役期环境管理</w:t>
            </w:r>
          </w:p>
          <w:p>
            <w:pPr>
              <w:pStyle w:val="87"/>
              <w:spacing w:line="420" w:lineRule="atLeast"/>
              <w:ind w:firstLine="480"/>
              <w:rPr>
                <w:rFonts w:ascii="Times New Roman" w:hAnsi="Tahoma"/>
              </w:rPr>
            </w:pPr>
            <w:r>
              <w:rPr>
                <w:rFonts w:hint="eastAsia" w:ascii="Times New Roman" w:hAnsi="Tahoma"/>
              </w:rPr>
              <w:t>本项目的服务期限为15年，当项目服务期满后该项目退役时：</w:t>
            </w:r>
          </w:p>
          <w:p>
            <w:pPr>
              <w:pStyle w:val="87"/>
              <w:spacing w:line="420" w:lineRule="atLeast"/>
              <w:ind w:firstLine="480"/>
              <w:rPr>
                <w:rFonts w:ascii="Times New Roman" w:hAnsi="Tahoma"/>
              </w:rPr>
            </w:pPr>
            <w:r>
              <w:rPr>
                <w:rFonts w:hint="eastAsia" w:ascii="Times New Roman" w:hAnsi="Tahoma"/>
              </w:rPr>
              <w:t>（1）若相关设备尚不属于行业淘汰范围的，且尚符合当时国家产业政策和地方政策的，可出售给相应企业；属于行业淘汰范围、不符合当时国家产业政策和地方政策中的，即应予以报废，按废品出售给回收单位。</w:t>
            </w:r>
          </w:p>
          <w:p>
            <w:pPr>
              <w:pStyle w:val="87"/>
              <w:spacing w:line="420" w:lineRule="atLeast"/>
              <w:ind w:firstLine="480"/>
              <w:rPr>
                <w:rFonts w:ascii="Times New Roman" w:hAnsi="Tahoma"/>
              </w:rPr>
            </w:pPr>
            <w:r>
              <w:rPr>
                <w:rFonts w:hint="eastAsia" w:ascii="Times New Roman" w:hAnsi="Tahoma"/>
              </w:rPr>
              <w:t>（2）生产过程中产生的废水、固废等污染物在项目退役时必须严格按照相关要求进行处理完毕，不得造成二次污染。</w:t>
            </w:r>
          </w:p>
          <w:p>
            <w:pPr>
              <w:pStyle w:val="87"/>
              <w:spacing w:line="420" w:lineRule="atLeast"/>
              <w:ind w:firstLine="480"/>
              <w:rPr>
                <w:rFonts w:ascii="Times New Roman" w:hAnsi="Times New Roman"/>
                <w:sz w:val="28"/>
                <w:szCs w:val="28"/>
              </w:rPr>
            </w:pPr>
            <w:r>
              <w:rPr>
                <w:rFonts w:hint="eastAsia" w:ascii="Times New Roman" w:hAnsi="Tahoma"/>
              </w:rPr>
              <w:t>（3）退役后，厂区应恢复原状或厂房适当清扫后归还业主另作他用。</w:t>
            </w:r>
          </w:p>
          <w:p>
            <w:pPr>
              <w:pStyle w:val="6"/>
              <w:ind w:left="311"/>
              <w:rPr>
                <w:color w:val="auto"/>
              </w:rPr>
            </w:pPr>
            <w:r>
              <w:rPr>
                <w:color w:val="auto"/>
              </w:rPr>
              <w:t>4.</w:t>
            </w:r>
            <w:r>
              <w:rPr>
                <w:rFonts w:hint="eastAsia"/>
                <w:color w:val="auto"/>
              </w:rPr>
              <w:t>5自行监测内容</w:t>
            </w:r>
          </w:p>
          <w:p>
            <w:pPr>
              <w:pStyle w:val="3"/>
              <w:spacing w:after="0" w:line="440" w:lineRule="exact"/>
              <w:ind w:right="-120" w:firstLine="480" w:firstLineChars="200"/>
              <w:rPr>
                <w:rFonts w:ascii="Times New Roman" w:hAnsi="Times New Roman"/>
              </w:rPr>
            </w:pPr>
            <w:r>
              <w:rPr>
                <w:rFonts w:ascii="Times New Roman" w:hAnsi="Times New Roman"/>
              </w:rPr>
              <w:t>对照《固定污染源排污许可分类管理名录（2019年版）》相关规定，项目主要从事</w:t>
            </w:r>
            <w:r>
              <w:rPr>
                <w:rFonts w:hint="eastAsia" w:ascii="Times New Roman" w:hAnsi="Times New Roman"/>
              </w:rPr>
              <w:t>铸造砂、铸造砂、钢渣等固体废物的回收利用</w:t>
            </w:r>
            <w:r>
              <w:rPr>
                <w:rFonts w:ascii="Times New Roman" w:hAnsi="Times New Roman"/>
              </w:rPr>
              <w:t>，排污许可类别属于</w:t>
            </w:r>
            <w:r>
              <w:rPr>
                <w:rFonts w:hint="eastAsia" w:ascii="Times New Roman" w:hAnsi="Times New Roman"/>
              </w:rPr>
              <w:t>简化管理</w:t>
            </w:r>
            <w:r>
              <w:rPr>
                <w:rFonts w:ascii="Times New Roman" w:hAnsi="Times New Roman"/>
              </w:rPr>
              <w:t>。</w:t>
            </w:r>
            <w:r>
              <w:rPr>
                <w:rFonts w:hint="eastAsia" w:ascii="Times New Roman" w:hAnsi="Times New Roman"/>
              </w:rPr>
              <w:t>本项目的自行监测计划主要依据</w:t>
            </w:r>
            <w:r>
              <w:rPr>
                <w:rFonts w:hint="eastAsia"/>
              </w:rPr>
              <w:t>《排污单位自行监测技术</w:t>
            </w:r>
            <w:r>
              <w:rPr>
                <w:rFonts w:hint="eastAsia" w:ascii="Times New Roman" w:hAnsi="Times New Roman"/>
              </w:rPr>
              <w:t>指南 总则</w:t>
            </w:r>
            <w:r>
              <w:rPr>
                <w:rFonts w:ascii="Times New Roman" w:hAnsi="Times New Roman"/>
              </w:rPr>
              <w:t>》</w:t>
            </w:r>
            <w:r>
              <w:rPr>
                <w:rFonts w:hint="eastAsia" w:ascii="Times New Roman" w:hAnsi="Times New Roman"/>
              </w:rPr>
              <w:t>（</w:t>
            </w:r>
            <w:r>
              <w:rPr>
                <w:rFonts w:ascii="Times New Roman" w:hAnsi="Times New Roman"/>
              </w:rPr>
              <w:t>HJ 819-2017</w:t>
            </w:r>
            <w:r>
              <w:rPr>
                <w:rFonts w:hint="eastAsia" w:ascii="Times New Roman" w:hAnsi="Times New Roman"/>
              </w:rPr>
              <w:t>）及《排污许可证申请与核发技术规范 废弃资源加工工业》（HJ 1034-2019），具体见下表</w:t>
            </w:r>
            <w:r>
              <w:rPr>
                <w:rFonts w:ascii="Times New Roman" w:hAnsi="Times New Roman"/>
              </w:rPr>
              <w:t>。</w:t>
            </w:r>
          </w:p>
          <w:p>
            <w:pPr>
              <w:pStyle w:val="3"/>
              <w:spacing w:after="0" w:line="440" w:lineRule="exact"/>
              <w:ind w:right="-120" w:firstLine="480" w:firstLineChars="200"/>
              <w:rPr>
                <w:rFonts w:ascii="Times New Roman" w:hAnsi="Times New Roman"/>
              </w:rPr>
            </w:pPr>
            <w:r>
              <w:rPr>
                <w:rFonts w:hint="eastAsia" w:ascii="Times New Roman" w:hAnsi="Times New Roman"/>
              </w:rPr>
              <w:t>项目自行监测计划具体见下表</w:t>
            </w:r>
            <w:r>
              <w:rPr>
                <w:rFonts w:ascii="Times New Roman" w:hAnsi="Times New Roman"/>
              </w:rPr>
              <w:t>。</w:t>
            </w:r>
          </w:p>
          <w:p>
            <w:pPr>
              <w:widowControl/>
              <w:spacing w:line="440" w:lineRule="exact"/>
              <w:ind w:firstLine="422"/>
              <w:jc w:val="center"/>
              <w:rPr>
                <w:rFonts w:ascii="Times New Roman" w:hAnsi="Times New Roman" w:eastAsia="黑体"/>
                <w:b/>
                <w:bCs/>
                <w:kern w:val="0"/>
                <w:sz w:val="21"/>
                <w:szCs w:val="21"/>
              </w:rPr>
            </w:pPr>
            <w:r>
              <w:rPr>
                <w:rFonts w:ascii="Times New Roman" w:hAnsi="Times New Roman" w:eastAsia="黑体"/>
                <w:b/>
                <w:bCs/>
                <w:kern w:val="0"/>
                <w:sz w:val="21"/>
                <w:szCs w:val="21"/>
              </w:rPr>
              <w:t>表4-4 项目自行监测一览表</w:t>
            </w:r>
          </w:p>
          <w:tbl>
            <w:tblPr>
              <w:tblStyle w:val="25"/>
              <w:tblW w:w="850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731"/>
              <w:gridCol w:w="1035"/>
              <w:gridCol w:w="1232"/>
              <w:gridCol w:w="964"/>
              <w:gridCol w:w="996"/>
              <w:gridCol w:w="988"/>
              <w:gridCol w:w="1560"/>
              <w:gridCol w:w="9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12" w:space="0"/>
                    <w:left w:val="nil"/>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污染源类别</w:t>
                  </w:r>
                </w:p>
              </w:tc>
              <w:tc>
                <w:tcPr>
                  <w:tcW w:w="1035"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排放口编号/名称</w:t>
                  </w:r>
                </w:p>
              </w:tc>
              <w:tc>
                <w:tcPr>
                  <w:tcW w:w="1232"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监测内容</w:t>
                  </w:r>
                </w:p>
              </w:tc>
              <w:tc>
                <w:tcPr>
                  <w:tcW w:w="964"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监测点位</w:t>
                  </w:r>
                </w:p>
              </w:tc>
              <w:tc>
                <w:tcPr>
                  <w:tcW w:w="996" w:type="dxa"/>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监测项目</w:t>
                  </w:r>
                </w:p>
              </w:tc>
              <w:tc>
                <w:tcPr>
                  <w:tcW w:w="988"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监测设施</w:t>
                  </w:r>
                </w:p>
              </w:tc>
              <w:tc>
                <w:tcPr>
                  <w:tcW w:w="1560" w:type="dxa"/>
                  <w:tcBorders>
                    <w:top w:val="single" w:color="auto" w:sz="12"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监测采样频次</w:t>
                  </w:r>
                </w:p>
              </w:tc>
              <w:tc>
                <w:tcPr>
                  <w:tcW w:w="999" w:type="dxa"/>
                  <w:tcBorders>
                    <w:top w:val="single" w:color="auto" w:sz="12" w:space="0"/>
                    <w:left w:val="single" w:color="auto" w:sz="4" w:space="0"/>
                    <w:bottom w:val="single" w:color="auto" w:sz="4"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4" w:space="0"/>
                    <w:left w:val="nil"/>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无组织废气</w:t>
                  </w:r>
                </w:p>
              </w:tc>
              <w:tc>
                <w:tcPr>
                  <w:tcW w:w="10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123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风速、风向</w:t>
                  </w:r>
                </w:p>
              </w:tc>
              <w:tc>
                <w:tcPr>
                  <w:tcW w:w="96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996"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颗粒物</w:t>
                  </w:r>
                </w:p>
              </w:tc>
              <w:tc>
                <w:tcPr>
                  <w:tcW w:w="98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手工</w:t>
                  </w:r>
                </w:p>
              </w:tc>
              <w:tc>
                <w:tcPr>
                  <w:tcW w:w="1560" w:type="dxa"/>
                  <w:tcBorders>
                    <w:top w:val="single" w:color="auto" w:sz="4" w:space="0"/>
                    <w:left w:val="single" w:color="auto" w:sz="4" w:space="0"/>
                    <w:bottom w:val="single" w:color="auto" w:sz="4"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非连续采用至少4个</w:t>
                  </w:r>
                </w:p>
              </w:tc>
              <w:tc>
                <w:tcPr>
                  <w:tcW w:w="999" w:type="dxa"/>
                  <w:tcBorders>
                    <w:top w:val="single" w:color="auto" w:sz="4" w:space="0"/>
                    <w:left w:val="single" w:color="auto" w:sz="4" w:space="0"/>
                    <w:bottom w:val="single" w:color="auto" w:sz="4"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1次/年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731" w:type="dxa"/>
                  <w:tcBorders>
                    <w:top w:val="single" w:color="auto" w:sz="4" w:space="0"/>
                    <w:left w:val="nil"/>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噪声</w:t>
                  </w:r>
                </w:p>
              </w:tc>
              <w:tc>
                <w:tcPr>
                  <w:tcW w:w="1035"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1232"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dB（A）</w:t>
                  </w:r>
                </w:p>
              </w:tc>
              <w:tc>
                <w:tcPr>
                  <w:tcW w:w="964"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厂界</w:t>
                  </w:r>
                </w:p>
              </w:tc>
              <w:tc>
                <w:tcPr>
                  <w:tcW w:w="996"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等效A声级</w:t>
                  </w:r>
                </w:p>
              </w:tc>
              <w:tc>
                <w:tcPr>
                  <w:tcW w:w="988"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ascii="Times New Roman" w:hAnsi="Times New Roman"/>
                      <w:sz w:val="18"/>
                      <w:szCs w:val="18"/>
                    </w:rPr>
                  </w:pPr>
                  <w:r>
                    <w:rPr>
                      <w:rFonts w:ascii="Times New Roman" w:hAnsi="Times New Roman"/>
                      <w:sz w:val="18"/>
                      <w:szCs w:val="18"/>
                    </w:rPr>
                    <w:t>手工</w:t>
                  </w:r>
                </w:p>
              </w:tc>
              <w:tc>
                <w:tcPr>
                  <w:tcW w:w="1560" w:type="dxa"/>
                  <w:tcBorders>
                    <w:top w:val="single" w:color="auto" w:sz="4" w:space="0"/>
                    <w:left w:val="single" w:color="auto" w:sz="4" w:space="0"/>
                    <w:bottom w:val="single" w:color="auto" w:sz="12" w:space="0"/>
                    <w:right w:val="single" w:color="auto" w:sz="4" w:space="0"/>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昼间一次</w:t>
                  </w:r>
                </w:p>
              </w:tc>
              <w:tc>
                <w:tcPr>
                  <w:tcW w:w="999" w:type="dxa"/>
                  <w:tcBorders>
                    <w:top w:val="single" w:color="auto" w:sz="4" w:space="0"/>
                    <w:left w:val="single" w:color="auto" w:sz="4" w:space="0"/>
                    <w:bottom w:val="single" w:color="auto" w:sz="12" w:space="0"/>
                    <w:right w:val="nil"/>
                  </w:tcBorders>
                  <w:tcMar>
                    <w:top w:w="0" w:type="dxa"/>
                    <w:left w:w="85" w:type="dxa"/>
                    <w:bottom w:w="0" w:type="dxa"/>
                    <w:right w:w="85" w:type="dxa"/>
                  </w:tcMar>
                  <w:vAlign w:val="center"/>
                </w:tcPr>
                <w:p>
                  <w:pPr>
                    <w:spacing w:line="200" w:lineRule="exact"/>
                    <w:jc w:val="center"/>
                    <w:rPr>
                      <w:rFonts w:ascii="Times New Roman" w:hAnsi="Times New Roman"/>
                      <w:sz w:val="18"/>
                      <w:szCs w:val="18"/>
                    </w:rPr>
                  </w:pPr>
                  <w:r>
                    <w:rPr>
                      <w:rFonts w:ascii="Times New Roman" w:hAnsi="Times New Roman"/>
                      <w:sz w:val="18"/>
                      <w:szCs w:val="18"/>
                    </w:rPr>
                    <w:t>1次/季度</w:t>
                  </w:r>
                </w:p>
              </w:tc>
            </w:tr>
          </w:tbl>
          <w:p>
            <w:pPr>
              <w:pStyle w:val="38"/>
              <w:ind w:firstLine="0" w:firstLineChars="0"/>
            </w:pPr>
          </w:p>
        </w:tc>
      </w:tr>
    </w:tbl>
    <w:p>
      <w:pPr>
        <w:ind w:firstLine="600"/>
        <w:rPr>
          <w:rFonts w:ascii="Times New Roman" w:hAnsi="Times New Roman" w:eastAsia="黑体"/>
          <w:snapToGrid w:val="0"/>
          <w:sz w:val="30"/>
          <w:szCs w:val="30"/>
        </w:rPr>
        <w:sectPr>
          <w:pgSz w:w="11906" w:h="16838"/>
          <w:pgMar w:top="1701" w:right="1531" w:bottom="1701" w:left="1531" w:header="851" w:footer="851" w:gutter="0"/>
          <w:cols w:space="720" w:num="1"/>
          <w:docGrid w:linePitch="312" w:charSpace="0"/>
        </w:sectPr>
      </w:pPr>
    </w:p>
    <w:p>
      <w:pPr>
        <w:pStyle w:val="23"/>
        <w:ind w:firstLine="600"/>
        <w:jc w:val="center"/>
        <w:outlineLvl w:val="0"/>
        <w:rPr>
          <w:rFonts w:ascii="Times New Roman" w:hAnsi="Times New Roman" w:eastAsia="黑体"/>
          <w:snapToGrid w:val="0"/>
          <w:sz w:val="30"/>
          <w:szCs w:val="30"/>
        </w:rPr>
      </w:pPr>
      <w:r>
        <w:rPr>
          <w:rFonts w:ascii="Times New Roman" w:hAnsi="Times New Roman" w:eastAsia="黑体"/>
          <w:snapToGrid w:val="0"/>
          <w:sz w:val="30"/>
          <w:szCs w:val="30"/>
        </w:rPr>
        <w:t>五、</w:t>
      </w:r>
      <w:bookmarkStart w:id="18" w:name="_Hlk54167917"/>
      <w:r>
        <w:rPr>
          <w:rFonts w:ascii="Times New Roman" w:hAnsi="Times New Roman" w:eastAsia="黑体"/>
          <w:snapToGrid w:val="0"/>
          <w:sz w:val="30"/>
          <w:szCs w:val="30"/>
        </w:rPr>
        <w:t>环境保护措施监督检查清单</w:t>
      </w:r>
      <w:bookmarkEnd w:id="18"/>
    </w:p>
    <w:tbl>
      <w:tblPr>
        <w:tblStyle w:val="25"/>
        <w:tblW w:w="88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387"/>
        <w:gridCol w:w="1094"/>
        <w:gridCol w:w="2813"/>
        <w:gridCol w:w="1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tcBorders>
              <w:tl2br w:val="single" w:color="auto" w:sz="4" w:space="0"/>
            </w:tcBorders>
          </w:tcPr>
          <w:p>
            <w:pPr>
              <w:adjustRightInd w:val="0"/>
              <w:snapToGrid w:val="0"/>
              <w:ind w:firstLine="840" w:firstLineChars="400"/>
              <w:rPr>
                <w:rFonts w:ascii="Times New Roman" w:hAnsi="Times New Roman"/>
                <w:sz w:val="21"/>
                <w:szCs w:val="21"/>
              </w:rPr>
            </w:pPr>
            <w:r>
              <w:rPr>
                <w:rFonts w:ascii="Times New Roman" w:hAnsi="Times New Roman"/>
                <w:sz w:val="21"/>
                <w:szCs w:val="21"/>
              </w:rPr>
              <w:t>内容</w:t>
            </w:r>
          </w:p>
          <w:p>
            <w:pPr>
              <w:adjustRightInd w:val="0"/>
              <w:snapToGrid w:val="0"/>
              <w:rPr>
                <w:rFonts w:ascii="Times New Roman" w:hAnsi="Times New Roman"/>
                <w:sz w:val="21"/>
                <w:szCs w:val="21"/>
              </w:rPr>
            </w:pPr>
            <w:r>
              <w:rPr>
                <w:rFonts w:ascii="Times New Roman" w:hAnsi="Times New Roman"/>
                <w:sz w:val="21"/>
                <w:szCs w:val="21"/>
              </w:rPr>
              <w:t>要素</w:t>
            </w:r>
          </w:p>
        </w:tc>
        <w:tc>
          <w:tcPr>
            <w:tcW w:w="1387"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排放口/污染源</w:t>
            </w:r>
          </w:p>
        </w:tc>
        <w:tc>
          <w:tcPr>
            <w:tcW w:w="1094"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污染物项目</w:t>
            </w:r>
          </w:p>
        </w:tc>
        <w:tc>
          <w:tcPr>
            <w:tcW w:w="281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环境保护措施</w:t>
            </w:r>
          </w:p>
        </w:tc>
        <w:tc>
          <w:tcPr>
            <w:tcW w:w="197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大气环境</w:t>
            </w:r>
          </w:p>
        </w:tc>
        <w:tc>
          <w:tcPr>
            <w:tcW w:w="1387"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厂界无组织废气</w:t>
            </w:r>
          </w:p>
        </w:tc>
        <w:tc>
          <w:tcPr>
            <w:tcW w:w="1094"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颗粒物</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①原料堆场、尾渣堆场设置顶棚、周边半围挡；</w:t>
            </w:r>
          </w:p>
          <w:p>
            <w:pPr>
              <w:adjustRightInd w:val="0"/>
              <w:snapToGrid w:val="0"/>
              <w:jc w:val="left"/>
              <w:rPr>
                <w:rFonts w:ascii="Times New Roman" w:hAnsi="Times New Roman"/>
                <w:sz w:val="21"/>
                <w:szCs w:val="21"/>
              </w:rPr>
            </w:pPr>
            <w:r>
              <w:rPr>
                <w:rFonts w:hint="eastAsia" w:ascii="Times New Roman" w:hAnsi="Times New Roman"/>
                <w:sz w:val="21"/>
                <w:szCs w:val="21"/>
              </w:rPr>
              <w:t>②原料堆场喷雾抑尘；</w:t>
            </w:r>
          </w:p>
          <w:p>
            <w:pPr>
              <w:adjustRightInd w:val="0"/>
              <w:snapToGrid w:val="0"/>
              <w:jc w:val="left"/>
              <w:rPr>
                <w:rFonts w:ascii="Times New Roman" w:hAnsi="Times New Roman"/>
                <w:sz w:val="21"/>
                <w:szCs w:val="21"/>
              </w:rPr>
            </w:pPr>
            <w:r>
              <w:rPr>
                <w:rFonts w:hint="eastAsia" w:ascii="Times New Roman" w:hAnsi="Times New Roman"/>
                <w:sz w:val="21"/>
                <w:szCs w:val="21"/>
              </w:rPr>
              <w:t>③破碎筛分水喷淋抑尘；</w:t>
            </w:r>
          </w:p>
          <w:p>
            <w:pPr>
              <w:adjustRightInd w:val="0"/>
              <w:snapToGrid w:val="0"/>
              <w:jc w:val="left"/>
              <w:rPr>
                <w:rFonts w:ascii="Times New Roman" w:hAnsi="Times New Roman"/>
                <w:sz w:val="21"/>
                <w:szCs w:val="21"/>
              </w:rPr>
            </w:pPr>
            <w:r>
              <w:rPr>
                <w:rFonts w:hint="eastAsia" w:ascii="Times New Roman" w:hAnsi="Times New Roman"/>
                <w:sz w:val="21"/>
                <w:szCs w:val="21"/>
              </w:rPr>
              <w:t>④原料卸料洒水抑尘，降低高差；产品尾渣装卸过程降低高差。</w:t>
            </w:r>
          </w:p>
        </w:tc>
        <w:tc>
          <w:tcPr>
            <w:tcW w:w="1973" w:type="dxa"/>
            <w:vAlign w:val="center"/>
          </w:tcPr>
          <w:p>
            <w:pPr>
              <w:adjustRightInd w:val="0"/>
              <w:snapToGrid w:val="0"/>
              <w:jc w:val="left"/>
              <w:rPr>
                <w:rFonts w:ascii="Times New Roman" w:hAnsi="Times New Roman"/>
                <w:sz w:val="21"/>
                <w:szCs w:val="21"/>
              </w:rPr>
            </w:pPr>
            <w:r>
              <w:rPr>
                <w:rFonts w:ascii="Times New Roman" w:hAnsi="Times New Roman"/>
                <w:sz w:val="21"/>
                <w:szCs w:val="21"/>
              </w:rPr>
              <w:t>《大气污染物综合排放标准》（GB16297-1996）表2无组织标准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地表水环境</w:t>
            </w:r>
          </w:p>
        </w:tc>
        <w:tc>
          <w:tcPr>
            <w:tcW w:w="1387"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生产废水</w:t>
            </w:r>
          </w:p>
        </w:tc>
        <w:tc>
          <w:tcPr>
            <w:tcW w:w="1094"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SS、石油类</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①建设1套处理能力为250m</w:t>
            </w:r>
            <w:r>
              <w:rPr>
                <w:rFonts w:hint="eastAsia" w:ascii="Times New Roman" w:hAnsi="Times New Roman"/>
                <w:sz w:val="21"/>
                <w:szCs w:val="21"/>
                <w:vertAlign w:val="superscript"/>
              </w:rPr>
              <w:t>3</w:t>
            </w:r>
            <w:r>
              <w:rPr>
                <w:rFonts w:hint="eastAsia" w:ascii="Times New Roman" w:hAnsi="Times New Roman"/>
                <w:sz w:val="21"/>
                <w:szCs w:val="21"/>
              </w:rPr>
              <w:t>的“隔油+沉淀”污水处理设施，生产废水经处理全部回用不外排；</w:t>
            </w:r>
          </w:p>
          <w:p>
            <w:pPr>
              <w:adjustRightInd w:val="0"/>
              <w:snapToGrid w:val="0"/>
              <w:jc w:val="left"/>
              <w:rPr>
                <w:rFonts w:ascii="Times New Roman" w:hAnsi="Times New Roman"/>
                <w:sz w:val="21"/>
                <w:szCs w:val="21"/>
              </w:rPr>
            </w:pPr>
            <w:r>
              <w:rPr>
                <w:rFonts w:hint="eastAsia" w:ascii="Times New Roman" w:hAnsi="Times New Roman"/>
                <w:sz w:val="21"/>
                <w:szCs w:val="21"/>
              </w:rPr>
              <w:t>②生活污水经地埋式生活污水处理设施处理后用于周边山林地灌溉。</w:t>
            </w:r>
          </w:p>
        </w:tc>
        <w:tc>
          <w:tcPr>
            <w:tcW w:w="197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《农田灌溉水质标准》(GB5084-2021)表1标准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声环境</w:t>
            </w:r>
          </w:p>
        </w:tc>
        <w:tc>
          <w:tcPr>
            <w:tcW w:w="1387"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厂界</w:t>
            </w:r>
          </w:p>
        </w:tc>
        <w:tc>
          <w:tcPr>
            <w:tcW w:w="1094" w:type="dxa"/>
            <w:vAlign w:val="center"/>
          </w:tcPr>
          <w:p>
            <w:pPr>
              <w:adjustRightInd w:val="0"/>
              <w:snapToGrid w:val="0"/>
              <w:jc w:val="center"/>
              <w:rPr>
                <w:rFonts w:ascii="Times New Roman" w:hAnsi="Times New Roman"/>
                <w:sz w:val="21"/>
                <w:szCs w:val="21"/>
              </w:rPr>
            </w:pPr>
            <w:r>
              <w:rPr>
                <w:rFonts w:hint="eastAsia" w:ascii="Times New Roman" w:hAnsi="Times New Roman"/>
                <w:sz w:val="21"/>
                <w:szCs w:val="21"/>
              </w:rPr>
              <w:t>等效连续</w:t>
            </w:r>
          </w:p>
          <w:p>
            <w:pPr>
              <w:adjustRightInd w:val="0"/>
              <w:snapToGrid w:val="0"/>
              <w:jc w:val="center"/>
              <w:rPr>
                <w:rFonts w:ascii="Times New Roman" w:hAnsi="Times New Roman"/>
                <w:sz w:val="21"/>
                <w:szCs w:val="21"/>
              </w:rPr>
            </w:pPr>
            <w:r>
              <w:rPr>
                <w:rFonts w:hint="eastAsia" w:ascii="Times New Roman" w:hAnsi="Times New Roman"/>
                <w:sz w:val="21"/>
                <w:szCs w:val="21"/>
              </w:rPr>
              <w:t>A声级</w:t>
            </w:r>
          </w:p>
        </w:tc>
        <w:tc>
          <w:tcPr>
            <w:tcW w:w="281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①选用低噪声设备；</w:t>
            </w:r>
          </w:p>
          <w:p>
            <w:pPr>
              <w:adjustRightInd w:val="0"/>
              <w:snapToGrid w:val="0"/>
              <w:jc w:val="left"/>
              <w:rPr>
                <w:rFonts w:ascii="Times New Roman" w:hAnsi="Times New Roman"/>
                <w:sz w:val="21"/>
                <w:szCs w:val="21"/>
              </w:rPr>
            </w:pPr>
            <w:r>
              <w:rPr>
                <w:rFonts w:hint="eastAsia" w:ascii="Times New Roman" w:hAnsi="Times New Roman"/>
                <w:sz w:val="21"/>
                <w:szCs w:val="21"/>
              </w:rPr>
              <w:t xml:space="preserve">②设备设置减震垫。 </w:t>
            </w:r>
          </w:p>
        </w:tc>
        <w:tc>
          <w:tcPr>
            <w:tcW w:w="1973" w:type="dxa"/>
            <w:vAlign w:val="center"/>
          </w:tcPr>
          <w:p>
            <w:pPr>
              <w:adjustRightInd w:val="0"/>
              <w:snapToGrid w:val="0"/>
              <w:jc w:val="left"/>
              <w:rPr>
                <w:rFonts w:ascii="Times New Roman" w:hAnsi="Times New Roman"/>
                <w:sz w:val="21"/>
                <w:szCs w:val="21"/>
              </w:rPr>
            </w:pPr>
            <w:r>
              <w:rPr>
                <w:rFonts w:hint="eastAsia" w:ascii="Times New Roman" w:hAnsi="Times New Roman"/>
                <w:sz w:val="21"/>
                <w:szCs w:val="21"/>
              </w:rPr>
              <w:t>GB12348-2008《工业企业厂界环境噪声排放标准》2类标准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固体废物</w:t>
            </w:r>
          </w:p>
        </w:tc>
        <w:tc>
          <w:tcPr>
            <w:tcW w:w="7267" w:type="dxa"/>
            <w:gridSpan w:val="4"/>
            <w:vAlign w:val="center"/>
          </w:tcPr>
          <w:p>
            <w:pPr>
              <w:numPr>
                <w:ilvl w:val="0"/>
                <w:numId w:val="21"/>
              </w:numPr>
              <w:spacing w:line="320" w:lineRule="exact"/>
              <w:rPr>
                <w:rFonts w:ascii="Times New Roman" w:hAnsi="Times New Roman"/>
                <w:sz w:val="21"/>
                <w:szCs w:val="21"/>
              </w:rPr>
            </w:pPr>
            <w:r>
              <w:rPr>
                <w:rFonts w:hint="eastAsia" w:ascii="Times New Roman" w:hAnsi="Times New Roman"/>
                <w:sz w:val="21"/>
                <w:szCs w:val="21"/>
              </w:rPr>
              <w:t>污泥、干选尾渣、磁选尾渣暂存于尾渣堆场，定期外运至机砖厂作为原料制备；</w:t>
            </w:r>
          </w:p>
          <w:p>
            <w:pPr>
              <w:spacing w:line="320" w:lineRule="exact"/>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2</w:t>
            </w:r>
            <w:r>
              <w:rPr>
                <w:rFonts w:ascii="Times New Roman" w:hAnsi="Times New Roman"/>
                <w:sz w:val="21"/>
                <w:szCs w:val="21"/>
              </w:rPr>
              <w:t>）废机油</w:t>
            </w:r>
            <w:r>
              <w:rPr>
                <w:rFonts w:hint="eastAsia" w:ascii="Times New Roman" w:hAnsi="Times New Roman"/>
                <w:sz w:val="21"/>
                <w:szCs w:val="21"/>
              </w:rPr>
              <w:t>、浮油</w:t>
            </w:r>
            <w:r>
              <w:rPr>
                <w:rFonts w:ascii="Times New Roman" w:hAnsi="Times New Roman"/>
                <w:sz w:val="21"/>
                <w:szCs w:val="21"/>
              </w:rPr>
              <w:t>统一贮存在危废间，并建立台账，委托有资质的单位处置；</w:t>
            </w:r>
          </w:p>
          <w:p>
            <w:pPr>
              <w:spacing w:line="320" w:lineRule="exact"/>
              <w:rPr>
                <w:rFonts w:ascii="Times New Roman" w:hAnsi="Times New Roman"/>
                <w:sz w:val="21"/>
                <w:szCs w:val="21"/>
              </w:rPr>
            </w:pPr>
            <w:r>
              <w:rPr>
                <w:rFonts w:ascii="Times New Roman" w:hAnsi="Times New Roman"/>
                <w:sz w:val="21"/>
                <w:szCs w:val="21"/>
              </w:rPr>
              <w:t>（</w:t>
            </w:r>
            <w:r>
              <w:rPr>
                <w:rFonts w:hint="eastAsia" w:ascii="Times New Roman" w:hAnsi="Times New Roman"/>
                <w:sz w:val="21"/>
                <w:szCs w:val="21"/>
              </w:rPr>
              <w:t>3</w:t>
            </w:r>
            <w:r>
              <w:rPr>
                <w:rFonts w:ascii="Times New Roman" w:hAnsi="Times New Roman"/>
                <w:sz w:val="21"/>
                <w:szCs w:val="21"/>
              </w:rPr>
              <w:t>）生活垃圾委托当地环卫部门统一清运处理</w:t>
            </w:r>
            <w:r>
              <w:rPr>
                <w:rFonts w:hint="eastAsia" w:ascii="Times New Roman" w:hAnsi="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土壤及地下水</w:t>
            </w:r>
          </w:p>
          <w:p>
            <w:pPr>
              <w:adjustRightInd w:val="0"/>
              <w:snapToGrid w:val="0"/>
              <w:jc w:val="center"/>
              <w:rPr>
                <w:rFonts w:ascii="Times New Roman" w:hAnsi="Times New Roman"/>
                <w:sz w:val="21"/>
                <w:szCs w:val="21"/>
              </w:rPr>
            </w:pPr>
            <w:r>
              <w:rPr>
                <w:rFonts w:ascii="Times New Roman" w:hAnsi="Times New Roman"/>
                <w:sz w:val="21"/>
                <w:szCs w:val="21"/>
              </w:rPr>
              <w:t>污染防治措施</w:t>
            </w:r>
          </w:p>
        </w:tc>
        <w:tc>
          <w:tcPr>
            <w:tcW w:w="7267" w:type="dxa"/>
            <w:gridSpan w:val="4"/>
            <w:vAlign w:val="center"/>
          </w:tcPr>
          <w:p>
            <w:pPr>
              <w:spacing w:line="320" w:lineRule="exact"/>
              <w:jc w:val="left"/>
              <w:rPr>
                <w:rFonts w:ascii="Times New Roman" w:hAnsi="Times New Roman"/>
                <w:sz w:val="21"/>
                <w:szCs w:val="21"/>
              </w:rPr>
            </w:pPr>
            <w:r>
              <w:rPr>
                <w:rFonts w:hint="eastAsia" w:ascii="Times New Roman" w:hAnsi="Times New Roman"/>
                <w:sz w:val="21"/>
                <w:szCs w:val="21"/>
              </w:rPr>
              <w:t>（1）重点防渗区：危废暂存间的墙裙和地面采用“防腐防渗漆+环氧树脂地坪漆”进行防渗；</w:t>
            </w:r>
          </w:p>
          <w:p>
            <w:pPr>
              <w:spacing w:line="320" w:lineRule="exact"/>
              <w:jc w:val="left"/>
              <w:rPr>
                <w:rFonts w:ascii="Times New Roman" w:hAnsi="Times New Roman"/>
                <w:sz w:val="21"/>
                <w:szCs w:val="21"/>
              </w:rPr>
            </w:pPr>
            <w:r>
              <w:rPr>
                <w:rFonts w:hint="eastAsia" w:ascii="Times New Roman" w:hAnsi="Times New Roman"/>
                <w:sz w:val="21"/>
                <w:szCs w:val="21"/>
              </w:rPr>
              <w:t>（2）一般防渗区：隔油池，沉淀池，回用水池、初期雨水沉淀池等设施的池体和池底采用防渗混凝土建设；</w:t>
            </w:r>
          </w:p>
          <w:p>
            <w:pPr>
              <w:spacing w:line="320" w:lineRule="exact"/>
              <w:jc w:val="left"/>
              <w:rPr>
                <w:rFonts w:ascii="Times New Roman" w:hAnsi="Times New Roman"/>
                <w:sz w:val="18"/>
                <w:szCs w:val="18"/>
              </w:rPr>
            </w:pPr>
            <w:r>
              <w:rPr>
                <w:rFonts w:hint="eastAsia" w:ascii="Times New Roman" w:hAnsi="Times New Roman"/>
                <w:sz w:val="21"/>
                <w:szCs w:val="21"/>
              </w:rPr>
              <w:t>（3）简单防渗区：运输路面等采用一般地面硬化防渗。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3" w:type="dxa"/>
            <w:vAlign w:val="center"/>
          </w:tcPr>
          <w:p>
            <w:pPr>
              <w:adjustRightInd w:val="0"/>
              <w:snapToGrid w:val="0"/>
              <w:jc w:val="center"/>
              <w:rPr>
                <w:rFonts w:ascii="Times New Roman" w:hAnsi="Times New Roman"/>
                <w:sz w:val="21"/>
                <w:szCs w:val="21"/>
              </w:rPr>
            </w:pPr>
            <w:r>
              <w:rPr>
                <w:rFonts w:ascii="Times New Roman" w:hAnsi="Times New Roman"/>
                <w:sz w:val="21"/>
                <w:szCs w:val="21"/>
              </w:rPr>
              <w:t>生态保护措施</w:t>
            </w:r>
          </w:p>
        </w:tc>
        <w:tc>
          <w:tcPr>
            <w:tcW w:w="7267" w:type="dxa"/>
            <w:gridSpan w:val="4"/>
            <w:vAlign w:val="center"/>
          </w:tcPr>
          <w:p>
            <w:pPr>
              <w:spacing w:line="200" w:lineRule="exact"/>
              <w:jc w:val="center"/>
              <w:rPr>
                <w:rFonts w:ascii="Times New Roman" w:hAnsi="Times New Roman"/>
                <w:sz w:val="18"/>
                <w:szCs w:val="18"/>
              </w:rPr>
            </w:pPr>
            <w:r>
              <w:rPr>
                <w:rFonts w:ascii="Times New Roman" w:hAnsi="Times New Roman"/>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43" w:type="dxa"/>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环境风险</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防范措施</w:t>
            </w:r>
          </w:p>
        </w:tc>
        <w:tc>
          <w:tcPr>
            <w:tcW w:w="7267" w:type="dxa"/>
            <w:gridSpan w:val="4"/>
            <w:vAlign w:val="center"/>
          </w:tcPr>
          <w:p>
            <w:pPr>
              <w:numPr>
                <w:ilvl w:val="0"/>
                <w:numId w:val="22"/>
              </w:numPr>
              <w:adjustRightInd w:val="0"/>
              <w:snapToGrid w:val="0"/>
              <w:jc w:val="left"/>
              <w:rPr>
                <w:rFonts w:ascii="Times New Roman" w:hAnsi="Times New Roman"/>
                <w:sz w:val="21"/>
                <w:szCs w:val="21"/>
              </w:rPr>
            </w:pPr>
            <w:r>
              <w:rPr>
                <w:rFonts w:hint="eastAsia" w:ascii="Times New Roman" w:hAnsi="Times New Roman"/>
                <w:sz w:val="21"/>
                <w:szCs w:val="21"/>
              </w:rPr>
              <w:t>设置一个占地面积为15m</w:t>
            </w:r>
            <w:r>
              <w:rPr>
                <w:rFonts w:hint="eastAsia" w:ascii="Times New Roman" w:hAnsi="Times New Roman"/>
                <w:sz w:val="21"/>
                <w:szCs w:val="21"/>
                <w:vertAlign w:val="superscript"/>
              </w:rPr>
              <w:t>2</w:t>
            </w:r>
            <w:r>
              <w:rPr>
                <w:rFonts w:hint="eastAsia" w:ascii="Times New Roman" w:hAnsi="Times New Roman"/>
                <w:sz w:val="21"/>
                <w:szCs w:val="21"/>
              </w:rPr>
              <w:t>的危废暂存间，采取“混凝土防渗+环氧树脂地坪漆”进行防渗，门口设置围坎；</w:t>
            </w:r>
          </w:p>
          <w:p>
            <w:pPr>
              <w:numPr>
                <w:ilvl w:val="0"/>
                <w:numId w:val="22"/>
              </w:numPr>
              <w:adjustRightInd w:val="0"/>
              <w:snapToGrid w:val="0"/>
              <w:jc w:val="left"/>
              <w:rPr>
                <w:rFonts w:ascii="Times New Roman" w:hAnsi="Times New Roman"/>
                <w:sz w:val="21"/>
                <w:szCs w:val="21"/>
              </w:rPr>
            </w:pPr>
            <w:r>
              <w:rPr>
                <w:rFonts w:hint="eastAsia" w:ascii="Times New Roman" w:hAnsi="Times New Roman"/>
                <w:sz w:val="21"/>
                <w:szCs w:val="21"/>
              </w:rPr>
              <w:t>厂区东侧地势最低处设置容积约为9m</w:t>
            </w:r>
            <w:r>
              <w:rPr>
                <w:rFonts w:hint="eastAsia" w:ascii="Times New Roman" w:hAnsi="Times New Roman"/>
                <w:sz w:val="21"/>
                <w:szCs w:val="21"/>
                <w:vertAlign w:val="superscript"/>
              </w:rPr>
              <w:t>3</w:t>
            </w:r>
            <w:r>
              <w:rPr>
                <w:rFonts w:hint="eastAsia" w:ascii="Times New Roman" w:hAnsi="Times New Roman"/>
                <w:sz w:val="21"/>
                <w:szCs w:val="21"/>
              </w:rPr>
              <w:t>的初期雨水沉淀池，并设置泵及回用水管。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43" w:type="dxa"/>
            <w:vAlign w:val="center"/>
          </w:tcPr>
          <w:p>
            <w:pPr>
              <w:adjustRightInd w:val="0"/>
              <w:snapToGrid w:val="0"/>
              <w:jc w:val="center"/>
              <w:rPr>
                <w:rFonts w:ascii="Times New Roman" w:hAnsi="Times New Roman"/>
                <w:spacing w:val="-8"/>
                <w:sz w:val="21"/>
                <w:szCs w:val="21"/>
              </w:rPr>
            </w:pPr>
            <w:r>
              <w:rPr>
                <w:rFonts w:ascii="Times New Roman" w:hAnsi="Times New Roman"/>
                <w:spacing w:val="-8"/>
                <w:sz w:val="21"/>
                <w:szCs w:val="21"/>
              </w:rPr>
              <w:t>其他环境</w:t>
            </w:r>
          </w:p>
          <w:p>
            <w:pPr>
              <w:adjustRightInd w:val="0"/>
              <w:snapToGrid w:val="0"/>
              <w:jc w:val="center"/>
              <w:rPr>
                <w:rFonts w:ascii="Times New Roman" w:hAnsi="Times New Roman"/>
                <w:spacing w:val="-8"/>
                <w:sz w:val="21"/>
                <w:szCs w:val="21"/>
              </w:rPr>
            </w:pPr>
            <w:r>
              <w:rPr>
                <w:rFonts w:ascii="Times New Roman" w:hAnsi="Times New Roman"/>
                <w:spacing w:val="-8"/>
                <w:sz w:val="21"/>
                <w:szCs w:val="21"/>
              </w:rPr>
              <w:t>管理要求</w:t>
            </w:r>
          </w:p>
        </w:tc>
        <w:tc>
          <w:tcPr>
            <w:tcW w:w="7267" w:type="dxa"/>
            <w:gridSpan w:val="4"/>
            <w:vAlign w:val="center"/>
          </w:tcPr>
          <w:p>
            <w:pPr>
              <w:spacing w:line="320" w:lineRule="exact"/>
              <w:rPr>
                <w:rFonts w:ascii="Times New Roman" w:hAnsi="Times New Roman"/>
                <w:sz w:val="21"/>
                <w:szCs w:val="21"/>
              </w:rPr>
            </w:pPr>
            <w:r>
              <w:rPr>
                <w:rFonts w:ascii="Times New Roman" w:hAnsi="Times New Roman"/>
                <w:sz w:val="21"/>
                <w:szCs w:val="21"/>
              </w:rPr>
              <w:t>1、依照《排污许可管理条例》和《固定污染源排污许可分类管理名录（2019年版）》的相关要求，本项目执行</w:t>
            </w:r>
            <w:r>
              <w:rPr>
                <w:rFonts w:hint="eastAsia" w:ascii="Times New Roman" w:hAnsi="Times New Roman"/>
                <w:sz w:val="21"/>
                <w:szCs w:val="21"/>
              </w:rPr>
              <w:t>简化</w:t>
            </w:r>
            <w:r>
              <w:rPr>
                <w:rFonts w:ascii="Times New Roman" w:hAnsi="Times New Roman"/>
                <w:sz w:val="21"/>
                <w:szCs w:val="21"/>
              </w:rPr>
              <w:t>管理，应当在全国排污许可证管理信息平台申请</w:t>
            </w:r>
            <w:r>
              <w:rPr>
                <w:rFonts w:hint="eastAsia" w:ascii="Times New Roman" w:hAnsi="Times New Roman"/>
                <w:sz w:val="21"/>
                <w:szCs w:val="21"/>
              </w:rPr>
              <w:t>排污许可简化管理</w:t>
            </w:r>
            <w:r>
              <w:rPr>
                <w:rFonts w:ascii="Times New Roman" w:hAnsi="Times New Roman"/>
                <w:sz w:val="21"/>
                <w:szCs w:val="21"/>
              </w:rPr>
              <w:t>。</w:t>
            </w:r>
          </w:p>
          <w:p>
            <w:pPr>
              <w:spacing w:line="320" w:lineRule="exact"/>
              <w:rPr>
                <w:rFonts w:ascii="Times New Roman" w:hAnsi="Times New Roman"/>
                <w:sz w:val="21"/>
                <w:szCs w:val="21"/>
              </w:rPr>
            </w:pPr>
            <w:r>
              <w:rPr>
                <w:rFonts w:ascii="Times New Roman" w:hAnsi="Times New Roman"/>
                <w:sz w:val="21"/>
                <w:szCs w:val="21"/>
              </w:rPr>
              <w:t>2、依照《建设项目环境保护管理条例》《建设项目竣工环境保护验收暂行办法》的相关要求完成竣工环保验收。</w:t>
            </w:r>
          </w:p>
          <w:p>
            <w:pPr>
              <w:pStyle w:val="2"/>
            </w:pPr>
          </w:p>
          <w:p>
            <w:pPr>
              <w:pStyle w:val="2"/>
            </w:pPr>
          </w:p>
          <w:p>
            <w:pPr>
              <w:pStyle w:val="34"/>
              <w:spacing w:before="0" w:beforeLines="0" w:line="320" w:lineRule="exact"/>
            </w:pPr>
            <w:bookmarkStart w:id="19" w:name="_Ref98249138"/>
            <w:r>
              <w:rPr>
                <w:rFonts w:ascii="Times New Roman" w:hAnsi="Times New Roman"/>
                <w:szCs w:val="24"/>
              </w:rPr>
              <w:t>表5.1-1  项目环境保护竣工验收一览表</w:t>
            </w:r>
            <w:bookmarkEnd w:id="19"/>
          </w:p>
          <w:tbl>
            <w:tblPr>
              <w:tblStyle w:val="25"/>
              <w:tblW w:w="70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643"/>
              <w:gridCol w:w="3353"/>
              <w:gridCol w:w="30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vMerge w:val="restart"/>
                  <w:vAlign w:val="center"/>
                </w:tcPr>
                <w:p>
                  <w:pPr>
                    <w:spacing w:line="320" w:lineRule="exact"/>
                    <w:jc w:val="center"/>
                    <w:rPr>
                      <w:rFonts w:eastAsiaTheme="minorEastAsia"/>
                      <w:sz w:val="21"/>
                      <w:szCs w:val="21"/>
                    </w:rPr>
                  </w:pPr>
                  <w:r>
                    <w:rPr>
                      <w:rFonts w:eastAsiaTheme="minorEastAsia"/>
                      <w:sz w:val="21"/>
                      <w:szCs w:val="21"/>
                    </w:rPr>
                    <w:t>项目</w:t>
                  </w:r>
                </w:p>
              </w:tc>
              <w:tc>
                <w:tcPr>
                  <w:tcW w:w="6408" w:type="dxa"/>
                  <w:gridSpan w:val="2"/>
                  <w:tcMar>
                    <w:top w:w="0" w:type="dxa"/>
                    <w:left w:w="85" w:type="dxa"/>
                    <w:bottom w:w="0" w:type="dxa"/>
                    <w:right w:w="85" w:type="dxa"/>
                  </w:tcMar>
                  <w:vAlign w:val="center"/>
                </w:tcPr>
                <w:p>
                  <w:pPr>
                    <w:spacing w:line="320" w:lineRule="exact"/>
                    <w:jc w:val="center"/>
                    <w:rPr>
                      <w:rFonts w:eastAsiaTheme="minorEastAsia"/>
                      <w:sz w:val="21"/>
                      <w:szCs w:val="21"/>
                    </w:rPr>
                  </w:pPr>
                  <w:r>
                    <w:rPr>
                      <w:rFonts w:eastAsiaTheme="minorEastAsia"/>
                      <w:sz w:val="21"/>
                      <w:szCs w:val="21"/>
                    </w:rPr>
                    <w:t>验收内容及要求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vMerge w:val="continue"/>
                  <w:vAlign w:val="center"/>
                </w:tcPr>
                <w:p>
                  <w:pPr>
                    <w:spacing w:line="320" w:lineRule="exact"/>
                    <w:jc w:val="center"/>
                    <w:rPr>
                      <w:rFonts w:eastAsiaTheme="minorEastAsia"/>
                      <w:sz w:val="21"/>
                      <w:szCs w:val="21"/>
                    </w:rPr>
                  </w:pPr>
                </w:p>
              </w:tc>
              <w:tc>
                <w:tcPr>
                  <w:tcW w:w="3353" w:type="dxa"/>
                  <w:tcMar>
                    <w:top w:w="0" w:type="dxa"/>
                    <w:left w:w="85" w:type="dxa"/>
                    <w:bottom w:w="0" w:type="dxa"/>
                    <w:right w:w="85" w:type="dxa"/>
                  </w:tcMar>
                  <w:vAlign w:val="center"/>
                </w:tcPr>
                <w:p>
                  <w:pPr>
                    <w:spacing w:line="320" w:lineRule="exact"/>
                    <w:jc w:val="center"/>
                    <w:rPr>
                      <w:rFonts w:eastAsiaTheme="minorEastAsia"/>
                      <w:sz w:val="21"/>
                      <w:szCs w:val="21"/>
                    </w:rPr>
                  </w:pPr>
                  <w:r>
                    <w:rPr>
                      <w:rFonts w:eastAsiaTheme="minorEastAsia"/>
                      <w:sz w:val="21"/>
                      <w:szCs w:val="21"/>
                    </w:rPr>
                    <w:t>环保措施落实情况</w:t>
                  </w:r>
                </w:p>
              </w:tc>
              <w:tc>
                <w:tcPr>
                  <w:tcW w:w="3055" w:type="dxa"/>
                  <w:vAlign w:val="center"/>
                </w:tcPr>
                <w:p>
                  <w:pPr>
                    <w:spacing w:line="320" w:lineRule="exact"/>
                    <w:jc w:val="center"/>
                    <w:rPr>
                      <w:rFonts w:eastAsiaTheme="minorEastAsia"/>
                      <w:sz w:val="21"/>
                      <w:szCs w:val="21"/>
                    </w:rPr>
                  </w:pPr>
                  <w:r>
                    <w:rPr>
                      <w:rFonts w:eastAsiaTheme="minorEastAsia"/>
                      <w:sz w:val="21"/>
                      <w:szCs w:val="21"/>
                    </w:rPr>
                    <w:t>验收监测内容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54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废气治理措施</w:t>
                  </w:r>
                </w:p>
              </w:tc>
              <w:tc>
                <w:tcPr>
                  <w:tcW w:w="3353" w:type="dxa"/>
                  <w:tcMar>
                    <w:top w:w="0" w:type="dxa"/>
                    <w:left w:w="85" w:type="dxa"/>
                    <w:bottom w:w="0" w:type="dxa"/>
                    <w:right w:w="85" w:type="dxa"/>
                  </w:tcMar>
                  <w:vAlign w:val="center"/>
                </w:tcPr>
                <w:p>
                  <w:pPr>
                    <w:tabs>
                      <w:tab w:val="left" w:pos="213"/>
                      <w:tab w:val="left" w:pos="9180"/>
                    </w:tabs>
                    <w:autoSpaceDE w:val="0"/>
                    <w:autoSpaceDN w:val="0"/>
                    <w:rPr>
                      <w:rFonts w:eastAsiaTheme="minorEastAsia"/>
                      <w:sz w:val="21"/>
                      <w:szCs w:val="21"/>
                    </w:rPr>
                  </w:pPr>
                  <w:bookmarkStart w:id="20" w:name="_Hlk98262956"/>
                  <w:r>
                    <w:rPr>
                      <w:rFonts w:hint="eastAsia" w:eastAsiaTheme="minorEastAsia"/>
                      <w:sz w:val="21"/>
                      <w:szCs w:val="21"/>
                    </w:rPr>
                    <w:t>检查是否采取以下无组织粉尘控制措施：</w:t>
                  </w:r>
                </w:p>
                <w:p>
                  <w:pPr>
                    <w:tabs>
                      <w:tab w:val="left" w:pos="213"/>
                      <w:tab w:val="left" w:pos="9180"/>
                    </w:tabs>
                    <w:autoSpaceDE w:val="0"/>
                    <w:autoSpaceDN w:val="0"/>
                    <w:rPr>
                      <w:rFonts w:eastAsiaTheme="minorEastAsia"/>
                      <w:sz w:val="21"/>
                      <w:szCs w:val="21"/>
                    </w:rPr>
                  </w:pPr>
                  <w:r>
                    <w:rPr>
                      <w:rFonts w:hint="eastAsia" w:eastAsiaTheme="minorEastAsia"/>
                      <w:sz w:val="21"/>
                      <w:szCs w:val="21"/>
                    </w:rPr>
                    <w:t>①检查堆场是否设置顶棚，是否采取半围挡措施；</w:t>
                  </w:r>
                </w:p>
                <w:p>
                  <w:pPr>
                    <w:tabs>
                      <w:tab w:val="left" w:pos="213"/>
                      <w:tab w:val="left" w:pos="9180"/>
                    </w:tabs>
                    <w:autoSpaceDE w:val="0"/>
                    <w:autoSpaceDN w:val="0"/>
                    <w:rPr>
                      <w:rFonts w:eastAsiaTheme="minorEastAsia"/>
                      <w:sz w:val="21"/>
                      <w:szCs w:val="21"/>
                    </w:rPr>
                  </w:pPr>
                  <w:r>
                    <w:rPr>
                      <w:rFonts w:hint="eastAsia" w:eastAsiaTheme="minorEastAsia"/>
                      <w:sz w:val="21"/>
                      <w:szCs w:val="21"/>
                    </w:rPr>
                    <w:t>②检查原料堆场是否</w:t>
                  </w:r>
                  <w:bookmarkEnd w:id="20"/>
                  <w:r>
                    <w:rPr>
                      <w:rFonts w:hint="eastAsia" w:eastAsiaTheme="minorEastAsia"/>
                      <w:sz w:val="21"/>
                      <w:szCs w:val="21"/>
                    </w:rPr>
                    <w:t>喷雾降尘；</w:t>
                  </w:r>
                </w:p>
                <w:p>
                  <w:pPr>
                    <w:tabs>
                      <w:tab w:val="left" w:pos="213"/>
                      <w:tab w:val="left" w:pos="9180"/>
                    </w:tabs>
                    <w:autoSpaceDE w:val="0"/>
                    <w:autoSpaceDN w:val="0"/>
                    <w:rPr>
                      <w:rFonts w:eastAsiaTheme="minorEastAsia"/>
                      <w:sz w:val="21"/>
                      <w:szCs w:val="21"/>
                    </w:rPr>
                  </w:pPr>
                  <w:r>
                    <w:rPr>
                      <w:rFonts w:hint="eastAsia" w:eastAsiaTheme="minorEastAsia"/>
                      <w:sz w:val="21"/>
                      <w:szCs w:val="21"/>
                    </w:rPr>
                    <w:t>③检查破碎、筛分等过程是否围挡、是否采取水喷淋抑尘等；</w:t>
                  </w:r>
                </w:p>
                <w:p>
                  <w:pPr>
                    <w:tabs>
                      <w:tab w:val="left" w:pos="213"/>
                      <w:tab w:val="left" w:pos="9180"/>
                    </w:tabs>
                    <w:autoSpaceDE w:val="0"/>
                    <w:autoSpaceDN w:val="0"/>
                  </w:pPr>
                  <w:r>
                    <w:rPr>
                      <w:rFonts w:hint="eastAsia" w:eastAsiaTheme="minorEastAsia"/>
                      <w:sz w:val="21"/>
                      <w:szCs w:val="21"/>
                    </w:rPr>
                    <w:t>④原料卸料洒水抑尘，产品尾渣、装卸过程降低高差。</w:t>
                  </w:r>
                </w:p>
              </w:tc>
              <w:tc>
                <w:tcPr>
                  <w:tcW w:w="3055" w:type="dxa"/>
                  <w:vAlign w:val="center"/>
                </w:tcPr>
                <w:p>
                  <w:pPr>
                    <w:tabs>
                      <w:tab w:val="left" w:pos="213"/>
                      <w:tab w:val="left" w:pos="9180"/>
                    </w:tabs>
                    <w:autoSpaceDE w:val="0"/>
                    <w:autoSpaceDN w:val="0"/>
                    <w:rPr>
                      <w:rFonts w:eastAsiaTheme="minorEastAsia"/>
                      <w:sz w:val="21"/>
                      <w:szCs w:val="21"/>
                    </w:rPr>
                  </w:pPr>
                  <w:r>
                    <w:rPr>
                      <w:rFonts w:eastAsiaTheme="minorEastAsia"/>
                      <w:sz w:val="21"/>
                      <w:szCs w:val="21"/>
                    </w:rPr>
                    <w:t>厂界无组织排放废气：</w:t>
                  </w:r>
                </w:p>
                <w:p>
                  <w:pPr>
                    <w:tabs>
                      <w:tab w:val="left" w:pos="213"/>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监测项目：颗粒物；</w:t>
                  </w:r>
                </w:p>
                <w:p>
                  <w:pPr>
                    <w:tabs>
                      <w:tab w:val="left" w:pos="213"/>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执行标准：《大气污染物综合排放标准》（GB16297-1996）表2标准</w:t>
                  </w:r>
                </w:p>
                <w:p>
                  <w:pPr>
                    <w:tabs>
                      <w:tab w:val="left" w:pos="213"/>
                      <w:tab w:val="left" w:pos="9180"/>
                    </w:tabs>
                    <w:autoSpaceDE w:val="0"/>
                    <w:autoSpaceDN w:val="0"/>
                    <w:rPr>
                      <w:rFonts w:eastAsiaTheme="minorEastAsia"/>
                      <w:sz w:val="21"/>
                      <w:szCs w:val="21"/>
                    </w:rPr>
                  </w:pPr>
                  <w:r>
                    <w:rPr>
                      <w:rFonts w:hint="eastAsia" w:eastAsiaTheme="minorEastAsia"/>
                      <w:sz w:val="21"/>
                      <w:szCs w:val="21"/>
                    </w:rPr>
                    <w:t>③</w:t>
                  </w:r>
                  <w:r>
                    <w:rPr>
                      <w:rFonts w:eastAsiaTheme="minorEastAsia"/>
                      <w:sz w:val="21"/>
                      <w:szCs w:val="21"/>
                    </w:rPr>
                    <w:t>监测位置：</w:t>
                  </w:r>
                  <w:r>
                    <w:rPr>
                      <w:rFonts w:hint="eastAsia" w:eastAsiaTheme="minorEastAsia"/>
                      <w:sz w:val="21"/>
                      <w:szCs w:val="21"/>
                    </w:rPr>
                    <w:t>厂区</w:t>
                  </w:r>
                  <w:r>
                    <w:rPr>
                      <w:rFonts w:eastAsiaTheme="minorEastAsia"/>
                      <w:sz w:val="21"/>
                      <w:szCs w:val="21"/>
                    </w:rPr>
                    <w:t>边界。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09"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废水处理设施</w:t>
                  </w:r>
                </w:p>
              </w:tc>
              <w:tc>
                <w:tcPr>
                  <w:tcW w:w="3353" w:type="dxa"/>
                  <w:tcMar>
                    <w:top w:w="0" w:type="dxa"/>
                    <w:left w:w="85" w:type="dxa"/>
                    <w:bottom w:w="0" w:type="dxa"/>
                    <w:right w:w="85" w:type="dxa"/>
                  </w:tcMar>
                  <w:vAlign w:val="center"/>
                </w:tcPr>
                <w:p>
                  <w:pPr>
                    <w:tabs>
                      <w:tab w:val="left" w:pos="247"/>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核查项目生产废水（</w:t>
                  </w:r>
                  <w:r>
                    <w:rPr>
                      <w:rFonts w:hint="eastAsia" w:eastAsiaTheme="minorEastAsia"/>
                      <w:sz w:val="21"/>
                      <w:szCs w:val="21"/>
                    </w:rPr>
                    <w:t>包括初期雨水</w:t>
                  </w:r>
                  <w:r>
                    <w:rPr>
                      <w:rFonts w:eastAsiaTheme="minorEastAsia"/>
                      <w:sz w:val="21"/>
                      <w:szCs w:val="21"/>
                    </w:rPr>
                    <w:t>）是否</w:t>
                  </w:r>
                  <w:r>
                    <w:rPr>
                      <w:rFonts w:hint="eastAsia" w:eastAsiaTheme="minorEastAsia"/>
                      <w:sz w:val="21"/>
                      <w:szCs w:val="21"/>
                    </w:rPr>
                    <w:t>收集</w:t>
                  </w:r>
                  <w:r>
                    <w:rPr>
                      <w:rFonts w:eastAsiaTheme="minorEastAsia"/>
                      <w:sz w:val="21"/>
                      <w:szCs w:val="21"/>
                    </w:rPr>
                    <w:t>处理后全部回用</w:t>
                  </w:r>
                  <w:r>
                    <w:rPr>
                      <w:rFonts w:hint="eastAsia" w:eastAsiaTheme="minorEastAsia"/>
                      <w:sz w:val="21"/>
                      <w:szCs w:val="21"/>
                    </w:rPr>
                    <w:t>；</w:t>
                  </w:r>
                </w:p>
                <w:p>
                  <w:pPr>
                    <w:tabs>
                      <w:tab w:val="left" w:pos="247"/>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核查配套回用管网及设施的建设情况。</w:t>
                  </w:r>
                </w:p>
              </w:tc>
              <w:tc>
                <w:tcPr>
                  <w:tcW w:w="3055" w:type="dxa"/>
                  <w:vAlign w:val="center"/>
                </w:tcPr>
                <w:p>
                  <w:pPr>
                    <w:pStyle w:val="5"/>
                    <w:spacing w:line="240" w:lineRule="auto"/>
                    <w:ind w:firstLine="0" w:firstLineChars="0"/>
                    <w:jc w:val="left"/>
                    <w:rPr>
                      <w:sz w:val="21"/>
                      <w:szCs w:val="21"/>
                      <w:lang w:val="en-US"/>
                    </w:rPr>
                  </w:pPr>
                  <w:r>
                    <w:rPr>
                      <w:rFonts w:hint="eastAsia"/>
                      <w:sz w:val="21"/>
                      <w:szCs w:val="21"/>
                      <w:lang w:val="en-US"/>
                    </w:rPr>
                    <w:t>1座25m</w:t>
                  </w:r>
                  <w:r>
                    <w:rPr>
                      <w:rFonts w:hint="eastAsia"/>
                      <w:sz w:val="21"/>
                      <w:szCs w:val="21"/>
                      <w:vertAlign w:val="superscript"/>
                      <w:lang w:val="en-US"/>
                    </w:rPr>
                    <w:t>3</w:t>
                  </w:r>
                  <w:r>
                    <w:rPr>
                      <w:rFonts w:hint="eastAsia"/>
                      <w:sz w:val="21"/>
                      <w:szCs w:val="21"/>
                      <w:lang w:val="en-US"/>
                    </w:rPr>
                    <w:t>隔油池、2座50m</w:t>
                  </w:r>
                  <w:r>
                    <w:rPr>
                      <w:rFonts w:hint="eastAsia"/>
                      <w:sz w:val="21"/>
                      <w:szCs w:val="21"/>
                      <w:vertAlign w:val="superscript"/>
                      <w:lang w:val="en-US"/>
                    </w:rPr>
                    <w:t>3</w:t>
                  </w:r>
                  <w:r>
                    <w:rPr>
                      <w:rFonts w:hint="eastAsia"/>
                      <w:sz w:val="21"/>
                      <w:szCs w:val="21"/>
                      <w:lang w:val="en-US"/>
                    </w:rPr>
                    <w:t>沉淀池；</w:t>
                  </w:r>
                </w:p>
                <w:p>
                  <w:pPr>
                    <w:pStyle w:val="5"/>
                    <w:spacing w:line="240" w:lineRule="auto"/>
                    <w:ind w:firstLine="0" w:firstLineChars="0"/>
                    <w:jc w:val="left"/>
                    <w:rPr>
                      <w:sz w:val="21"/>
                      <w:szCs w:val="21"/>
                      <w:lang w:val="en-US"/>
                    </w:rPr>
                  </w:pPr>
                  <w:r>
                    <w:rPr>
                      <w:rFonts w:hint="eastAsia"/>
                      <w:sz w:val="21"/>
                      <w:szCs w:val="21"/>
                      <w:lang w:val="en-US"/>
                    </w:rPr>
                    <w:t>初期雨水沉淀池容积为9m</w:t>
                  </w:r>
                  <w:r>
                    <w:rPr>
                      <w:rFonts w:hint="eastAsia"/>
                      <w:sz w:val="21"/>
                      <w:szCs w:val="21"/>
                      <w:vertAlign w:val="superscript"/>
                      <w:lang w:val="en-US"/>
                    </w:rPr>
                    <w:t>3</w:t>
                  </w:r>
                  <w:r>
                    <w:rPr>
                      <w:rFonts w:hint="eastAsia"/>
                      <w:sz w:val="21"/>
                      <w:szCs w:val="21"/>
                      <w:lang w:val="en-US"/>
                    </w:rPr>
                    <w:t>，设置雨水切换阀，生产废水零排放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噪声</w:t>
                  </w:r>
                </w:p>
              </w:tc>
              <w:tc>
                <w:tcPr>
                  <w:tcW w:w="3353" w:type="dxa"/>
                  <w:tcMar>
                    <w:top w:w="0" w:type="dxa"/>
                    <w:left w:w="85" w:type="dxa"/>
                    <w:bottom w:w="0" w:type="dxa"/>
                    <w:right w:w="85" w:type="dxa"/>
                  </w:tcMar>
                  <w:vAlign w:val="center"/>
                </w:tcPr>
                <w:p>
                  <w:pPr>
                    <w:pStyle w:val="66"/>
                    <w:tabs>
                      <w:tab w:val="left" w:pos="251"/>
                    </w:tabs>
                    <w:autoSpaceDE w:val="0"/>
                    <w:autoSpaceDN w:val="0"/>
                    <w:ind w:firstLine="0" w:firstLineChars="0"/>
                    <w:rPr>
                      <w:rFonts w:eastAsiaTheme="minorEastAsia"/>
                      <w:sz w:val="21"/>
                      <w:szCs w:val="21"/>
                    </w:rPr>
                  </w:pPr>
                  <w:r>
                    <w:rPr>
                      <w:rFonts w:eastAsiaTheme="minorEastAsia"/>
                      <w:sz w:val="21"/>
                      <w:szCs w:val="21"/>
                    </w:rPr>
                    <w:t>选用低噪声设备</w:t>
                  </w:r>
                  <w:r>
                    <w:rPr>
                      <w:rFonts w:hint="eastAsia" w:eastAsiaTheme="minorEastAsia"/>
                      <w:sz w:val="21"/>
                      <w:szCs w:val="21"/>
                    </w:rPr>
                    <w:t>、设置减震垫等</w:t>
                  </w:r>
                  <w:r>
                    <w:rPr>
                      <w:rFonts w:eastAsiaTheme="minorEastAsia"/>
                      <w:sz w:val="21"/>
                      <w:szCs w:val="21"/>
                    </w:rPr>
                    <w:t>。</w:t>
                  </w:r>
                </w:p>
              </w:tc>
              <w:tc>
                <w:tcPr>
                  <w:tcW w:w="3055" w:type="dxa"/>
                  <w:vAlign w:val="center"/>
                </w:tcPr>
                <w:p>
                  <w:pPr>
                    <w:tabs>
                      <w:tab w:val="left" w:pos="9180"/>
                    </w:tabs>
                    <w:autoSpaceDE w:val="0"/>
                    <w:autoSpaceDN w:val="0"/>
                    <w:rPr>
                      <w:rFonts w:eastAsiaTheme="minorEastAsia"/>
                      <w:sz w:val="21"/>
                      <w:szCs w:val="21"/>
                    </w:rPr>
                  </w:pPr>
                  <w:r>
                    <w:rPr>
                      <w:rFonts w:eastAsiaTheme="minorEastAsia"/>
                      <w:sz w:val="21"/>
                      <w:szCs w:val="21"/>
                    </w:rPr>
                    <w:t>厂界噪声验收监测：</w:t>
                  </w:r>
                </w:p>
                <w:p>
                  <w:pPr>
                    <w:tabs>
                      <w:tab w:val="left" w:pos="226"/>
                      <w:tab w:val="left" w:pos="9180"/>
                    </w:tabs>
                    <w:autoSpaceDE w:val="0"/>
                    <w:autoSpaceDN w:val="0"/>
                    <w:rPr>
                      <w:rFonts w:eastAsiaTheme="minorEastAsia"/>
                      <w:sz w:val="21"/>
                      <w:szCs w:val="21"/>
                    </w:rPr>
                  </w:pPr>
                  <w:r>
                    <w:rPr>
                      <w:rFonts w:hint="eastAsia" w:eastAsiaTheme="minorEastAsia"/>
                      <w:sz w:val="21"/>
                      <w:szCs w:val="21"/>
                    </w:rPr>
                    <w:t>①</w:t>
                  </w:r>
                  <w:r>
                    <w:rPr>
                      <w:rFonts w:eastAsiaTheme="minorEastAsia"/>
                      <w:sz w:val="21"/>
                      <w:szCs w:val="21"/>
                    </w:rPr>
                    <w:t>监测内容：等效连续A声级；</w:t>
                  </w:r>
                </w:p>
                <w:p>
                  <w:pPr>
                    <w:tabs>
                      <w:tab w:val="left" w:pos="226"/>
                      <w:tab w:val="left" w:pos="9180"/>
                    </w:tabs>
                    <w:autoSpaceDE w:val="0"/>
                    <w:autoSpaceDN w:val="0"/>
                    <w:rPr>
                      <w:rFonts w:eastAsiaTheme="minorEastAsia"/>
                      <w:sz w:val="21"/>
                      <w:szCs w:val="21"/>
                    </w:rPr>
                  </w:pPr>
                  <w:r>
                    <w:rPr>
                      <w:rFonts w:hint="eastAsia" w:eastAsiaTheme="minorEastAsia"/>
                      <w:sz w:val="21"/>
                      <w:szCs w:val="21"/>
                    </w:rPr>
                    <w:t>②</w:t>
                  </w:r>
                  <w:r>
                    <w:rPr>
                      <w:rFonts w:eastAsiaTheme="minorEastAsia"/>
                      <w:sz w:val="21"/>
                      <w:szCs w:val="21"/>
                    </w:rPr>
                    <w:t>执行标准：《工业企业厂界环境噪声排放标准》（GB12348-2008）</w:t>
                  </w:r>
                  <w:r>
                    <w:rPr>
                      <w:rFonts w:hint="eastAsia" w:eastAsiaTheme="minorEastAsia"/>
                      <w:sz w:val="21"/>
                      <w:szCs w:val="21"/>
                    </w:rPr>
                    <w:t>2类</w:t>
                  </w:r>
                  <w:r>
                    <w:rPr>
                      <w:rFonts w:eastAsiaTheme="minorEastAsia"/>
                      <w:sz w:val="21"/>
                      <w:szCs w:val="21"/>
                    </w:rPr>
                    <w:t>标准。</w:t>
                  </w:r>
                </w:p>
                <w:p>
                  <w:pPr>
                    <w:tabs>
                      <w:tab w:val="left" w:pos="226"/>
                      <w:tab w:val="left" w:pos="9180"/>
                    </w:tabs>
                    <w:autoSpaceDE w:val="0"/>
                    <w:autoSpaceDN w:val="0"/>
                    <w:rPr>
                      <w:rFonts w:eastAsiaTheme="minorEastAsia"/>
                      <w:sz w:val="21"/>
                      <w:szCs w:val="21"/>
                    </w:rPr>
                  </w:pPr>
                  <w:r>
                    <w:rPr>
                      <w:rFonts w:hint="eastAsia" w:eastAsiaTheme="minorEastAsia"/>
                      <w:sz w:val="21"/>
                      <w:szCs w:val="21"/>
                    </w:rPr>
                    <w:t>③</w:t>
                  </w:r>
                  <w:r>
                    <w:rPr>
                      <w:rFonts w:eastAsiaTheme="minorEastAsia"/>
                      <w:sz w:val="21"/>
                      <w:szCs w:val="21"/>
                    </w:rPr>
                    <w:t>监测位置：</w:t>
                  </w:r>
                  <w:r>
                    <w:rPr>
                      <w:rFonts w:hint="eastAsia" w:eastAsiaTheme="minorEastAsia"/>
                      <w:sz w:val="21"/>
                      <w:szCs w:val="21"/>
                    </w:rPr>
                    <w:t>厂</w:t>
                  </w:r>
                  <w:r>
                    <w:rPr>
                      <w:rFonts w:eastAsiaTheme="minorEastAsia"/>
                      <w:sz w:val="21"/>
                      <w:szCs w:val="21"/>
                    </w:rPr>
                    <w:t>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地下水防渗措施</w:t>
                  </w:r>
                </w:p>
              </w:tc>
              <w:tc>
                <w:tcPr>
                  <w:tcW w:w="6408" w:type="dxa"/>
                  <w:gridSpan w:val="2"/>
                  <w:tcMar>
                    <w:top w:w="0" w:type="dxa"/>
                    <w:left w:w="85" w:type="dxa"/>
                    <w:bottom w:w="0" w:type="dxa"/>
                    <w:right w:w="85" w:type="dxa"/>
                  </w:tcMar>
                </w:tcPr>
                <w:p>
                  <w:pPr>
                    <w:pStyle w:val="66"/>
                    <w:tabs>
                      <w:tab w:val="left" w:pos="251"/>
                    </w:tabs>
                    <w:autoSpaceDE w:val="0"/>
                    <w:autoSpaceDN w:val="0"/>
                    <w:ind w:firstLine="0" w:firstLineChars="0"/>
                    <w:rPr>
                      <w:rFonts w:eastAsiaTheme="minorEastAsia"/>
                      <w:sz w:val="21"/>
                      <w:szCs w:val="21"/>
                    </w:rPr>
                  </w:pPr>
                  <w:r>
                    <w:rPr>
                      <w:rFonts w:hint="eastAsia" w:eastAsiaTheme="minorEastAsia"/>
                      <w:sz w:val="21"/>
                      <w:szCs w:val="21"/>
                    </w:rPr>
                    <w:t>根据设计和施工资料，</w:t>
                  </w:r>
                  <w:r>
                    <w:rPr>
                      <w:rFonts w:eastAsiaTheme="minorEastAsia"/>
                      <w:sz w:val="21"/>
                      <w:szCs w:val="21"/>
                    </w:rPr>
                    <w:t>核查</w:t>
                  </w:r>
                  <w:r>
                    <w:rPr>
                      <w:rFonts w:hint="eastAsia" w:eastAsiaTheme="minorEastAsia"/>
                      <w:sz w:val="21"/>
                      <w:szCs w:val="21"/>
                    </w:rPr>
                    <w:t>危废间是否采取“防渗混凝土+环氧树脂”防渗；检查隔油池、沉淀池、回用水池、初期雨水沉淀池等</w:t>
                  </w:r>
                  <w:r>
                    <w:rPr>
                      <w:rFonts w:eastAsiaTheme="minorEastAsia"/>
                      <w:sz w:val="21"/>
                      <w:szCs w:val="21"/>
                    </w:rPr>
                    <w:t>防渗</w:t>
                  </w:r>
                  <w:r>
                    <w:rPr>
                      <w:rFonts w:hint="eastAsia" w:eastAsiaTheme="minorEastAsia"/>
                      <w:sz w:val="21"/>
                      <w:szCs w:val="21"/>
                    </w:rPr>
                    <w:t>措施是否满足要求；检查</w:t>
                  </w:r>
                  <w:r>
                    <w:rPr>
                      <w:rFonts w:eastAsiaTheme="minorEastAsia"/>
                      <w:sz w:val="21"/>
                      <w:szCs w:val="21"/>
                    </w:rPr>
                    <w:t>车间</w:t>
                  </w:r>
                  <w:r>
                    <w:rPr>
                      <w:rFonts w:hint="eastAsia" w:eastAsiaTheme="minorEastAsia"/>
                      <w:sz w:val="21"/>
                      <w:szCs w:val="21"/>
                    </w:rPr>
                    <w:t>是否</w:t>
                  </w:r>
                  <w:r>
                    <w:rPr>
                      <w:rFonts w:eastAsiaTheme="minorEastAsia"/>
                      <w:sz w:val="21"/>
                      <w:szCs w:val="21"/>
                    </w:rPr>
                    <w:t>采用防渗混凝土硬化；污水及回用水运输管道应采用耐腐蚀、耐磨损、防渗等级高的材料。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377"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固体废物</w:t>
                  </w:r>
                  <w:r>
                    <w:rPr>
                      <w:rFonts w:hint="eastAsia" w:eastAsiaTheme="minorEastAsia"/>
                      <w:sz w:val="21"/>
                      <w:szCs w:val="21"/>
                    </w:rPr>
                    <w:t>处</w:t>
                  </w:r>
                  <w:r>
                    <w:rPr>
                      <w:rFonts w:eastAsiaTheme="minorEastAsia"/>
                      <w:sz w:val="21"/>
                      <w:szCs w:val="21"/>
                    </w:rPr>
                    <w:t>置</w:t>
                  </w:r>
                </w:p>
              </w:tc>
              <w:tc>
                <w:tcPr>
                  <w:tcW w:w="6408" w:type="dxa"/>
                  <w:gridSpan w:val="2"/>
                  <w:tcMar>
                    <w:top w:w="0" w:type="dxa"/>
                    <w:left w:w="85" w:type="dxa"/>
                    <w:bottom w:w="0" w:type="dxa"/>
                    <w:right w:w="85" w:type="dxa"/>
                  </w:tcMar>
                </w:tcPr>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1 \* GB3 \* MERGEFORMAT </w:instrText>
                  </w:r>
                  <w:r>
                    <w:rPr>
                      <w:rFonts w:hint="eastAsia" w:eastAsiaTheme="minorEastAsia"/>
                      <w:sz w:val="21"/>
                      <w:szCs w:val="21"/>
                    </w:rPr>
                    <w:fldChar w:fldCharType="separate"/>
                  </w:r>
                  <w:r>
                    <w:rPr>
                      <w:rFonts w:hint="eastAsia" w:eastAsiaTheme="minorEastAsia"/>
                      <w:sz w:val="21"/>
                      <w:szCs w:val="21"/>
                    </w:rPr>
                    <w:t>①</w:t>
                  </w:r>
                  <w:r>
                    <w:rPr>
                      <w:rFonts w:hint="eastAsia" w:eastAsiaTheme="minorEastAsia"/>
                      <w:sz w:val="21"/>
                      <w:szCs w:val="21"/>
                    </w:rPr>
                    <w:fldChar w:fldCharType="end"/>
                  </w:r>
                  <w:r>
                    <w:rPr>
                      <w:rFonts w:hint="eastAsia" w:eastAsiaTheme="minorEastAsia"/>
                      <w:sz w:val="21"/>
                      <w:szCs w:val="21"/>
                    </w:rPr>
                    <w:t>核查一般固废贮存过程是否满足相应防渗漏、防雨淋、防扬尘等环境保护要求；</w:t>
                  </w:r>
                </w:p>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2 \* GB3 \* MERGEFORMAT </w:instrText>
                  </w:r>
                  <w:r>
                    <w:rPr>
                      <w:rFonts w:hint="eastAsia" w:eastAsiaTheme="minorEastAsia"/>
                      <w:sz w:val="21"/>
                      <w:szCs w:val="21"/>
                    </w:rPr>
                    <w:fldChar w:fldCharType="separate"/>
                  </w:r>
                  <w:r>
                    <w:rPr>
                      <w:rFonts w:hint="eastAsia" w:eastAsiaTheme="minorEastAsia"/>
                      <w:sz w:val="21"/>
                      <w:szCs w:val="21"/>
                    </w:rPr>
                    <w:t>②</w:t>
                  </w:r>
                  <w:r>
                    <w:rPr>
                      <w:rFonts w:hint="eastAsia" w:eastAsiaTheme="minorEastAsia"/>
                      <w:sz w:val="21"/>
                      <w:szCs w:val="21"/>
                    </w:rPr>
                    <w:fldChar w:fldCharType="end"/>
                  </w:r>
                  <w:r>
                    <w:rPr>
                      <w:rFonts w:hint="eastAsia" w:eastAsiaTheme="minorEastAsia"/>
                      <w:sz w:val="21"/>
                      <w:szCs w:val="21"/>
                    </w:rPr>
                    <w:t>核查是否建立固体废物的存储、处置、管理计划和台账等环境管理措施及制度；</w:t>
                  </w:r>
                </w:p>
                <w:p>
                  <w:pPr>
                    <w:tabs>
                      <w:tab w:val="left" w:pos="247"/>
                      <w:tab w:val="left" w:pos="9180"/>
                    </w:tabs>
                    <w:autoSpaceDE w:val="0"/>
                    <w:autoSpaceDN w:val="0"/>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 3 \* GB3 \* MERGEFORMAT </w:instrText>
                  </w:r>
                  <w:r>
                    <w:rPr>
                      <w:rFonts w:hint="eastAsia" w:eastAsiaTheme="minorEastAsia"/>
                      <w:sz w:val="21"/>
                      <w:szCs w:val="21"/>
                    </w:rPr>
                    <w:fldChar w:fldCharType="separate"/>
                  </w:r>
                  <w:r>
                    <w:rPr>
                      <w:rFonts w:hint="eastAsia" w:eastAsiaTheme="minorEastAsia"/>
                      <w:sz w:val="21"/>
                      <w:szCs w:val="21"/>
                    </w:rPr>
                    <w:t>③</w:t>
                  </w:r>
                  <w:r>
                    <w:rPr>
                      <w:rFonts w:hint="eastAsia" w:eastAsiaTheme="minorEastAsia"/>
                      <w:sz w:val="21"/>
                      <w:szCs w:val="21"/>
                    </w:rPr>
                    <w:fldChar w:fldCharType="end"/>
                  </w:r>
                  <w:r>
                    <w:rPr>
                      <w:rFonts w:hint="eastAsia" w:eastAsiaTheme="minorEastAsia"/>
                      <w:sz w:val="21"/>
                      <w:szCs w:val="21"/>
                    </w:rPr>
                    <w:t>落实固体废物处置措施。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610" w:hRule="atLeast"/>
                <w:jc w:val="center"/>
              </w:trPr>
              <w:tc>
                <w:tcPr>
                  <w:tcW w:w="643" w:type="dxa"/>
                  <w:tcMar>
                    <w:top w:w="0" w:type="dxa"/>
                    <w:left w:w="85" w:type="dxa"/>
                    <w:bottom w:w="0" w:type="dxa"/>
                    <w:right w:w="85" w:type="dxa"/>
                  </w:tcMar>
                  <w:vAlign w:val="center"/>
                </w:tcPr>
                <w:p>
                  <w:pPr>
                    <w:jc w:val="center"/>
                    <w:rPr>
                      <w:rFonts w:eastAsiaTheme="minorEastAsia"/>
                      <w:sz w:val="21"/>
                      <w:szCs w:val="21"/>
                    </w:rPr>
                  </w:pPr>
                  <w:r>
                    <w:rPr>
                      <w:rFonts w:eastAsiaTheme="minorEastAsia"/>
                      <w:sz w:val="21"/>
                      <w:szCs w:val="21"/>
                    </w:rPr>
                    <w:t>环境风险</w:t>
                  </w:r>
                </w:p>
              </w:tc>
              <w:tc>
                <w:tcPr>
                  <w:tcW w:w="6408" w:type="dxa"/>
                  <w:gridSpan w:val="2"/>
                  <w:tcMar>
                    <w:top w:w="0" w:type="dxa"/>
                    <w:left w:w="85" w:type="dxa"/>
                    <w:bottom w:w="0" w:type="dxa"/>
                    <w:right w:w="85" w:type="dxa"/>
                  </w:tcMar>
                  <w:vAlign w:val="center"/>
                </w:tcPr>
                <w:p>
                  <w:pPr>
                    <w:adjustRightInd w:val="0"/>
                    <w:snapToGrid w:val="0"/>
                    <w:jc w:val="left"/>
                    <w:rPr>
                      <w:rFonts w:eastAsiaTheme="minorEastAsia"/>
                      <w:sz w:val="21"/>
                      <w:szCs w:val="21"/>
                    </w:rPr>
                  </w:pPr>
                  <w:r>
                    <w:rPr>
                      <w:rFonts w:eastAsiaTheme="minorEastAsia"/>
                      <w:sz w:val="21"/>
                      <w:szCs w:val="21"/>
                    </w:rPr>
                    <w:t>核查厂内是否采取以下风险防范措施：</w:t>
                  </w:r>
                </w:p>
                <w:p>
                  <w:pPr>
                    <w:adjustRightInd w:val="0"/>
                    <w:snapToGrid w:val="0"/>
                    <w:jc w:val="left"/>
                    <w:rPr>
                      <w:rFonts w:ascii="Times New Roman" w:hAnsi="Times New Roman"/>
                      <w:sz w:val="21"/>
                      <w:szCs w:val="21"/>
                    </w:rPr>
                  </w:pPr>
                  <w:r>
                    <w:rPr>
                      <w:rFonts w:hint="eastAsia" w:eastAsiaTheme="minorEastAsia"/>
                      <w:sz w:val="21"/>
                      <w:szCs w:val="21"/>
                    </w:rPr>
                    <w:t>①</w:t>
                  </w:r>
                  <w:r>
                    <w:rPr>
                      <w:rFonts w:hint="eastAsia" w:ascii="Times New Roman" w:hAnsi="Times New Roman"/>
                      <w:sz w:val="21"/>
                      <w:szCs w:val="21"/>
                    </w:rPr>
                    <w:t>设置一个占地面积为15m</w:t>
                  </w:r>
                  <w:r>
                    <w:rPr>
                      <w:rFonts w:hint="eastAsia" w:ascii="Times New Roman" w:hAnsi="Times New Roman"/>
                      <w:sz w:val="21"/>
                      <w:szCs w:val="21"/>
                      <w:vertAlign w:val="superscript"/>
                    </w:rPr>
                    <w:t>2</w:t>
                  </w:r>
                  <w:r>
                    <w:rPr>
                      <w:rFonts w:hint="eastAsia" w:ascii="Times New Roman" w:hAnsi="Times New Roman"/>
                      <w:sz w:val="21"/>
                      <w:szCs w:val="21"/>
                    </w:rPr>
                    <w:t>的危废暂存间，采取“防腐防渗漆+环氧树脂地坪漆”进行防渗，门口设置围坎；</w:t>
                  </w:r>
                </w:p>
                <w:p>
                  <w:pPr>
                    <w:pStyle w:val="66"/>
                    <w:tabs>
                      <w:tab w:val="left" w:pos="251"/>
                    </w:tabs>
                    <w:autoSpaceDE w:val="0"/>
                    <w:autoSpaceDN w:val="0"/>
                    <w:ind w:firstLine="0" w:firstLineChars="0"/>
                    <w:rPr>
                      <w:rFonts w:ascii="Times New Roman" w:hAnsi="Times New Roman"/>
                      <w:sz w:val="21"/>
                      <w:szCs w:val="21"/>
                    </w:rPr>
                  </w:pPr>
                  <w:r>
                    <w:rPr>
                      <w:rFonts w:hint="eastAsia" w:ascii="Times New Roman" w:hAnsi="Times New Roman"/>
                      <w:sz w:val="21"/>
                      <w:szCs w:val="21"/>
                    </w:rPr>
                    <w:t>②厂区东侧地势最低处设置容积约为9m</w:t>
                  </w:r>
                  <w:r>
                    <w:rPr>
                      <w:rFonts w:hint="eastAsia" w:ascii="Times New Roman" w:hAnsi="Times New Roman"/>
                      <w:sz w:val="21"/>
                      <w:szCs w:val="21"/>
                      <w:vertAlign w:val="superscript"/>
                    </w:rPr>
                    <w:t>3</w:t>
                  </w:r>
                  <w:r>
                    <w:rPr>
                      <w:rFonts w:hint="eastAsia" w:ascii="Times New Roman" w:hAnsi="Times New Roman"/>
                      <w:sz w:val="21"/>
                      <w:szCs w:val="21"/>
                    </w:rPr>
                    <w:t>的初期雨水沉淀池，并设置泵及回用水管</w:t>
                  </w:r>
                </w:p>
                <w:p>
                  <w:pPr>
                    <w:pStyle w:val="66"/>
                    <w:tabs>
                      <w:tab w:val="left" w:pos="251"/>
                    </w:tabs>
                    <w:autoSpaceDE w:val="0"/>
                    <w:autoSpaceDN w:val="0"/>
                    <w:ind w:firstLine="0" w:firstLineChars="0"/>
                    <w:rPr>
                      <w:rFonts w:eastAsiaTheme="minorEastAsia"/>
                      <w:sz w:val="21"/>
                      <w:szCs w:val="21"/>
                    </w:rPr>
                  </w:pPr>
                  <w:r>
                    <w:rPr>
                      <w:rFonts w:hint="eastAsia" w:ascii="Times New Roman" w:hAnsi="Times New Roman"/>
                      <w:sz w:val="21"/>
                      <w:szCs w:val="21"/>
                    </w:rPr>
                    <w:t>③培训并规范工作人员操作，安排专人巡视</w:t>
                  </w:r>
                </w:p>
              </w:tc>
            </w:tr>
          </w:tbl>
          <w:p>
            <w:pPr>
              <w:spacing w:line="320" w:lineRule="exact"/>
              <w:rPr>
                <w:rFonts w:ascii="Times New Roman" w:hAnsi="Times New Roman"/>
                <w:sz w:val="21"/>
                <w:szCs w:val="21"/>
              </w:rPr>
            </w:pPr>
            <w:r>
              <w:rPr>
                <w:rFonts w:hint="eastAsia" w:ascii="Times New Roman" w:hAnsi="Times New Roman"/>
                <w:sz w:val="21"/>
                <w:szCs w:val="21"/>
              </w:rPr>
              <w:t>3</w:t>
            </w:r>
            <w:r>
              <w:rPr>
                <w:rFonts w:ascii="Times New Roman" w:hAnsi="Times New Roman"/>
                <w:sz w:val="21"/>
                <w:szCs w:val="21"/>
              </w:rPr>
              <w:t>、环境管理台账：建设单位应建立环境管理台账制度，落实环境管理台账记录的责任部门和责任人，明确工作职责，包括台账的记录、整理、维护和管理等，并对环境管理台账的真实性、完整性和规范性负责。台账应按照电子化储存和纸质储存两种形式同步管理。台账（包含监测原始记录）保存期限不得少于5年。</w:t>
            </w:r>
          </w:p>
          <w:p>
            <w:pPr>
              <w:pStyle w:val="38"/>
              <w:ind w:firstLine="0" w:firstLineChars="0"/>
              <w:rPr>
                <w:sz w:val="21"/>
                <w:szCs w:val="21"/>
              </w:rPr>
            </w:pPr>
          </w:p>
        </w:tc>
      </w:tr>
    </w:tbl>
    <w:p>
      <w:pPr>
        <w:pStyle w:val="23"/>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eastAsia="黑体"/>
          <w:snapToGrid w:val="0"/>
          <w:sz w:val="30"/>
          <w:szCs w:val="30"/>
        </w:rPr>
        <w:t>六、结论</w:t>
      </w:r>
    </w:p>
    <w:tbl>
      <w:tblPr>
        <w:tblStyle w:val="25"/>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spacing w:before="120" w:beforeLines="50" w:line="360" w:lineRule="auto"/>
              <w:ind w:firstLine="480" w:firstLineChars="200"/>
              <w:rPr>
                <w:rFonts w:ascii="Times New Roman" w:hAnsi="Times New Roman"/>
                <w:kern w:val="0"/>
                <w:szCs w:val="20"/>
              </w:rPr>
            </w:pPr>
            <w:r>
              <w:rPr>
                <w:rFonts w:ascii="Times New Roman" w:hAnsi="Times New Roman"/>
                <w:kern w:val="0"/>
                <w:szCs w:val="20"/>
              </w:rPr>
              <w:t>本项目为</w:t>
            </w:r>
            <w:r>
              <w:rPr>
                <w:rFonts w:hint="eastAsia" w:ascii="Times New Roman" w:hAnsi="Times New Roman" w:eastAsiaTheme="minorEastAsia"/>
                <w:kern w:val="21"/>
              </w:rPr>
              <w:t>大田卓阳达再生资源综合利用建设项目</w:t>
            </w:r>
            <w:r>
              <w:rPr>
                <w:rFonts w:ascii="Times New Roman" w:hAnsi="Times New Roman"/>
                <w:kern w:val="0"/>
                <w:szCs w:val="20"/>
              </w:rPr>
              <w:t>，选址于福建省三明市大田县</w:t>
            </w:r>
            <w:r>
              <w:rPr>
                <w:rFonts w:hint="eastAsia" w:ascii="Times New Roman" w:hAnsi="Times New Roman"/>
                <w:kern w:val="0"/>
                <w:szCs w:val="20"/>
              </w:rPr>
              <w:t>武陵乡大石村</w:t>
            </w:r>
            <w:r>
              <w:rPr>
                <w:rFonts w:ascii="Times New Roman" w:hAnsi="Times New Roman"/>
                <w:kern w:val="0"/>
                <w:szCs w:val="20"/>
              </w:rPr>
              <w:t>，符合</w:t>
            </w:r>
            <w:r>
              <w:rPr>
                <w:rFonts w:hint="eastAsia" w:ascii="Times New Roman" w:hAnsi="Times New Roman"/>
                <w:kern w:val="0"/>
                <w:szCs w:val="20"/>
              </w:rPr>
              <w:t>三明市</w:t>
            </w:r>
            <w:r>
              <w:rPr>
                <w:rFonts w:ascii="Times New Roman" w:hAnsi="Times New Roman"/>
                <w:kern w:val="0"/>
                <w:szCs w:val="20"/>
              </w:rPr>
              <w:t>“三线一单”要求，</w:t>
            </w:r>
            <w:r>
              <w:rPr>
                <w:rFonts w:hint="eastAsia" w:ascii="Times New Roman" w:hAnsi="Times New Roman"/>
                <w:kern w:val="0"/>
                <w:szCs w:val="20"/>
              </w:rPr>
              <w:t>符合《大田县国土空间规划》</w:t>
            </w:r>
            <w:r>
              <w:rPr>
                <w:rFonts w:hint="eastAsia"/>
              </w:rPr>
              <w:t>《大田县武陵乡大石村村庄规划》，</w:t>
            </w:r>
            <w:r>
              <w:rPr>
                <w:rFonts w:ascii="Times New Roman" w:hAnsi="Times New Roman"/>
                <w:kern w:val="0"/>
                <w:szCs w:val="20"/>
              </w:rPr>
              <w:t>与周边环境相容。项目符合国家及地方当前产业政策，在落实本评价提出的各项环保措施后，各项污染物经处理后可实现稳定达标排放；从环境影响角度分析，</w:t>
            </w:r>
            <w:r>
              <w:rPr>
                <w:rFonts w:hint="eastAsia" w:ascii="Times New Roman" w:hAnsi="Times New Roman"/>
                <w:kern w:val="0"/>
                <w:szCs w:val="20"/>
              </w:rPr>
              <w:t>大田卓阳达再生资源综合利用建设项目</w:t>
            </w:r>
            <w:r>
              <w:rPr>
                <w:rFonts w:ascii="Times New Roman" w:hAnsi="Times New Roman"/>
                <w:kern w:val="0"/>
                <w:szCs w:val="20"/>
              </w:rPr>
              <w:t>的选址和建设是可行的。</w:t>
            </w: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firstLine="480"/>
              <w:rPr>
                <w:rFonts w:ascii="Times New Roman" w:hAnsi="Times New Roman"/>
              </w:rPr>
            </w:pPr>
          </w:p>
          <w:p>
            <w:pPr>
              <w:spacing w:line="360" w:lineRule="auto"/>
              <w:ind w:right="-120" w:firstLine="480"/>
              <w:jc w:val="right"/>
              <w:rPr>
                <w:rFonts w:ascii="Times New Roman" w:hAnsi="Times New Roman"/>
              </w:rPr>
            </w:pPr>
            <w:r>
              <w:rPr>
                <w:rFonts w:ascii="Times New Roman" w:hAnsi="Times New Roman"/>
              </w:rPr>
              <w:t>编制单位：泉州市华大环境保护研究院有限公司</w:t>
            </w:r>
          </w:p>
          <w:p>
            <w:pPr>
              <w:wordWrap w:val="0"/>
              <w:spacing w:line="360" w:lineRule="auto"/>
              <w:jc w:val="right"/>
              <w:rPr>
                <w:rFonts w:ascii="Times New Roman" w:hAnsi="Times New Roman"/>
              </w:rPr>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28</w:t>
            </w:r>
            <w:r>
              <w:rPr>
                <w:rFonts w:ascii="Times New Roman" w:hAnsi="Times New Roman"/>
              </w:rPr>
              <w:t xml:space="preserve">日 </w:t>
            </w:r>
          </w:p>
          <w:p>
            <w:pPr>
              <w:pStyle w:val="38"/>
              <w:ind w:firstLine="480"/>
            </w:pPr>
          </w:p>
          <w:p>
            <w:pPr>
              <w:pStyle w:val="38"/>
              <w:ind w:firstLine="480"/>
            </w:pPr>
          </w:p>
          <w:p>
            <w:pPr>
              <w:adjustRightInd w:val="0"/>
              <w:snapToGrid w:val="0"/>
              <w:spacing w:line="440" w:lineRule="exact"/>
              <w:ind w:firstLine="240" w:firstLineChars="100"/>
              <w:rPr>
                <w:rFonts w:ascii="Times New Roman" w:hAnsi="Times New Roman" w:eastAsiaTheme="minorEastAsia"/>
                <w:snapToGrid w:val="0"/>
              </w:rPr>
            </w:pPr>
            <w:r>
              <w:rPr>
                <w:rFonts w:ascii="Times New Roman" w:hAnsi="Times New Roman" w:eastAsiaTheme="minorEastAsia"/>
                <w:snapToGrid w:val="0"/>
              </w:rPr>
              <w:t>主编人员：杨飞龙</w:t>
            </w:r>
          </w:p>
          <w:p>
            <w:pPr>
              <w:adjustRightInd w:val="0"/>
              <w:snapToGrid w:val="0"/>
              <w:spacing w:line="440" w:lineRule="exact"/>
              <w:ind w:firstLine="240" w:firstLineChars="100"/>
              <w:rPr>
                <w:rFonts w:ascii="Times New Roman" w:hAnsi="Times New Roman" w:eastAsiaTheme="minorEastAsia"/>
                <w:snapToGrid w:val="0"/>
              </w:rPr>
            </w:pPr>
            <w:r>
              <w:rPr>
                <w:rFonts w:ascii="Times New Roman" w:hAnsi="Times New Roman" w:eastAsiaTheme="minorEastAsia"/>
                <w:snapToGrid w:val="0"/>
              </w:rPr>
              <w:t>联系方式：13959706160</w:t>
            </w:r>
          </w:p>
          <w:p>
            <w:pPr>
              <w:pStyle w:val="38"/>
              <w:ind w:firstLine="480"/>
            </w:pPr>
          </w:p>
        </w:tc>
      </w:tr>
    </w:tbl>
    <w:p>
      <w:pPr>
        <w:rPr>
          <w:rFonts w:ascii="Times New Roman" w:hAnsi="Times New Roman"/>
        </w:rPr>
        <w:sectPr>
          <w:pgSz w:w="11906" w:h="16838"/>
          <w:pgMar w:top="1701" w:right="1531" w:bottom="1701" w:left="1531" w:header="851" w:footer="851" w:gutter="0"/>
          <w:cols w:space="720" w:num="1"/>
          <w:docGrid w:linePitch="312" w:charSpace="0"/>
        </w:sectPr>
      </w:pPr>
    </w:p>
    <w:p>
      <w:pPr>
        <w:pStyle w:val="23"/>
        <w:adjustRightInd w:val="0"/>
        <w:snapToGrid w:val="0"/>
        <w:spacing w:before="0" w:beforeAutospacing="0" w:after="0" w:afterAutospacing="0" w:line="648" w:lineRule="auto"/>
        <w:ind w:firstLine="640"/>
        <w:outlineLvl w:val="0"/>
        <w:rPr>
          <w:rFonts w:ascii="Times New Roman" w:hAnsi="Times New Roman" w:eastAsia="黑体"/>
          <w:snapToGrid w:val="0"/>
          <w:sz w:val="32"/>
          <w:szCs w:val="32"/>
          <w:highlight w:val="yellow"/>
        </w:rPr>
      </w:pPr>
      <w:r>
        <w:rPr>
          <w:rFonts w:ascii="Times New Roman" w:hAnsi="Times New Roman" w:eastAsia="黑体"/>
          <w:snapToGrid w:val="0"/>
          <w:sz w:val="32"/>
          <w:szCs w:val="32"/>
        </w:rPr>
        <w:t>附表</w:t>
      </w:r>
    </w:p>
    <w:p>
      <w:pPr>
        <w:pStyle w:val="23"/>
        <w:adjustRightInd w:val="0"/>
        <w:snapToGrid w:val="0"/>
        <w:spacing w:before="0" w:beforeAutospacing="0" w:after="0" w:afterAutospacing="0" w:line="552" w:lineRule="auto"/>
        <w:ind w:firstLine="760"/>
        <w:jc w:val="center"/>
        <w:rPr>
          <w:rFonts w:ascii="Times New Roman" w:hAnsi="Times New Roman" w:eastAsia="方正小标宋_GBK"/>
          <w:snapToGrid w:val="0"/>
          <w:sz w:val="38"/>
          <w:szCs w:val="38"/>
        </w:rPr>
      </w:pPr>
      <w:r>
        <w:rPr>
          <w:rFonts w:ascii="Times New Roman" w:hAnsi="Times New Roman" w:eastAsia="方正小标宋_GBK"/>
          <w:snapToGrid w:val="0"/>
          <w:sz w:val="38"/>
          <w:szCs w:val="38"/>
        </w:rPr>
        <w:t>建设项目污染物排放量汇总表</w:t>
      </w:r>
    </w:p>
    <w:tbl>
      <w:tblPr>
        <w:tblStyle w:val="25"/>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950"/>
        <w:gridCol w:w="1576"/>
        <w:gridCol w:w="1276"/>
        <w:gridCol w:w="1701"/>
        <w:gridCol w:w="1559"/>
        <w:gridCol w:w="1650"/>
        <w:gridCol w:w="1664"/>
        <w:gridCol w:w="12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180" w:type="dxa"/>
            <w:tcBorders>
              <w:tl2br w:val="single" w:color="auto" w:sz="4" w:space="0"/>
            </w:tcBorders>
            <w:tcMar>
              <w:left w:w="28" w:type="dxa"/>
              <w:right w:w="28" w:type="dxa"/>
            </w:tcMar>
            <w:vAlign w:val="center"/>
          </w:tcPr>
          <w:p>
            <w:pPr>
              <w:pStyle w:val="49"/>
              <w:spacing w:beforeLines="0" w:afterLines="0" w:line="240" w:lineRule="auto"/>
              <w:jc w:val="right"/>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项目</w:t>
            </w:r>
          </w:p>
          <w:p>
            <w:pPr>
              <w:pStyle w:val="49"/>
              <w:spacing w:beforeLines="0" w:afterLines="0" w:line="240" w:lineRule="auto"/>
              <w:jc w:val="left"/>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分类</w:t>
            </w:r>
          </w:p>
        </w:tc>
        <w:tc>
          <w:tcPr>
            <w:tcW w:w="1950"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污染物名称</w:t>
            </w:r>
          </w:p>
        </w:tc>
        <w:tc>
          <w:tcPr>
            <w:tcW w:w="1576"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现有工程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1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①</w:t>
            </w:r>
            <w:r>
              <w:rPr>
                <w:rFonts w:ascii="Times New Roman" w:hAnsi="Times New Roman" w:eastAsia="黑体"/>
                <w:snapToGrid w:val="0"/>
                <w:spacing w:val="-6"/>
                <w:kern w:val="21"/>
                <w:szCs w:val="21"/>
              </w:rPr>
              <w:fldChar w:fldCharType="end"/>
            </w:r>
          </w:p>
        </w:tc>
        <w:tc>
          <w:tcPr>
            <w:tcW w:w="1276"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现有工程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许可排放量</w:t>
            </w:r>
          </w:p>
          <w:p>
            <w:pPr>
              <w:pStyle w:val="49"/>
              <w:spacing w:beforeLines="0" w:afterLines="0"/>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2 \* GB3 \* MERGEFORMAT </w:instrText>
            </w:r>
            <w:r>
              <w:rPr>
                <w:rFonts w:ascii="Times New Roman" w:hAnsi="Times New Roman" w:eastAsia="黑体"/>
                <w:snapToGrid w:val="0"/>
                <w:spacing w:val="-6"/>
                <w:kern w:val="21"/>
                <w:szCs w:val="21"/>
              </w:rPr>
              <w:fldChar w:fldCharType="separate"/>
            </w:r>
            <w:r>
              <w:rPr>
                <w:rFonts w:hint="eastAsia" w:hAnsi="宋体" w:cs="宋体"/>
                <w:snapToGrid w:val="0"/>
                <w:spacing w:val="-6"/>
                <w:kern w:val="21"/>
                <w:szCs w:val="21"/>
              </w:rPr>
              <w:t>②</w:t>
            </w:r>
            <w:r>
              <w:rPr>
                <w:rFonts w:ascii="Times New Roman" w:hAnsi="Times New Roman" w:eastAsia="黑体"/>
                <w:snapToGrid w:val="0"/>
                <w:spacing w:val="-6"/>
                <w:kern w:val="21"/>
                <w:szCs w:val="21"/>
              </w:rPr>
              <w:fldChar w:fldCharType="end"/>
            </w:r>
          </w:p>
        </w:tc>
        <w:tc>
          <w:tcPr>
            <w:tcW w:w="1701"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在建工程</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3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③</w:t>
            </w:r>
            <w:r>
              <w:rPr>
                <w:rFonts w:ascii="Times New Roman" w:hAnsi="Times New Roman" w:eastAsia="黑体"/>
                <w:snapToGrid w:val="0"/>
                <w:spacing w:val="-6"/>
                <w:kern w:val="21"/>
                <w:szCs w:val="21"/>
              </w:rPr>
              <w:fldChar w:fldCharType="end"/>
            </w:r>
          </w:p>
        </w:tc>
        <w:tc>
          <w:tcPr>
            <w:tcW w:w="1559"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本项目</w:t>
            </w:r>
          </w:p>
          <w:p>
            <w:pPr>
              <w:pStyle w:val="49"/>
              <w:spacing w:beforeLines="0" w:afterLines="0" w:line="240" w:lineRule="auto"/>
              <w:rPr>
                <w:rFonts w:ascii="Times New Roman" w:hAnsi="Times New Roman" w:eastAsia="黑体"/>
                <w:snapToGrid w:val="0"/>
                <w:spacing w:val="-6"/>
                <w:kern w:val="21"/>
                <w:szCs w:val="21"/>
              </w:rPr>
            </w:pPr>
            <w:r>
              <w:rPr>
                <w:rFonts w:ascii="Times New Roman" w:hAnsi="Times New Roman" w:eastAsia="黑体"/>
                <w:snapToGrid w:val="0"/>
                <w:spacing w:val="-6"/>
                <w:kern w:val="21"/>
                <w:szCs w:val="21"/>
              </w:rPr>
              <w:t>排放量（固体废物产生量）</w:t>
            </w:r>
            <w:r>
              <w:rPr>
                <w:rFonts w:ascii="Times New Roman" w:hAnsi="Times New Roman" w:eastAsia="黑体"/>
                <w:snapToGrid w:val="0"/>
                <w:spacing w:val="-6"/>
                <w:kern w:val="21"/>
                <w:szCs w:val="21"/>
              </w:rPr>
              <w:fldChar w:fldCharType="begin"/>
            </w:r>
            <w:r>
              <w:rPr>
                <w:rFonts w:ascii="Times New Roman" w:hAnsi="Times New Roman" w:eastAsia="黑体"/>
                <w:snapToGrid w:val="0"/>
                <w:spacing w:val="-6"/>
                <w:kern w:val="21"/>
                <w:szCs w:val="21"/>
              </w:rPr>
              <w:instrText xml:space="preserve"> = 4 \* GB3 \* MERGEFORMAT </w:instrText>
            </w:r>
            <w:r>
              <w:rPr>
                <w:rFonts w:ascii="Times New Roman" w:hAnsi="Times New Roman" w:eastAsia="黑体"/>
                <w:snapToGrid w:val="0"/>
                <w:spacing w:val="-6"/>
                <w:kern w:val="21"/>
                <w:szCs w:val="21"/>
              </w:rPr>
              <w:fldChar w:fldCharType="separate"/>
            </w:r>
            <w:r>
              <w:rPr>
                <w:rFonts w:hint="eastAsia" w:hAnsi="宋体" w:cs="宋体"/>
                <w:kern w:val="2"/>
                <w:szCs w:val="21"/>
              </w:rPr>
              <w:t>④</w:t>
            </w:r>
            <w:r>
              <w:rPr>
                <w:rFonts w:ascii="Times New Roman" w:hAnsi="Times New Roman" w:eastAsia="黑体"/>
                <w:snapToGrid w:val="0"/>
                <w:spacing w:val="-6"/>
                <w:kern w:val="21"/>
                <w:szCs w:val="21"/>
              </w:rPr>
              <w:fldChar w:fldCharType="end"/>
            </w:r>
          </w:p>
        </w:tc>
        <w:tc>
          <w:tcPr>
            <w:tcW w:w="1650" w:type="dxa"/>
            <w:tcMar>
              <w:left w:w="28" w:type="dxa"/>
              <w:right w:w="28" w:type="dxa"/>
            </w:tcMar>
            <w:vAlign w:val="center"/>
          </w:tcPr>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以新带老削减量</w:t>
            </w:r>
          </w:p>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（新建项目不填）</w:t>
            </w:r>
            <w:r>
              <w:rPr>
                <w:rFonts w:ascii="Times New Roman" w:hAnsi="Times New Roman" w:eastAsia="黑体"/>
                <w:snapToGrid w:val="0"/>
                <w:spacing w:val="-16"/>
                <w:kern w:val="21"/>
                <w:szCs w:val="21"/>
              </w:rPr>
              <w:fldChar w:fldCharType="begin"/>
            </w:r>
            <w:r>
              <w:rPr>
                <w:rFonts w:ascii="Times New Roman" w:hAnsi="Times New Roman" w:eastAsia="黑体"/>
                <w:snapToGrid w:val="0"/>
                <w:spacing w:val="-16"/>
                <w:kern w:val="21"/>
                <w:szCs w:val="21"/>
              </w:rPr>
              <w:instrText xml:space="preserve"> = 5 \* GB3 \* MERGEFORMAT </w:instrText>
            </w:r>
            <w:r>
              <w:rPr>
                <w:rFonts w:ascii="Times New Roman" w:hAnsi="Times New Roman" w:eastAsia="黑体"/>
                <w:snapToGrid w:val="0"/>
                <w:spacing w:val="-16"/>
                <w:kern w:val="21"/>
                <w:szCs w:val="21"/>
              </w:rPr>
              <w:fldChar w:fldCharType="separate"/>
            </w:r>
            <w:r>
              <w:rPr>
                <w:rFonts w:hint="eastAsia" w:hAnsi="宋体" w:cs="宋体"/>
                <w:kern w:val="2"/>
                <w:szCs w:val="21"/>
              </w:rPr>
              <w:t>⑤</w:t>
            </w:r>
            <w:r>
              <w:rPr>
                <w:rFonts w:ascii="Times New Roman" w:hAnsi="Times New Roman" w:eastAsia="黑体"/>
                <w:snapToGrid w:val="0"/>
                <w:spacing w:val="-16"/>
                <w:kern w:val="21"/>
                <w:szCs w:val="21"/>
              </w:rPr>
              <w:fldChar w:fldCharType="end"/>
            </w:r>
          </w:p>
        </w:tc>
        <w:tc>
          <w:tcPr>
            <w:tcW w:w="1664" w:type="dxa"/>
            <w:tcMar>
              <w:left w:w="28" w:type="dxa"/>
              <w:right w:w="28" w:type="dxa"/>
            </w:tcMar>
            <w:vAlign w:val="center"/>
          </w:tcPr>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本项目建成后</w:t>
            </w:r>
          </w:p>
          <w:p>
            <w:pPr>
              <w:pStyle w:val="49"/>
              <w:spacing w:beforeLines="0" w:afterLines="0" w:line="240" w:lineRule="auto"/>
              <w:rPr>
                <w:rFonts w:ascii="Times New Roman" w:hAnsi="Times New Roman" w:eastAsia="黑体"/>
                <w:snapToGrid w:val="0"/>
                <w:spacing w:val="-16"/>
                <w:kern w:val="21"/>
                <w:szCs w:val="21"/>
              </w:rPr>
            </w:pPr>
            <w:r>
              <w:rPr>
                <w:rFonts w:ascii="Times New Roman" w:hAnsi="Times New Roman" w:eastAsia="黑体"/>
                <w:snapToGrid w:val="0"/>
                <w:spacing w:val="-16"/>
                <w:kern w:val="21"/>
                <w:szCs w:val="21"/>
              </w:rPr>
              <w:t>全厂排放量（固体废物产生量）</w:t>
            </w:r>
            <w:r>
              <w:rPr>
                <w:rFonts w:ascii="Times New Roman" w:hAnsi="Times New Roman" w:eastAsia="黑体"/>
                <w:snapToGrid w:val="0"/>
                <w:spacing w:val="-16"/>
                <w:kern w:val="21"/>
                <w:szCs w:val="21"/>
              </w:rPr>
              <w:fldChar w:fldCharType="begin"/>
            </w:r>
            <w:r>
              <w:rPr>
                <w:rFonts w:ascii="Times New Roman" w:hAnsi="Times New Roman" w:eastAsia="黑体"/>
                <w:snapToGrid w:val="0"/>
                <w:spacing w:val="-16"/>
                <w:kern w:val="21"/>
                <w:szCs w:val="21"/>
              </w:rPr>
              <w:instrText xml:space="preserve"> = 6 \* GB3 \* MERGEFORMAT </w:instrText>
            </w:r>
            <w:r>
              <w:rPr>
                <w:rFonts w:ascii="Times New Roman" w:hAnsi="Times New Roman" w:eastAsia="黑体"/>
                <w:snapToGrid w:val="0"/>
                <w:spacing w:val="-16"/>
                <w:kern w:val="21"/>
                <w:szCs w:val="21"/>
              </w:rPr>
              <w:fldChar w:fldCharType="separate"/>
            </w:r>
            <w:r>
              <w:rPr>
                <w:rFonts w:hint="eastAsia" w:hAnsi="宋体" w:cs="宋体"/>
                <w:kern w:val="2"/>
                <w:szCs w:val="21"/>
              </w:rPr>
              <w:t>⑥</w:t>
            </w:r>
            <w:r>
              <w:rPr>
                <w:rFonts w:ascii="Times New Roman" w:hAnsi="Times New Roman" w:eastAsia="黑体"/>
                <w:snapToGrid w:val="0"/>
                <w:spacing w:val="-16"/>
                <w:kern w:val="21"/>
                <w:szCs w:val="21"/>
              </w:rPr>
              <w:fldChar w:fldCharType="end"/>
            </w:r>
          </w:p>
        </w:tc>
        <w:tc>
          <w:tcPr>
            <w:tcW w:w="1232" w:type="dxa"/>
            <w:tcMar>
              <w:left w:w="28" w:type="dxa"/>
              <w:right w:w="28" w:type="dxa"/>
            </w:tcMar>
            <w:vAlign w:val="center"/>
          </w:tcPr>
          <w:p>
            <w:pPr>
              <w:pStyle w:val="49"/>
              <w:spacing w:beforeLines="0" w:afterLines="0" w:line="240" w:lineRule="auto"/>
              <w:rPr>
                <w:rFonts w:ascii="Times New Roman" w:hAnsi="Times New Roman" w:eastAsia="黑体"/>
                <w:snapToGrid w:val="0"/>
                <w:spacing w:val="-6"/>
                <w:kern w:val="21"/>
                <w:szCs w:val="21"/>
              </w:rPr>
            </w:pPr>
            <w:r>
              <w:rPr>
                <w:rFonts w:hint="eastAsia" w:ascii="Times New Roman" w:hAnsi="Times New Roman" w:eastAsia="黑体"/>
                <w:snapToGrid w:val="0"/>
                <w:spacing w:val="-6"/>
                <w:kern w:val="21"/>
                <w:szCs w:val="21"/>
              </w:rPr>
              <w:t>变化量</w:t>
            </w:r>
          </w:p>
          <w:p>
            <w:pPr>
              <w:pStyle w:val="49"/>
              <w:spacing w:beforeLines="0" w:afterLines="0" w:line="240" w:lineRule="auto"/>
              <w:rPr>
                <w:rFonts w:ascii="Times New Roman" w:hAnsi="Times New Roman" w:eastAsia="黑体"/>
                <w:snapToGrid w:val="0"/>
                <w:spacing w:val="-6"/>
                <w:kern w:val="21"/>
                <w:szCs w:val="21"/>
              </w:rPr>
            </w:pPr>
            <w:r>
              <w:rPr>
                <w:rFonts w:hint="eastAsia" w:ascii="Times New Roman" w:hAnsi="Times New Roman" w:eastAsia="黑体"/>
                <w:snapToGrid w:val="0"/>
                <w:spacing w:val="-6"/>
                <w:kern w:val="21"/>
                <w:szCs w:val="21"/>
              </w:rPr>
              <w:t>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废气</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颗粒物（t/a）</w:t>
            </w:r>
          </w:p>
        </w:tc>
        <w:tc>
          <w:tcPr>
            <w:tcW w:w="1576" w:type="dxa"/>
            <w:vAlign w:val="center"/>
          </w:tcPr>
          <w:p>
            <w:pPr>
              <w:jc w:val="center"/>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4.31</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4.31</w:t>
            </w:r>
          </w:p>
        </w:tc>
        <w:tc>
          <w:tcPr>
            <w:tcW w:w="1232"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w:t>
            </w:r>
            <w:r>
              <w:rPr>
                <w:rFonts w:hint="eastAsia" w:ascii="Times New Roman" w:hAnsi="Times New Roman"/>
                <w:snapToGrid w:val="0"/>
                <w:kern w:val="21"/>
                <w:szCs w:val="21"/>
              </w:rPr>
              <w:t xml:space="preserve">4.31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restart"/>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一般工业</w:t>
            </w:r>
          </w:p>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固体废物</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污泥（t/a）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废滤布</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尾渣</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+72800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restart"/>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危废</w:t>
            </w: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浮油</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Merge w:val="continue"/>
            <w:vAlign w:val="center"/>
          </w:tcPr>
          <w:p>
            <w:pPr>
              <w:pStyle w:val="49"/>
              <w:spacing w:beforeLines="0" w:afterLines="0" w:line="240" w:lineRule="auto"/>
              <w:rPr>
                <w:rFonts w:ascii="Times New Roman" w:hAnsi="Times New Roman"/>
                <w:snapToGrid w:val="0"/>
                <w:kern w:val="21"/>
                <w:sz w:val="21"/>
                <w:szCs w:val="21"/>
              </w:rPr>
            </w:pPr>
          </w:p>
        </w:tc>
        <w:tc>
          <w:tcPr>
            <w:tcW w:w="1950" w:type="dxa"/>
            <w:vAlign w:val="center"/>
          </w:tcPr>
          <w:p>
            <w:pPr>
              <w:pStyle w:val="49"/>
              <w:spacing w:beforeLines="0" w:afterLines="0" w:line="240" w:lineRule="auto"/>
              <w:rPr>
                <w:rFonts w:ascii="Times New Roman" w:hAnsi="Times New Roman"/>
                <w:snapToGrid w:val="0"/>
                <w:kern w:val="21"/>
                <w:sz w:val="21"/>
                <w:szCs w:val="21"/>
              </w:rPr>
            </w:pPr>
            <w:r>
              <w:rPr>
                <w:rFonts w:hint="eastAsia" w:ascii="Times New Roman" w:hAnsi="Times New Roman"/>
                <w:snapToGrid w:val="0"/>
                <w:kern w:val="21"/>
                <w:sz w:val="21"/>
                <w:szCs w:val="21"/>
              </w:rPr>
              <w:t>废机油</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c>
          <w:tcPr>
            <w:tcW w:w="1232" w:type="dxa"/>
            <w:vAlign w:val="center"/>
          </w:tcPr>
          <w:p>
            <w:pPr>
              <w:pStyle w:val="49"/>
              <w:spacing w:beforeLines="0" w:afterLines="0" w:line="240" w:lineRule="auto"/>
              <w:rPr>
                <w:rFonts w:ascii="Times New Roman" w:hAnsi="Times New Roman"/>
                <w:snapToGrid w:val="0"/>
                <w:kern w:val="21"/>
                <w:szCs w:val="21"/>
              </w:rPr>
            </w:pPr>
            <w:r>
              <w:rPr>
                <w:rFonts w:hint="eastAsia" w:ascii="Times New Roman" w:hAnsi="Times New Roman"/>
                <w:snapToGrid w:val="0"/>
                <w:kern w:val="21"/>
                <w:szCs w:val="21"/>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80" w:type="dxa"/>
            <w:vAlign w:val="center"/>
          </w:tcPr>
          <w:p>
            <w:pPr>
              <w:pStyle w:val="49"/>
              <w:spacing w:beforeLines="0" w:afterLines="0" w:line="240" w:lineRule="auto"/>
              <w:rPr>
                <w:rFonts w:ascii="Times New Roman" w:hAnsi="Times New Roman"/>
                <w:snapToGrid w:val="0"/>
                <w:kern w:val="21"/>
                <w:sz w:val="21"/>
                <w:szCs w:val="21"/>
              </w:rPr>
            </w:pPr>
            <w:r>
              <w:rPr>
                <w:rFonts w:ascii="Times New Roman" w:hAnsi="Times New Roman"/>
                <w:snapToGrid w:val="0"/>
                <w:kern w:val="21"/>
                <w:sz w:val="21"/>
                <w:szCs w:val="21"/>
              </w:rPr>
              <w:t>废水</w:t>
            </w:r>
          </w:p>
        </w:tc>
        <w:tc>
          <w:tcPr>
            <w:tcW w:w="1950" w:type="dxa"/>
            <w:vAlign w:val="center"/>
          </w:tcPr>
          <w:p>
            <w:pPr>
              <w:jc w:val="center"/>
              <w:rPr>
                <w:rFonts w:ascii="Times New Roman" w:hAnsi="Times New Roman"/>
                <w:snapToGrid w:val="0"/>
                <w:kern w:val="21"/>
                <w:sz w:val="21"/>
                <w:szCs w:val="21"/>
              </w:rPr>
            </w:pPr>
            <w:r>
              <w:rPr>
                <w:rFonts w:ascii="Times New Roman" w:hAnsi="Times New Roman"/>
                <w:snapToGrid w:val="0"/>
                <w:kern w:val="21"/>
                <w:sz w:val="21"/>
                <w:szCs w:val="21"/>
              </w:rPr>
              <w:t>废水量（</w:t>
            </w:r>
            <w:r>
              <w:rPr>
                <w:rFonts w:hint="eastAsia" w:ascii="Times New Roman" w:hAnsi="Times New Roman"/>
                <w:snapToGrid w:val="0"/>
                <w:kern w:val="21"/>
                <w:sz w:val="21"/>
                <w:szCs w:val="21"/>
              </w:rPr>
              <w:t>万</w:t>
            </w:r>
            <w:r>
              <w:rPr>
                <w:rFonts w:ascii="Times New Roman" w:hAnsi="Times New Roman"/>
                <w:snapToGrid w:val="0"/>
                <w:kern w:val="21"/>
                <w:sz w:val="21"/>
                <w:szCs w:val="21"/>
              </w:rPr>
              <w:t>t/a）</w:t>
            </w:r>
          </w:p>
        </w:tc>
        <w:tc>
          <w:tcPr>
            <w:tcW w:w="1576" w:type="dxa"/>
            <w:vAlign w:val="center"/>
          </w:tcPr>
          <w:p>
            <w:pPr>
              <w:pStyle w:val="49"/>
              <w:spacing w:beforeLines="0" w:afterLines="0" w:line="240" w:lineRule="auto"/>
              <w:rPr>
                <w:rFonts w:ascii="Times New Roman" w:hAnsi="Times New Roman"/>
                <w:snapToGrid w:val="0"/>
                <w:kern w:val="21"/>
                <w:szCs w:val="21"/>
              </w:rPr>
            </w:pPr>
          </w:p>
        </w:tc>
        <w:tc>
          <w:tcPr>
            <w:tcW w:w="1276" w:type="dxa"/>
            <w:vAlign w:val="center"/>
          </w:tcPr>
          <w:p>
            <w:pPr>
              <w:pStyle w:val="49"/>
              <w:spacing w:beforeLines="0" w:afterLines="0" w:line="240" w:lineRule="auto"/>
              <w:rPr>
                <w:rFonts w:ascii="Times New Roman" w:hAnsi="Times New Roman"/>
                <w:snapToGrid w:val="0"/>
                <w:kern w:val="21"/>
                <w:szCs w:val="21"/>
              </w:rPr>
            </w:pPr>
          </w:p>
        </w:tc>
        <w:tc>
          <w:tcPr>
            <w:tcW w:w="1701" w:type="dxa"/>
            <w:vAlign w:val="center"/>
          </w:tcPr>
          <w:p>
            <w:pPr>
              <w:pStyle w:val="49"/>
              <w:spacing w:beforeLines="0" w:afterLines="0" w:line="240" w:lineRule="auto"/>
              <w:rPr>
                <w:rFonts w:ascii="Times New Roman" w:hAnsi="Times New Roman"/>
                <w:snapToGrid w:val="0"/>
                <w:kern w:val="21"/>
                <w:szCs w:val="21"/>
              </w:rPr>
            </w:pPr>
          </w:p>
        </w:tc>
        <w:tc>
          <w:tcPr>
            <w:tcW w:w="1559"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p>
        </w:tc>
        <w:tc>
          <w:tcPr>
            <w:tcW w:w="1650" w:type="dxa"/>
            <w:vAlign w:val="center"/>
          </w:tcPr>
          <w:p>
            <w:pPr>
              <w:pStyle w:val="49"/>
              <w:spacing w:beforeLines="0" w:afterLines="0" w:line="240" w:lineRule="auto"/>
              <w:rPr>
                <w:rFonts w:ascii="Times New Roman" w:hAnsi="Times New Roman"/>
                <w:snapToGrid w:val="0"/>
                <w:kern w:val="21"/>
                <w:szCs w:val="21"/>
              </w:rPr>
            </w:pPr>
          </w:p>
        </w:tc>
        <w:tc>
          <w:tcPr>
            <w:tcW w:w="1664"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r>
              <w:rPr>
                <w:rFonts w:hint="eastAsia" w:ascii="Times New Roman" w:hAnsi="Times New Roman"/>
                <w:snapToGrid w:val="0"/>
                <w:kern w:val="21"/>
                <w:szCs w:val="21"/>
              </w:rPr>
              <w:t xml:space="preserve">  </w:t>
            </w:r>
          </w:p>
        </w:tc>
        <w:tc>
          <w:tcPr>
            <w:tcW w:w="1232" w:type="dxa"/>
            <w:vAlign w:val="center"/>
          </w:tcPr>
          <w:p>
            <w:pPr>
              <w:pStyle w:val="49"/>
              <w:spacing w:beforeLines="0" w:afterLines="0" w:line="240" w:lineRule="auto"/>
              <w:rPr>
                <w:rFonts w:ascii="Times New Roman" w:hAnsi="Times New Roman"/>
                <w:snapToGrid w:val="0"/>
                <w:kern w:val="21"/>
                <w:szCs w:val="21"/>
              </w:rPr>
            </w:pPr>
            <w:r>
              <w:rPr>
                <w:rFonts w:ascii="Times New Roman" w:hAnsi="Times New Roman"/>
                <w:snapToGrid w:val="0"/>
                <w:kern w:val="21"/>
                <w:szCs w:val="21"/>
              </w:rPr>
              <w:t>0</w:t>
            </w:r>
          </w:p>
        </w:tc>
      </w:tr>
    </w:tbl>
    <w:p>
      <w:pPr>
        <w:pStyle w:val="49"/>
        <w:spacing w:before="192" w:beforeLines="80" w:after="24"/>
        <w:jc w:val="left"/>
        <w:rPr>
          <w:rFonts w:ascii="Times New Roman" w:hAnsi="Times New Roman"/>
          <w:snapToGrid w:val="0"/>
          <w:spacing w:val="-6"/>
          <w:kern w:val="21"/>
          <w:szCs w:val="21"/>
        </w:rPr>
      </w:pPr>
      <w:r>
        <w:rPr>
          <w:rFonts w:ascii="Times New Roman" w:hAnsi="Times New Roman"/>
          <w:snapToGrid w:val="0"/>
          <w:kern w:val="21"/>
          <w:szCs w:val="21"/>
        </w:rPr>
        <w:t>注：</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3 \* GB3 \* MERGEFORMAT </w:instrText>
      </w:r>
      <w:r>
        <w:rPr>
          <w:rFonts w:ascii="Times New Roman" w:hAnsi="Times New Roman"/>
          <w:snapToGrid w:val="0"/>
          <w:spacing w:val="-6"/>
          <w:kern w:val="21"/>
          <w:szCs w:val="21"/>
        </w:rPr>
        <w:fldChar w:fldCharType="separate"/>
      </w:r>
      <w:r>
        <w:rPr>
          <w:rFonts w:hint="eastAsia" w:hAnsi="宋体" w:cs="宋体"/>
          <w:szCs w:val="21"/>
        </w:rPr>
        <w:t>③</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4 \* GB3 \* MERGEFORMAT </w:instrText>
      </w:r>
      <w:r>
        <w:rPr>
          <w:rFonts w:ascii="Times New Roman" w:hAnsi="Times New Roman"/>
          <w:snapToGrid w:val="0"/>
          <w:spacing w:val="-6"/>
          <w:kern w:val="21"/>
          <w:szCs w:val="21"/>
        </w:rPr>
        <w:fldChar w:fldCharType="separate"/>
      </w:r>
      <w:r>
        <w:rPr>
          <w:rFonts w:hint="eastAsia" w:hAnsi="宋体" w:cs="宋体"/>
          <w:szCs w:val="21"/>
        </w:rPr>
        <w:t>④</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5 \* GB3 \* MERGEFORMAT </w:instrText>
      </w:r>
      <w:r>
        <w:rPr>
          <w:rFonts w:ascii="Times New Roman" w:hAnsi="Times New Roman"/>
          <w:snapToGrid w:val="0"/>
          <w:spacing w:val="-16"/>
          <w:kern w:val="21"/>
          <w:szCs w:val="21"/>
        </w:rPr>
        <w:fldChar w:fldCharType="separate"/>
      </w:r>
      <w:r>
        <w:rPr>
          <w:rFonts w:hint="eastAsia" w:hAnsi="宋体" w:cs="宋体"/>
          <w:szCs w:val="21"/>
        </w:rPr>
        <w:t>⑤</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7 \* GB3 \* MERGEFORMAT </w:instrText>
      </w:r>
      <w:r>
        <w:rPr>
          <w:rFonts w:ascii="Times New Roman" w:hAnsi="Times New Roman"/>
          <w:snapToGrid w:val="0"/>
          <w:spacing w:val="-6"/>
          <w:kern w:val="21"/>
          <w:szCs w:val="21"/>
        </w:rPr>
        <w:fldChar w:fldCharType="separate"/>
      </w:r>
      <w:r>
        <w:rPr>
          <w:rFonts w:hint="eastAsia" w:hAnsi="宋体" w:cs="宋体"/>
          <w:szCs w:val="21"/>
        </w:rPr>
        <w:t>⑦</w:t>
      </w:r>
      <w:r>
        <w:rPr>
          <w:rFonts w:ascii="Times New Roman" w:hAnsi="Times New Roman"/>
          <w:snapToGrid w:val="0"/>
          <w:spacing w:val="-6"/>
          <w:kern w:val="21"/>
          <w:szCs w:val="21"/>
        </w:rPr>
        <w:fldChar w:fldCharType="end"/>
      </w:r>
      <w:r>
        <w:rPr>
          <w:rFonts w:ascii="Times New Roman" w:hAnsi="Times New Roman"/>
          <w:snapToGrid w:val="0"/>
          <w:spacing w:val="-6"/>
          <w:kern w:val="21"/>
          <w:szCs w:val="21"/>
        </w:rPr>
        <w:t>=</w:t>
      </w:r>
      <w:r>
        <w:rPr>
          <w:rFonts w:ascii="Times New Roman" w:hAnsi="Times New Roman"/>
          <w:snapToGrid w:val="0"/>
          <w:spacing w:val="-16"/>
          <w:kern w:val="21"/>
          <w:szCs w:val="21"/>
        </w:rPr>
        <w:fldChar w:fldCharType="begin"/>
      </w:r>
      <w:r>
        <w:rPr>
          <w:rFonts w:ascii="Times New Roman" w:hAnsi="Times New Roman"/>
          <w:snapToGrid w:val="0"/>
          <w:spacing w:val="-16"/>
          <w:kern w:val="21"/>
          <w:szCs w:val="21"/>
        </w:rPr>
        <w:instrText xml:space="preserve"> = 6 \* GB3 \* MERGEFORMAT </w:instrText>
      </w:r>
      <w:r>
        <w:rPr>
          <w:rFonts w:ascii="Times New Roman" w:hAnsi="Times New Roman"/>
          <w:snapToGrid w:val="0"/>
          <w:spacing w:val="-16"/>
          <w:kern w:val="21"/>
          <w:szCs w:val="21"/>
        </w:rPr>
        <w:fldChar w:fldCharType="separate"/>
      </w:r>
      <w:r>
        <w:rPr>
          <w:rFonts w:hint="eastAsia" w:hAnsi="宋体" w:cs="宋体"/>
          <w:szCs w:val="21"/>
        </w:rPr>
        <w:t>⑥</w:t>
      </w:r>
      <w:r>
        <w:rPr>
          <w:rFonts w:ascii="Times New Roman" w:hAnsi="Times New Roman"/>
          <w:snapToGrid w:val="0"/>
          <w:spacing w:val="-16"/>
          <w:kern w:val="21"/>
          <w:szCs w:val="21"/>
        </w:rPr>
        <w:fldChar w:fldCharType="end"/>
      </w:r>
      <w:r>
        <w:rPr>
          <w:rFonts w:ascii="Times New Roman" w:hAnsi="Times New Roman"/>
          <w:snapToGrid w:val="0"/>
          <w:spacing w:val="-16"/>
          <w:kern w:val="21"/>
          <w:szCs w:val="21"/>
        </w:rPr>
        <w:t>-</w:t>
      </w:r>
      <w:r>
        <w:rPr>
          <w:rFonts w:ascii="Times New Roman" w:hAnsi="Times New Roman"/>
          <w:snapToGrid w:val="0"/>
          <w:spacing w:val="-6"/>
          <w:kern w:val="21"/>
          <w:szCs w:val="21"/>
        </w:rPr>
        <w:fldChar w:fldCharType="begin"/>
      </w:r>
      <w:r>
        <w:rPr>
          <w:rFonts w:ascii="Times New Roman" w:hAnsi="Times New Roman"/>
          <w:snapToGrid w:val="0"/>
          <w:spacing w:val="-6"/>
          <w:kern w:val="21"/>
          <w:szCs w:val="21"/>
        </w:rPr>
        <w:instrText xml:space="preserve"> = 1 \* GB3 \* MERGEFORMAT </w:instrText>
      </w:r>
      <w:r>
        <w:rPr>
          <w:rFonts w:ascii="Times New Roman" w:hAnsi="Times New Roman"/>
          <w:snapToGrid w:val="0"/>
          <w:spacing w:val="-6"/>
          <w:kern w:val="21"/>
          <w:szCs w:val="21"/>
        </w:rPr>
        <w:fldChar w:fldCharType="separate"/>
      </w:r>
      <w:r>
        <w:rPr>
          <w:rFonts w:hint="eastAsia" w:hAnsi="宋体" w:cs="宋体"/>
          <w:szCs w:val="21"/>
        </w:rPr>
        <w:t>①</w:t>
      </w:r>
      <w:r>
        <w:rPr>
          <w:rFonts w:ascii="Times New Roman" w:hAnsi="Times New Roman"/>
          <w:snapToGrid w:val="0"/>
          <w:spacing w:val="-6"/>
          <w:kern w:val="21"/>
          <w:szCs w:val="21"/>
        </w:rPr>
        <w:fldChar w:fldCharType="end"/>
      </w:r>
    </w:p>
    <w:p>
      <w:pPr>
        <w:ind w:firstLine="600"/>
        <w:jc w:val="left"/>
        <w:rPr>
          <w:rFonts w:ascii="Times New Roman" w:hAnsi="Times New Roman" w:eastAsia="仿宋"/>
          <w:sz w:val="30"/>
        </w:rPr>
      </w:pPr>
    </w:p>
    <w:p>
      <w:pPr>
        <w:rPr>
          <w:rFonts w:ascii="Times New Roman" w:hAnsi="Times New Roman"/>
        </w:rPr>
        <w:sectPr>
          <w:footerReference r:id="rId7" w:type="default"/>
          <w:pgSz w:w="16838" w:h="11906" w:orient="landscape"/>
          <w:pgMar w:top="1701" w:right="1531" w:bottom="1701" w:left="1531" w:header="851" w:footer="851" w:gutter="0"/>
          <w:cols w:space="720" w:num="1"/>
          <w:docGrid w:linePitch="312" w:charSpace="0"/>
        </w:sectPr>
      </w:pPr>
    </w:p>
    <w:p>
      <w:pPr>
        <w:rPr>
          <w:rFonts w:ascii="Times New Roman" w:hAnsi="Times New Roman"/>
        </w:rPr>
      </w:pPr>
    </w:p>
    <w:sectPr>
      <w:footerReference r:id="rId8" w:type="default"/>
      <w:pgSz w:w="11906" w:h="16838"/>
      <w:pgMar w:top="1701" w:right="1531" w:bottom="1701"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黑体_GBK">
    <w:panose1 w:val="02000000000000000000"/>
    <w:charset w:val="86"/>
    <w:family w:val="auto"/>
    <w:pitch w:val="default"/>
    <w:sig w:usb0="00000001" w:usb1="08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18030">
    <w:altName w:val="宋体"/>
    <w:panose1 w:val="00000000000000000000"/>
    <w:charset w:val="00"/>
    <w:family w:val="auto"/>
    <w:pitch w:val="default"/>
    <w:sig w:usb0="00000000" w:usb1="00000000" w:usb2="00000000" w:usb3="00000000" w:csb0="00040001"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script"/>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altName w:val="宋体"/>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MS Gothic">
    <w:altName w:val="宋体"/>
    <w:panose1 w:val="020B0609070205080204"/>
    <w:charset w:val="80"/>
    <w:family w:val="modern"/>
    <w:pitch w:val="default"/>
    <w:sig w:usb0="00000000" w:usb1="00000000" w:usb2="08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Tahoma">
    <w:altName w:val="DejaVu Sans"/>
    <w:panose1 w:val="020B0604030504040204"/>
    <w:charset w:val="00"/>
    <w:family w:val="swiss"/>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71552" behindDoc="0" locked="0" layoutInCell="1" allowOverlap="1">
              <wp:simplePos x="0" y="0"/>
              <wp:positionH relativeFrom="margin">
                <wp:posOffset>-972185</wp:posOffset>
              </wp:positionH>
              <wp:positionV relativeFrom="paragraph">
                <wp:posOffset>-10012045</wp:posOffset>
              </wp:positionV>
              <wp:extent cx="521335" cy="230505"/>
              <wp:effectExtent l="0" t="0" r="0" b="0"/>
              <wp:wrapNone/>
              <wp:docPr id="36" name="文本框 1"/>
              <wp:cNvGraphicFramePr/>
              <a:graphic xmlns:a="http://schemas.openxmlformats.org/drawingml/2006/main">
                <a:graphicData uri="http://schemas.microsoft.com/office/word/2010/wordprocessingShape">
                  <wps:wsp>
                    <wps:cNvSpPr txBox="1"/>
                    <wps:spPr>
                      <a:xfrm>
                        <a:off x="0" y="0"/>
                        <a:ext cx="5213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8"/>
                              <w:szCs w:val="28"/>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94</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left:-76.55pt;margin-top:-788.35pt;height:18.15pt;width:41.05pt;mso-position-horizontal-relative:margin;mso-wrap-style:none;z-index:251671552;mso-width-relative:page;mso-height-relative:page;" filled="f" stroked="f" coordsize="21600,21600" o:gfxdata="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yQDaB9oAAAAQAQAADwAAAAAAAAAB&#10;ACAAAAA4AAAAZHJzL2Rvd25yZXYueG1sUEsBAhQAFAAAAAgAh07iQBbVesIxAgAAVAQAAA4AAAAA&#10;AAAAAQAgAAAAPwEAAGRycy9lMm9Eb2MueG1sUEsFBgAAAAAGAAYAWQEAAOIFA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8"/>
                        <w:szCs w:val="28"/>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94</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438785" cy="230505"/>
              <wp:effectExtent l="0" t="0" r="0" b="0"/>
              <wp:wrapNone/>
              <wp:docPr id="64710274" name="文本框 3"/>
              <wp:cNvGraphicFramePr/>
              <a:graphic xmlns:a="http://schemas.openxmlformats.org/drawingml/2006/main">
                <a:graphicData uri="http://schemas.microsoft.com/office/word/2010/wordprocessingShape">
                  <wps:wsp>
                    <wps:cNvSpPr txBox="1"/>
                    <wps:spPr>
                      <a:xfrm>
                        <a:off x="0" y="0"/>
                        <a:ext cx="43878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58</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8.15pt;width:34.55pt;mso-position-horizontal:center;mso-position-horizontal-relative:margin;mso-wrap-style:none;z-index:251669504;mso-width-relative:page;mso-height-relative:page;" filled="f" stroked="f" coordsize="21600,21600" o:gfxdata="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rDsjdNEAAAADAQAADwAAAAAAAAABACAA&#10;AAA4AAAAZHJzL2Rvd25yZXYueG1sUEsBAhQAFAAAAAgAh07iQJ70Gi83AgAAWgQAAA4AAAAAAAAA&#10;AQAgAAAANgEAAGRycy9lMm9Eb2MueG1sUEsFBgAAAAAGAAYAWQEAAN8FA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58</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521335" cy="230505"/>
              <wp:effectExtent l="0" t="0" r="0" b="0"/>
              <wp:wrapNone/>
              <wp:docPr id="1308357721" name="文本框 2"/>
              <wp:cNvGraphicFramePr/>
              <a:graphic xmlns:a="http://schemas.openxmlformats.org/drawingml/2006/main">
                <a:graphicData uri="http://schemas.microsoft.com/office/word/2010/wordprocessingShape">
                  <wps:wsp>
                    <wps:cNvSpPr txBox="1"/>
                    <wps:spPr>
                      <a:xfrm>
                        <a:off x="0" y="0"/>
                        <a:ext cx="5213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59</w:t>
                          </w:r>
                          <w:r>
                            <w:rPr>
                              <w:rFonts w:ascii="宋体" w:hAnsi="宋体"/>
                              <w:sz w:val="21"/>
                              <w:szCs w:val="21"/>
                            </w:rPr>
                            <w:fldChar w:fldCharType="end"/>
                          </w:r>
                          <w:r>
                            <w:rPr>
                              <w:rStyle w:val="29"/>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8.15pt;width:41.05pt;mso-position-horizontal:center;mso-position-horizontal-relative:margin;mso-wrap-style:none;z-index:251670528;mso-width-relative:page;mso-height-relative:page;" filled="f" stroked="f" coordsize="21600,21600" o:gfxdata="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FjB70TSAAAAAwEAAA8AAAAAAAAAAQAg&#10;AAAAOAAAAGRycy9kb3ducmV2LnhtbFBLAQIUABQAAAAIAIdO4kB3w+DsNwIAAFwEAAAOAAAAAAAA&#10;AAEAIAAAADcBAABkcnMvZTJvRG9jLnhtbFBLBQYAAAAABgAGAFkBAADgBQAAAAA=&#10;">
              <v:fill on="f" focussize="0,0"/>
              <v:stroke on="f" weight="0.5pt"/>
              <v:imagedata o:title=""/>
              <o:lock v:ext="edit" aspectratio="f"/>
              <v:textbox inset="0mm,0mm,0mm,0mm" style="mso-fit-shape-to-text:t;">
                <w:txbxContent>
                  <w:p>
                    <w:pPr>
                      <w:pStyle w:val="19"/>
                      <w:rPr>
                        <w:rStyle w:val="29"/>
                        <w:rFonts w:ascii="宋体" w:hAnsi="宋体"/>
                        <w:sz w:val="28"/>
                        <w:szCs w:val="28"/>
                      </w:rPr>
                    </w:pPr>
                    <w:r>
                      <w:rPr>
                        <w:rStyle w:val="29"/>
                        <w:rFonts w:hint="eastAsia" w:ascii="宋体" w:hAnsi="宋体"/>
                        <w:sz w:val="21"/>
                        <w:szCs w:val="21"/>
                      </w:rPr>
                      <w:t>—</w:t>
                    </w:r>
                    <w:r>
                      <w:rPr>
                        <w:rFonts w:ascii="宋体" w:hAnsi="宋体"/>
                        <w:sz w:val="21"/>
                        <w:szCs w:val="21"/>
                      </w:rPr>
                      <w:fldChar w:fldCharType="begin"/>
                    </w:r>
                    <w:r>
                      <w:rPr>
                        <w:rStyle w:val="29"/>
                        <w:rFonts w:ascii="宋体" w:hAnsi="宋体"/>
                        <w:sz w:val="21"/>
                        <w:szCs w:val="21"/>
                      </w:rPr>
                      <w:instrText xml:space="preserve">PAGE  </w:instrText>
                    </w:r>
                    <w:r>
                      <w:rPr>
                        <w:rFonts w:ascii="宋体" w:hAnsi="宋体"/>
                        <w:sz w:val="21"/>
                        <w:szCs w:val="21"/>
                      </w:rPr>
                      <w:fldChar w:fldCharType="separate"/>
                    </w:r>
                    <w:r>
                      <w:rPr>
                        <w:rStyle w:val="29"/>
                        <w:rFonts w:ascii="宋体" w:hAnsi="宋体"/>
                        <w:sz w:val="21"/>
                        <w:szCs w:val="21"/>
                      </w:rPr>
                      <w:t>59</w:t>
                    </w:r>
                    <w:r>
                      <w:rPr>
                        <w:rFonts w:ascii="宋体" w:hAnsi="宋体"/>
                        <w:sz w:val="21"/>
                        <w:szCs w:val="21"/>
                      </w:rPr>
                      <w:fldChar w:fldCharType="end"/>
                    </w:r>
                    <w:r>
                      <w:rPr>
                        <w:rStyle w:val="29"/>
                        <w:rFonts w:hint="eastAsia" w:ascii="宋体" w:hAnsi="宋体"/>
                        <w:sz w:val="28"/>
                        <w:szCs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81322"/>
    <w:multiLevelType w:val="singleLevel"/>
    <w:tmpl w:val="81881322"/>
    <w:lvl w:ilvl="0" w:tentative="0">
      <w:start w:val="1"/>
      <w:numFmt w:val="decimal"/>
      <w:suff w:val="nothing"/>
      <w:lvlText w:val="（%1）"/>
      <w:lvlJc w:val="left"/>
    </w:lvl>
  </w:abstractNum>
  <w:abstractNum w:abstractNumId="1">
    <w:nsid w:val="8873F145"/>
    <w:multiLevelType w:val="singleLevel"/>
    <w:tmpl w:val="8873F145"/>
    <w:lvl w:ilvl="0" w:tentative="0">
      <w:start w:val="1"/>
      <w:numFmt w:val="decimal"/>
      <w:suff w:val="nothing"/>
      <w:lvlText w:val="（%1）"/>
      <w:lvlJc w:val="left"/>
    </w:lvl>
  </w:abstractNum>
  <w:abstractNum w:abstractNumId="2">
    <w:nsid w:val="88EEAA93"/>
    <w:multiLevelType w:val="singleLevel"/>
    <w:tmpl w:val="88EEAA93"/>
    <w:lvl w:ilvl="0" w:tentative="0">
      <w:start w:val="5"/>
      <w:numFmt w:val="decimal"/>
      <w:suff w:val="nothing"/>
      <w:lvlText w:val="（%1）"/>
      <w:lvlJc w:val="left"/>
    </w:lvl>
  </w:abstractNum>
  <w:abstractNum w:abstractNumId="3">
    <w:nsid w:val="8DAD7A82"/>
    <w:multiLevelType w:val="singleLevel"/>
    <w:tmpl w:val="8DAD7A82"/>
    <w:lvl w:ilvl="0" w:tentative="0">
      <w:start w:val="1"/>
      <w:numFmt w:val="decimal"/>
      <w:suff w:val="nothing"/>
      <w:lvlText w:val="（%1）"/>
      <w:lvlJc w:val="left"/>
    </w:lvl>
  </w:abstractNum>
  <w:abstractNum w:abstractNumId="4">
    <w:nsid w:val="B95F05E5"/>
    <w:multiLevelType w:val="singleLevel"/>
    <w:tmpl w:val="B95F05E5"/>
    <w:lvl w:ilvl="0" w:tentative="0">
      <w:start w:val="1"/>
      <w:numFmt w:val="decimal"/>
      <w:suff w:val="nothing"/>
      <w:lvlText w:val="%1）"/>
      <w:lvlJc w:val="left"/>
    </w:lvl>
  </w:abstractNum>
  <w:abstractNum w:abstractNumId="5">
    <w:nsid w:val="C72FA5CD"/>
    <w:multiLevelType w:val="singleLevel"/>
    <w:tmpl w:val="C72FA5CD"/>
    <w:lvl w:ilvl="0" w:tentative="0">
      <w:start w:val="1"/>
      <w:numFmt w:val="chineseCounting"/>
      <w:suff w:val="nothing"/>
      <w:lvlText w:val="%1、"/>
      <w:lvlJc w:val="left"/>
      <w:rPr>
        <w:rFonts w:hint="eastAsia"/>
      </w:rPr>
    </w:lvl>
  </w:abstractNum>
  <w:abstractNum w:abstractNumId="6">
    <w:nsid w:val="CCA6A4A8"/>
    <w:multiLevelType w:val="singleLevel"/>
    <w:tmpl w:val="CCA6A4A8"/>
    <w:lvl w:ilvl="0" w:tentative="0">
      <w:start w:val="1"/>
      <w:numFmt w:val="decimal"/>
      <w:suff w:val="nothing"/>
      <w:lvlText w:val="（%1）"/>
      <w:lvlJc w:val="left"/>
    </w:lvl>
  </w:abstractNum>
  <w:abstractNum w:abstractNumId="7">
    <w:nsid w:val="CCDB8574"/>
    <w:multiLevelType w:val="singleLevel"/>
    <w:tmpl w:val="CCDB8574"/>
    <w:lvl w:ilvl="0" w:tentative="0">
      <w:start w:val="1"/>
      <w:numFmt w:val="decimal"/>
      <w:suff w:val="nothing"/>
      <w:lvlText w:val="（%1）"/>
      <w:lvlJc w:val="left"/>
    </w:lvl>
  </w:abstractNum>
  <w:abstractNum w:abstractNumId="8">
    <w:nsid w:val="D1868748"/>
    <w:multiLevelType w:val="singleLevel"/>
    <w:tmpl w:val="D1868748"/>
    <w:lvl w:ilvl="0" w:tentative="0">
      <w:start w:val="2"/>
      <w:numFmt w:val="chineseCounting"/>
      <w:suff w:val="nothing"/>
      <w:lvlText w:val="%1、"/>
      <w:lvlJc w:val="left"/>
      <w:rPr>
        <w:rFonts w:hint="eastAsia"/>
      </w:rPr>
    </w:lvl>
  </w:abstractNum>
  <w:abstractNum w:abstractNumId="9">
    <w:nsid w:val="D484B813"/>
    <w:multiLevelType w:val="singleLevel"/>
    <w:tmpl w:val="D484B813"/>
    <w:lvl w:ilvl="0" w:tentative="0">
      <w:start w:val="1"/>
      <w:numFmt w:val="decimal"/>
      <w:suff w:val="nothing"/>
      <w:lvlText w:val="（%1）"/>
      <w:lvlJc w:val="left"/>
    </w:lvl>
  </w:abstractNum>
  <w:abstractNum w:abstractNumId="10">
    <w:nsid w:val="E249E49B"/>
    <w:multiLevelType w:val="singleLevel"/>
    <w:tmpl w:val="E249E49B"/>
    <w:lvl w:ilvl="0" w:tentative="0">
      <w:start w:val="1"/>
      <w:numFmt w:val="chineseCounting"/>
      <w:suff w:val="nothing"/>
      <w:lvlText w:val="%1、"/>
      <w:lvlJc w:val="left"/>
      <w:rPr>
        <w:rFonts w:hint="eastAsia"/>
      </w:rPr>
    </w:lvl>
  </w:abstractNum>
  <w:abstractNum w:abstractNumId="11">
    <w:nsid w:val="F65810F9"/>
    <w:multiLevelType w:val="singleLevel"/>
    <w:tmpl w:val="F65810F9"/>
    <w:lvl w:ilvl="0" w:tentative="0">
      <w:start w:val="1"/>
      <w:numFmt w:val="decimal"/>
      <w:suff w:val="nothing"/>
      <w:lvlText w:val="（%1）"/>
      <w:lvlJc w:val="left"/>
    </w:lvl>
  </w:abstractNum>
  <w:abstractNum w:abstractNumId="12">
    <w:nsid w:val="F7E943A2"/>
    <w:multiLevelType w:val="singleLevel"/>
    <w:tmpl w:val="F7E943A2"/>
    <w:lvl w:ilvl="0" w:tentative="0">
      <w:start w:val="1"/>
      <w:numFmt w:val="upperLetter"/>
      <w:lvlText w:val="%1."/>
      <w:lvlJc w:val="left"/>
      <w:pPr>
        <w:tabs>
          <w:tab w:val="left" w:pos="312"/>
        </w:tabs>
      </w:pPr>
    </w:lvl>
  </w:abstractNum>
  <w:abstractNum w:abstractNumId="13">
    <w:nsid w:val="0AF0C722"/>
    <w:multiLevelType w:val="singleLevel"/>
    <w:tmpl w:val="0AF0C722"/>
    <w:lvl w:ilvl="0" w:tentative="0">
      <w:start w:val="1"/>
      <w:numFmt w:val="decimal"/>
      <w:suff w:val="nothing"/>
      <w:lvlText w:val="（%1）"/>
      <w:lvlJc w:val="left"/>
    </w:lvl>
  </w:abstractNum>
  <w:abstractNum w:abstractNumId="14">
    <w:nsid w:val="1A1A10BA"/>
    <w:multiLevelType w:val="multilevel"/>
    <w:tmpl w:val="1A1A10BA"/>
    <w:lvl w:ilvl="0" w:tentative="0">
      <w:start w:val="1"/>
      <w:numFmt w:val="chineseCountingThousand"/>
      <w:suff w:val="nothing"/>
      <w:lvlText w:val="%1、"/>
      <w:lvlJc w:val="center"/>
      <w:pPr>
        <w:ind w:left="0" w:firstLine="0"/>
      </w:pPr>
      <w:rPr>
        <w:rFonts w:hint="default" w:ascii="Times New Roman" w:hAnsi="Times New Roman" w:eastAsia="黑体"/>
        <w:b w:val="0"/>
        <w:i w:val="0"/>
        <w:sz w:val="30"/>
      </w:rPr>
    </w:lvl>
    <w:lvl w:ilvl="1" w:tentative="0">
      <w:start w:val="1"/>
      <w:numFmt w:val="decimal"/>
      <w:isLgl/>
      <w:suff w:val="nothing"/>
      <w:lvlText w:val="%1.%2"/>
      <w:lvlJc w:val="left"/>
      <w:pPr>
        <w:ind w:left="0" w:firstLine="0"/>
      </w:pPr>
      <w:rPr>
        <w:rFonts w:hint="default" w:ascii="Times New Roman" w:hAnsi="Times New Roman" w:eastAsia="黑体"/>
        <w:b/>
        <w:i w:val="0"/>
        <w:sz w:val="28"/>
      </w:rPr>
    </w:lvl>
    <w:lvl w:ilvl="2" w:tentative="0">
      <w:start w:val="1"/>
      <w:numFmt w:val="decimal"/>
      <w:pStyle w:val="8"/>
      <w:isLgl/>
      <w:suff w:val="nothing"/>
      <w:lvlText w:val="%1.%2.%3"/>
      <w:lvlJc w:val="left"/>
      <w:pPr>
        <w:ind w:left="708" w:firstLine="0"/>
      </w:pPr>
      <w:rPr>
        <w:rFonts w:hint="default" w:ascii="Times New Roman" w:hAnsi="Times New Roman" w:eastAsia="黑体"/>
        <w:b/>
        <w:i w:val="0"/>
        <w:sz w:val="24"/>
      </w:rPr>
    </w:lvl>
    <w:lvl w:ilvl="3" w:tentative="0">
      <w:start w:val="1"/>
      <w:numFmt w:val="decimal"/>
      <w:pStyle w:val="9"/>
      <w:isLgl/>
      <w:suff w:val="nothing"/>
      <w:lvlText w:val="%1.%2.%3.%4"/>
      <w:lvlJc w:val="left"/>
      <w:pPr>
        <w:ind w:left="709" w:firstLine="0"/>
      </w:pPr>
      <w:rPr>
        <w:rFonts w:hint="default" w:ascii="Times New Roman" w:hAnsi="Times New Roman" w:eastAsia="黑体"/>
        <w:b/>
        <w:i w:val="0"/>
        <w:sz w:val="24"/>
      </w:rPr>
    </w:lvl>
    <w:lvl w:ilvl="4" w:tentative="0">
      <w:start w:val="1"/>
      <w:numFmt w:val="decimal"/>
      <w:lvlText w:val="表4-%5"/>
      <w:lvlJc w:val="left"/>
      <w:pPr>
        <w:ind w:left="0" w:firstLine="0"/>
      </w:pPr>
      <w:rPr>
        <w:rFonts w:hint="default" w:ascii="Times New Roman" w:hAnsi="Times New Roman" w:eastAsia="黑体"/>
        <w:b w:val="0"/>
        <w:i w:val="0"/>
        <w:sz w:val="24"/>
      </w:rPr>
    </w:lvl>
    <w:lvl w:ilvl="5" w:tentative="0">
      <w:start w:val="1"/>
      <w:numFmt w:val="decimal"/>
      <w:lvlRestart w:val="0"/>
      <w:suff w:val="space"/>
      <w:lvlText w:val="图%6"/>
      <w:lvlJc w:val="left"/>
      <w:pPr>
        <w:ind w:left="0" w:firstLine="0"/>
      </w:pPr>
      <w:rPr>
        <w:rFonts w:hint="default" w:ascii="Times New Roman" w:hAnsi="Times New Roman" w:eastAsia="宋体"/>
        <w:b/>
        <w:i w:val="0"/>
        <w:sz w:val="24"/>
      </w:r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5">
    <w:nsid w:val="26A77DE2"/>
    <w:multiLevelType w:val="multilevel"/>
    <w:tmpl w:val="26A77DE2"/>
    <w:lvl w:ilvl="0" w:tentative="0">
      <w:start w:val="1"/>
      <w:numFmt w:val="decimalEnclosedCircle"/>
      <w:lvlText w:val="%1"/>
      <w:lvlJc w:val="left"/>
      <w:pPr>
        <w:ind w:left="840" w:hanging="36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E3732B6"/>
    <w:multiLevelType w:val="multilevel"/>
    <w:tmpl w:val="2E3732B6"/>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7">
    <w:nsid w:val="36035391"/>
    <w:multiLevelType w:val="multilevel"/>
    <w:tmpl w:val="36035391"/>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abstractNum w:abstractNumId="18">
    <w:nsid w:val="4DE7C153"/>
    <w:multiLevelType w:val="multilevel"/>
    <w:tmpl w:val="4DE7C153"/>
    <w:lvl w:ilvl="0" w:tentative="0">
      <w:start w:val="1"/>
      <w:numFmt w:val="chineseCountingThousand"/>
      <w:lvlText w:val="第%1章"/>
      <w:lvlJc w:val="left"/>
      <w:pPr>
        <w:tabs>
          <w:tab w:val="left" w:pos="432"/>
        </w:tabs>
        <w:ind w:left="432" w:hanging="432"/>
      </w:pPr>
    </w:lvl>
    <w:lvl w:ilvl="1" w:tentative="0">
      <w:start w:val="1"/>
      <w:numFmt w:val="decimal"/>
      <w:isLgl/>
      <w:lvlText w:val="%1.%2"/>
      <w:lvlJc w:val="left"/>
      <w:pPr>
        <w:tabs>
          <w:tab w:val="left" w:pos="576"/>
        </w:tabs>
        <w:ind w:left="576" w:hanging="576"/>
      </w:pPr>
    </w:lvl>
    <w:lvl w:ilvl="2" w:tentative="0">
      <w:start w:val="1"/>
      <w:numFmt w:val="decimal"/>
      <w:pStyle w:val="35"/>
      <w:isLgl/>
      <w:lvlText w:val="%1.%2.%3"/>
      <w:lvlJc w:val="left"/>
      <w:pPr>
        <w:tabs>
          <w:tab w:val="left" w:pos="0"/>
        </w:tabs>
        <w:ind w:left="0" w:firstLine="0"/>
      </w:pPr>
      <w:rPr>
        <w:rFonts w:hint="default" w:ascii="Times New Roman" w:hAnsi="Times New Roman" w:cs="Times New Roman"/>
        <w:sz w:val="30"/>
        <w:szCs w:val="30"/>
      </w:rPr>
    </w:lvl>
    <w:lvl w:ilvl="3" w:tentative="0">
      <w:start w:val="1"/>
      <w:numFmt w:val="decimal"/>
      <w:isLgl/>
      <w:lvlText w:val="%1.%2.%3.%4"/>
      <w:lvlJc w:val="left"/>
      <w:pPr>
        <w:tabs>
          <w:tab w:val="left" w:pos="3912"/>
        </w:tabs>
        <w:ind w:left="3912"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9">
    <w:nsid w:val="69B768DA"/>
    <w:multiLevelType w:val="multilevel"/>
    <w:tmpl w:val="69B768DA"/>
    <w:lvl w:ilvl="0" w:tentative="0">
      <w:start w:val="1"/>
      <w:numFmt w:val="decimal"/>
      <w:pStyle w:val="33"/>
      <w:lvlText w:val="表1-%1"/>
      <w:lvlJc w:val="left"/>
      <w:pPr>
        <w:tabs>
          <w:tab w:val="left" w:pos="425"/>
        </w:tabs>
        <w:ind w:left="425" w:hanging="425"/>
      </w:pPr>
      <w:rPr>
        <w:rFonts w:hint="eastAsia"/>
        <w:lang w:val="en-US"/>
      </w:rPr>
    </w:lvl>
    <w:lvl w:ilvl="1" w:tentative="0">
      <w:start w:val="1"/>
      <w:numFmt w:val="decimal"/>
      <w:lvlText w:val="2.%2."/>
      <w:lvlJc w:val="left"/>
      <w:pPr>
        <w:tabs>
          <w:tab w:val="left" w:pos="720"/>
        </w:tabs>
        <w:ind w:left="567" w:hanging="567"/>
      </w:pPr>
      <w:rPr>
        <w:rFonts w:hint="eastAsia"/>
      </w:rPr>
    </w:lvl>
    <w:lvl w:ilvl="2" w:tentative="0">
      <w:start w:val="1"/>
      <w:numFmt w:val="none"/>
      <w:lvlText w:val="4.4.5."/>
      <w:lvlJc w:val="left"/>
      <w:pPr>
        <w:tabs>
          <w:tab w:val="left" w:pos="1080"/>
        </w:tabs>
        <w:ind w:left="567" w:hanging="567"/>
      </w:pPr>
      <w:rPr>
        <w:rFonts w:hint="eastAsia"/>
      </w:rPr>
    </w:lvl>
    <w:lvl w:ilvl="3" w:tentative="0">
      <w:start w:val="1"/>
      <w:numFmt w:val="decimal"/>
      <w:lvlText w:val="%1.%2.%3.%4."/>
      <w:lvlJc w:val="left"/>
      <w:pPr>
        <w:tabs>
          <w:tab w:val="left" w:pos="1440"/>
        </w:tabs>
        <w:ind w:left="567" w:hanging="56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78B174F2"/>
    <w:multiLevelType w:val="multilevel"/>
    <w:tmpl w:val="78B174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F6BB6D8"/>
    <w:multiLevelType w:val="singleLevel"/>
    <w:tmpl w:val="7F6BB6D8"/>
    <w:lvl w:ilvl="0" w:tentative="0">
      <w:start w:val="1"/>
      <w:numFmt w:val="decimal"/>
      <w:suff w:val="nothing"/>
      <w:lvlText w:val="（%1）"/>
      <w:lvlJc w:val="left"/>
    </w:lvl>
  </w:abstractNum>
  <w:num w:numId="1">
    <w:abstractNumId w:val="14"/>
  </w:num>
  <w:num w:numId="2">
    <w:abstractNumId w:val="19"/>
  </w:num>
  <w:num w:numId="3">
    <w:abstractNumId w:val="18"/>
  </w:num>
  <w:num w:numId="4">
    <w:abstractNumId w:val="20"/>
  </w:num>
  <w:num w:numId="5">
    <w:abstractNumId w:val="6"/>
  </w:num>
  <w:num w:numId="6">
    <w:abstractNumId w:val="8"/>
  </w:num>
  <w:num w:numId="7">
    <w:abstractNumId w:val="13"/>
  </w:num>
  <w:num w:numId="8">
    <w:abstractNumId w:val="21"/>
  </w:num>
  <w:num w:numId="9">
    <w:abstractNumId w:val="9"/>
  </w:num>
  <w:num w:numId="10">
    <w:abstractNumId w:val="4"/>
  </w:num>
  <w:num w:numId="11">
    <w:abstractNumId w:val="10"/>
  </w:num>
  <w:num w:numId="12">
    <w:abstractNumId w:val="5"/>
  </w:num>
  <w:num w:numId="13">
    <w:abstractNumId w:val="2"/>
  </w:num>
  <w:num w:numId="14">
    <w:abstractNumId w:val="12"/>
  </w:num>
  <w:num w:numId="15">
    <w:abstractNumId w:val="7"/>
  </w:num>
  <w:num w:numId="16">
    <w:abstractNumId w:val="16"/>
  </w:num>
  <w:num w:numId="17">
    <w:abstractNumId w:val="17"/>
  </w:num>
  <w:num w:numId="18">
    <w:abstractNumId w:val="15"/>
  </w:num>
  <w:num w:numId="19">
    <w:abstractNumId w:val="0"/>
  </w:num>
  <w:num w:numId="20">
    <w:abstractNumId w:val="1"/>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noPunctuationKerning w:val="1"/>
  <w:characterSpacingControl w:val="doNotCompress"/>
  <w:noLineBreaksAfter w:lang="zh-CN" w:val="([{·‘“〈《「『【〔〖（．［｛￡￥"/>
  <w:noLineBreaksBefore w:lang="zh-CN" w:val="!),.:;?]}¨·ˇˉ―‖’”…∶、。〃々〉》」』】〕〗！＂＇），．：；？］｀｜｝～￠"/>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NzVjZTU2MjNmYzU4ZGNjMzIxNGI1YjY2ZGM3ZGQifQ=="/>
    <w:docVar w:name="KSO_WPS_MARK_KEY" w:val="22876c7b-6a5d-4d8c-af6d-e3a327d16f40"/>
  </w:docVars>
  <w:rsids>
    <w:rsidRoot w:val="00172A27"/>
    <w:rsid w:val="00000337"/>
    <w:rsid w:val="000060B3"/>
    <w:rsid w:val="00014820"/>
    <w:rsid w:val="00014B46"/>
    <w:rsid w:val="0002424B"/>
    <w:rsid w:val="00025229"/>
    <w:rsid w:val="00035EEA"/>
    <w:rsid w:val="000367DC"/>
    <w:rsid w:val="0004169D"/>
    <w:rsid w:val="0004364B"/>
    <w:rsid w:val="00047C7F"/>
    <w:rsid w:val="00057C60"/>
    <w:rsid w:val="00060A32"/>
    <w:rsid w:val="000610DB"/>
    <w:rsid w:val="00061B1F"/>
    <w:rsid w:val="000646C7"/>
    <w:rsid w:val="00067B62"/>
    <w:rsid w:val="000733C4"/>
    <w:rsid w:val="00074783"/>
    <w:rsid w:val="00075621"/>
    <w:rsid w:val="00077672"/>
    <w:rsid w:val="0008070B"/>
    <w:rsid w:val="000810AC"/>
    <w:rsid w:val="00081A02"/>
    <w:rsid w:val="00082231"/>
    <w:rsid w:val="0009196D"/>
    <w:rsid w:val="00092D38"/>
    <w:rsid w:val="0009377B"/>
    <w:rsid w:val="00095808"/>
    <w:rsid w:val="00096F24"/>
    <w:rsid w:val="000A13D3"/>
    <w:rsid w:val="000A20C9"/>
    <w:rsid w:val="000B0088"/>
    <w:rsid w:val="000B058F"/>
    <w:rsid w:val="000B1CA8"/>
    <w:rsid w:val="000B3DF4"/>
    <w:rsid w:val="000B4467"/>
    <w:rsid w:val="000B4DB9"/>
    <w:rsid w:val="000C09AC"/>
    <w:rsid w:val="000C18B0"/>
    <w:rsid w:val="000C2C9C"/>
    <w:rsid w:val="000C767F"/>
    <w:rsid w:val="000D1FA4"/>
    <w:rsid w:val="000D5A44"/>
    <w:rsid w:val="000E3ED2"/>
    <w:rsid w:val="000F281A"/>
    <w:rsid w:val="0010197A"/>
    <w:rsid w:val="00105F84"/>
    <w:rsid w:val="00113C9E"/>
    <w:rsid w:val="0012533A"/>
    <w:rsid w:val="00125982"/>
    <w:rsid w:val="00131F42"/>
    <w:rsid w:val="00132E4B"/>
    <w:rsid w:val="001357F1"/>
    <w:rsid w:val="00140FA8"/>
    <w:rsid w:val="00141BFF"/>
    <w:rsid w:val="001427EE"/>
    <w:rsid w:val="0014291D"/>
    <w:rsid w:val="00142FEB"/>
    <w:rsid w:val="00143A2D"/>
    <w:rsid w:val="00145A41"/>
    <w:rsid w:val="001472D7"/>
    <w:rsid w:val="00151675"/>
    <w:rsid w:val="00157435"/>
    <w:rsid w:val="001577A4"/>
    <w:rsid w:val="001617C2"/>
    <w:rsid w:val="001618C2"/>
    <w:rsid w:val="00162A20"/>
    <w:rsid w:val="0016554E"/>
    <w:rsid w:val="001674AF"/>
    <w:rsid w:val="00172A27"/>
    <w:rsid w:val="00173DF8"/>
    <w:rsid w:val="00174124"/>
    <w:rsid w:val="0017504D"/>
    <w:rsid w:val="0017671A"/>
    <w:rsid w:val="00177422"/>
    <w:rsid w:val="0018311E"/>
    <w:rsid w:val="00184590"/>
    <w:rsid w:val="0018548A"/>
    <w:rsid w:val="001870D1"/>
    <w:rsid w:val="0018781E"/>
    <w:rsid w:val="0019262D"/>
    <w:rsid w:val="00193BDC"/>
    <w:rsid w:val="00196DA5"/>
    <w:rsid w:val="001A1106"/>
    <w:rsid w:val="001A1397"/>
    <w:rsid w:val="001A1B35"/>
    <w:rsid w:val="001A48A2"/>
    <w:rsid w:val="001A65B9"/>
    <w:rsid w:val="001A6F61"/>
    <w:rsid w:val="001B1C9F"/>
    <w:rsid w:val="001B64FE"/>
    <w:rsid w:val="001B72B8"/>
    <w:rsid w:val="001C3110"/>
    <w:rsid w:val="001C5CD4"/>
    <w:rsid w:val="001C69B3"/>
    <w:rsid w:val="001D1B18"/>
    <w:rsid w:val="001D36AE"/>
    <w:rsid w:val="001D5595"/>
    <w:rsid w:val="001D5ACE"/>
    <w:rsid w:val="001D7874"/>
    <w:rsid w:val="001D7F22"/>
    <w:rsid w:val="001E0251"/>
    <w:rsid w:val="001F0F17"/>
    <w:rsid w:val="001F1587"/>
    <w:rsid w:val="001F3347"/>
    <w:rsid w:val="001F69E4"/>
    <w:rsid w:val="00203C65"/>
    <w:rsid w:val="00211E1C"/>
    <w:rsid w:val="002125B4"/>
    <w:rsid w:val="00212B24"/>
    <w:rsid w:val="00212C91"/>
    <w:rsid w:val="00214FA0"/>
    <w:rsid w:val="002155B8"/>
    <w:rsid w:val="0022004E"/>
    <w:rsid w:val="00222C54"/>
    <w:rsid w:val="00224839"/>
    <w:rsid w:val="002249B2"/>
    <w:rsid w:val="00226574"/>
    <w:rsid w:val="002278EC"/>
    <w:rsid w:val="0023280E"/>
    <w:rsid w:val="00232AA1"/>
    <w:rsid w:val="002330D5"/>
    <w:rsid w:val="002353B9"/>
    <w:rsid w:val="002377D1"/>
    <w:rsid w:val="00247017"/>
    <w:rsid w:val="00247905"/>
    <w:rsid w:val="002506BC"/>
    <w:rsid w:val="00254345"/>
    <w:rsid w:val="0025502C"/>
    <w:rsid w:val="0026409C"/>
    <w:rsid w:val="00264557"/>
    <w:rsid w:val="00265387"/>
    <w:rsid w:val="002805AB"/>
    <w:rsid w:val="00284204"/>
    <w:rsid w:val="002872F4"/>
    <w:rsid w:val="00291773"/>
    <w:rsid w:val="00291828"/>
    <w:rsid w:val="0029202E"/>
    <w:rsid w:val="002968EF"/>
    <w:rsid w:val="002A168C"/>
    <w:rsid w:val="002A3DC7"/>
    <w:rsid w:val="002A6623"/>
    <w:rsid w:val="002A6C6A"/>
    <w:rsid w:val="002A71BC"/>
    <w:rsid w:val="002A768C"/>
    <w:rsid w:val="002A7FC8"/>
    <w:rsid w:val="002B0373"/>
    <w:rsid w:val="002B2DE7"/>
    <w:rsid w:val="002B4997"/>
    <w:rsid w:val="002B49E2"/>
    <w:rsid w:val="002B7B00"/>
    <w:rsid w:val="002B7C44"/>
    <w:rsid w:val="002C2B17"/>
    <w:rsid w:val="002D1C1B"/>
    <w:rsid w:val="002D3DD0"/>
    <w:rsid w:val="002E1AC4"/>
    <w:rsid w:val="002E1F3A"/>
    <w:rsid w:val="002E298A"/>
    <w:rsid w:val="002E38CF"/>
    <w:rsid w:val="00301978"/>
    <w:rsid w:val="0030332C"/>
    <w:rsid w:val="00303889"/>
    <w:rsid w:val="003051C2"/>
    <w:rsid w:val="00305370"/>
    <w:rsid w:val="00312296"/>
    <w:rsid w:val="00314248"/>
    <w:rsid w:val="0031477C"/>
    <w:rsid w:val="00314D53"/>
    <w:rsid w:val="00314F0E"/>
    <w:rsid w:val="00321D8E"/>
    <w:rsid w:val="00323A88"/>
    <w:rsid w:val="00324A76"/>
    <w:rsid w:val="003258F0"/>
    <w:rsid w:val="00325928"/>
    <w:rsid w:val="00326D9B"/>
    <w:rsid w:val="003302D2"/>
    <w:rsid w:val="00331D5E"/>
    <w:rsid w:val="00332863"/>
    <w:rsid w:val="003332B6"/>
    <w:rsid w:val="0033684D"/>
    <w:rsid w:val="00337B42"/>
    <w:rsid w:val="003400B4"/>
    <w:rsid w:val="00341585"/>
    <w:rsid w:val="00341B42"/>
    <w:rsid w:val="0034348F"/>
    <w:rsid w:val="0034409C"/>
    <w:rsid w:val="003458AD"/>
    <w:rsid w:val="00352FA6"/>
    <w:rsid w:val="0035568F"/>
    <w:rsid w:val="00355955"/>
    <w:rsid w:val="00356653"/>
    <w:rsid w:val="0035743F"/>
    <w:rsid w:val="00357BE2"/>
    <w:rsid w:val="0036170C"/>
    <w:rsid w:val="00366DB9"/>
    <w:rsid w:val="00366E0F"/>
    <w:rsid w:val="0037013C"/>
    <w:rsid w:val="00373324"/>
    <w:rsid w:val="003754F3"/>
    <w:rsid w:val="003766B2"/>
    <w:rsid w:val="00377364"/>
    <w:rsid w:val="003815DF"/>
    <w:rsid w:val="00381A72"/>
    <w:rsid w:val="00381B3A"/>
    <w:rsid w:val="00382710"/>
    <w:rsid w:val="00383176"/>
    <w:rsid w:val="003837E1"/>
    <w:rsid w:val="00384676"/>
    <w:rsid w:val="00390857"/>
    <w:rsid w:val="0039186B"/>
    <w:rsid w:val="0039247B"/>
    <w:rsid w:val="003944EC"/>
    <w:rsid w:val="003A0361"/>
    <w:rsid w:val="003A07BC"/>
    <w:rsid w:val="003A0A28"/>
    <w:rsid w:val="003A19BF"/>
    <w:rsid w:val="003A1AB3"/>
    <w:rsid w:val="003A288F"/>
    <w:rsid w:val="003A45A6"/>
    <w:rsid w:val="003A4BF3"/>
    <w:rsid w:val="003A50CC"/>
    <w:rsid w:val="003A5DB3"/>
    <w:rsid w:val="003B1305"/>
    <w:rsid w:val="003B420D"/>
    <w:rsid w:val="003B641D"/>
    <w:rsid w:val="003C5FA5"/>
    <w:rsid w:val="003C6AFE"/>
    <w:rsid w:val="003C6C16"/>
    <w:rsid w:val="003D0245"/>
    <w:rsid w:val="003D730A"/>
    <w:rsid w:val="003D794D"/>
    <w:rsid w:val="003E3058"/>
    <w:rsid w:val="003E3250"/>
    <w:rsid w:val="003E3F3C"/>
    <w:rsid w:val="003E76A9"/>
    <w:rsid w:val="003F0809"/>
    <w:rsid w:val="003F2750"/>
    <w:rsid w:val="003F2D83"/>
    <w:rsid w:val="003F6A8C"/>
    <w:rsid w:val="003F755C"/>
    <w:rsid w:val="00406C60"/>
    <w:rsid w:val="00406F01"/>
    <w:rsid w:val="00410257"/>
    <w:rsid w:val="00412CB6"/>
    <w:rsid w:val="00412F5E"/>
    <w:rsid w:val="00416D50"/>
    <w:rsid w:val="00416FD5"/>
    <w:rsid w:val="00417772"/>
    <w:rsid w:val="00417825"/>
    <w:rsid w:val="0042013F"/>
    <w:rsid w:val="00420E6A"/>
    <w:rsid w:val="00425A9E"/>
    <w:rsid w:val="00426D6B"/>
    <w:rsid w:val="004310D9"/>
    <w:rsid w:val="00431E6C"/>
    <w:rsid w:val="00433CE7"/>
    <w:rsid w:val="004343F2"/>
    <w:rsid w:val="004466B9"/>
    <w:rsid w:val="004519D0"/>
    <w:rsid w:val="00452738"/>
    <w:rsid w:val="00453168"/>
    <w:rsid w:val="00453CF9"/>
    <w:rsid w:val="00456091"/>
    <w:rsid w:val="0046624F"/>
    <w:rsid w:val="00466321"/>
    <w:rsid w:val="00466A41"/>
    <w:rsid w:val="00473534"/>
    <w:rsid w:val="0047412B"/>
    <w:rsid w:val="00474F75"/>
    <w:rsid w:val="00474FCE"/>
    <w:rsid w:val="00477EFD"/>
    <w:rsid w:val="00484B9B"/>
    <w:rsid w:val="004855F6"/>
    <w:rsid w:val="0048661E"/>
    <w:rsid w:val="00494670"/>
    <w:rsid w:val="00495B5F"/>
    <w:rsid w:val="004A3823"/>
    <w:rsid w:val="004A70A4"/>
    <w:rsid w:val="004A78EC"/>
    <w:rsid w:val="004D23BA"/>
    <w:rsid w:val="004E1586"/>
    <w:rsid w:val="004E6946"/>
    <w:rsid w:val="004F1AD8"/>
    <w:rsid w:val="004F236E"/>
    <w:rsid w:val="004F5C29"/>
    <w:rsid w:val="00500FB2"/>
    <w:rsid w:val="00502045"/>
    <w:rsid w:val="005039CB"/>
    <w:rsid w:val="0050558F"/>
    <w:rsid w:val="00506286"/>
    <w:rsid w:val="00510813"/>
    <w:rsid w:val="00510D24"/>
    <w:rsid w:val="00511990"/>
    <w:rsid w:val="00511DE0"/>
    <w:rsid w:val="0051397D"/>
    <w:rsid w:val="0051443E"/>
    <w:rsid w:val="00514870"/>
    <w:rsid w:val="00514B9B"/>
    <w:rsid w:val="00517F02"/>
    <w:rsid w:val="00524303"/>
    <w:rsid w:val="00524A8F"/>
    <w:rsid w:val="005258A2"/>
    <w:rsid w:val="00532F92"/>
    <w:rsid w:val="00534775"/>
    <w:rsid w:val="005401AE"/>
    <w:rsid w:val="00542E07"/>
    <w:rsid w:val="00545424"/>
    <w:rsid w:val="00551120"/>
    <w:rsid w:val="00551982"/>
    <w:rsid w:val="00551B7A"/>
    <w:rsid w:val="005525D3"/>
    <w:rsid w:val="005543AF"/>
    <w:rsid w:val="00554A7B"/>
    <w:rsid w:val="0055572C"/>
    <w:rsid w:val="0056106A"/>
    <w:rsid w:val="0056108A"/>
    <w:rsid w:val="00566ABB"/>
    <w:rsid w:val="005720AE"/>
    <w:rsid w:val="005741B5"/>
    <w:rsid w:val="00593C81"/>
    <w:rsid w:val="00594B69"/>
    <w:rsid w:val="00594D77"/>
    <w:rsid w:val="005964AA"/>
    <w:rsid w:val="005969E4"/>
    <w:rsid w:val="005A06B7"/>
    <w:rsid w:val="005A0EF7"/>
    <w:rsid w:val="005A1759"/>
    <w:rsid w:val="005A1934"/>
    <w:rsid w:val="005A2E7F"/>
    <w:rsid w:val="005A35B5"/>
    <w:rsid w:val="005A68A7"/>
    <w:rsid w:val="005B20B5"/>
    <w:rsid w:val="005B40A5"/>
    <w:rsid w:val="005B6897"/>
    <w:rsid w:val="005C0BA0"/>
    <w:rsid w:val="005C3CD5"/>
    <w:rsid w:val="005C602E"/>
    <w:rsid w:val="005D15CA"/>
    <w:rsid w:val="005D2E06"/>
    <w:rsid w:val="005D36AB"/>
    <w:rsid w:val="005E0F73"/>
    <w:rsid w:val="005E11D6"/>
    <w:rsid w:val="005E28AD"/>
    <w:rsid w:val="005F00A5"/>
    <w:rsid w:val="005F1929"/>
    <w:rsid w:val="005F29DD"/>
    <w:rsid w:val="005F2F37"/>
    <w:rsid w:val="0060452E"/>
    <w:rsid w:val="006063BC"/>
    <w:rsid w:val="006107FE"/>
    <w:rsid w:val="0061776B"/>
    <w:rsid w:val="00617CC3"/>
    <w:rsid w:val="006259CB"/>
    <w:rsid w:val="00627584"/>
    <w:rsid w:val="006377A6"/>
    <w:rsid w:val="00637A3D"/>
    <w:rsid w:val="006411EF"/>
    <w:rsid w:val="00643610"/>
    <w:rsid w:val="006455F5"/>
    <w:rsid w:val="006470C5"/>
    <w:rsid w:val="006472F8"/>
    <w:rsid w:val="0064778E"/>
    <w:rsid w:val="0065390D"/>
    <w:rsid w:val="00666442"/>
    <w:rsid w:val="00670AF2"/>
    <w:rsid w:val="00671403"/>
    <w:rsid w:val="00671EFF"/>
    <w:rsid w:val="006748B8"/>
    <w:rsid w:val="00675E93"/>
    <w:rsid w:val="006775C3"/>
    <w:rsid w:val="00683347"/>
    <w:rsid w:val="00685553"/>
    <w:rsid w:val="006878A5"/>
    <w:rsid w:val="00690B34"/>
    <w:rsid w:val="0069290A"/>
    <w:rsid w:val="00692F5D"/>
    <w:rsid w:val="00694BB5"/>
    <w:rsid w:val="00694DF4"/>
    <w:rsid w:val="0069775A"/>
    <w:rsid w:val="00697813"/>
    <w:rsid w:val="006A16C7"/>
    <w:rsid w:val="006A2B0D"/>
    <w:rsid w:val="006A3EE8"/>
    <w:rsid w:val="006A72BF"/>
    <w:rsid w:val="006B03F2"/>
    <w:rsid w:val="006B1C03"/>
    <w:rsid w:val="006B37DC"/>
    <w:rsid w:val="006B4F68"/>
    <w:rsid w:val="006B6CAA"/>
    <w:rsid w:val="006B6D63"/>
    <w:rsid w:val="006C0592"/>
    <w:rsid w:val="006C272E"/>
    <w:rsid w:val="006C5479"/>
    <w:rsid w:val="006C5B31"/>
    <w:rsid w:val="006D13B5"/>
    <w:rsid w:val="006D2044"/>
    <w:rsid w:val="006D256E"/>
    <w:rsid w:val="006D6DBF"/>
    <w:rsid w:val="006D729B"/>
    <w:rsid w:val="006E12FF"/>
    <w:rsid w:val="006E47CF"/>
    <w:rsid w:val="006E607E"/>
    <w:rsid w:val="006F3D79"/>
    <w:rsid w:val="006F3FF1"/>
    <w:rsid w:val="00700446"/>
    <w:rsid w:val="007043AC"/>
    <w:rsid w:val="00704579"/>
    <w:rsid w:val="00706C5D"/>
    <w:rsid w:val="00710541"/>
    <w:rsid w:val="00711777"/>
    <w:rsid w:val="00716905"/>
    <w:rsid w:val="007176AD"/>
    <w:rsid w:val="0072405A"/>
    <w:rsid w:val="00724582"/>
    <w:rsid w:val="00731FEA"/>
    <w:rsid w:val="007327CF"/>
    <w:rsid w:val="00732922"/>
    <w:rsid w:val="007329B5"/>
    <w:rsid w:val="00732AE8"/>
    <w:rsid w:val="00736532"/>
    <w:rsid w:val="007372F3"/>
    <w:rsid w:val="00740617"/>
    <w:rsid w:val="00743F48"/>
    <w:rsid w:val="007457FF"/>
    <w:rsid w:val="00747849"/>
    <w:rsid w:val="00750D55"/>
    <w:rsid w:val="0075162E"/>
    <w:rsid w:val="00751979"/>
    <w:rsid w:val="00754034"/>
    <w:rsid w:val="0075501B"/>
    <w:rsid w:val="00756556"/>
    <w:rsid w:val="007618C4"/>
    <w:rsid w:val="0076203F"/>
    <w:rsid w:val="00762C3E"/>
    <w:rsid w:val="00763581"/>
    <w:rsid w:val="0076371D"/>
    <w:rsid w:val="00763D48"/>
    <w:rsid w:val="00765A7F"/>
    <w:rsid w:val="00766576"/>
    <w:rsid w:val="00767980"/>
    <w:rsid w:val="00770B19"/>
    <w:rsid w:val="0077463F"/>
    <w:rsid w:val="00780DD0"/>
    <w:rsid w:val="007836EA"/>
    <w:rsid w:val="00784CDA"/>
    <w:rsid w:val="00785638"/>
    <w:rsid w:val="007906C4"/>
    <w:rsid w:val="007918D7"/>
    <w:rsid w:val="00792416"/>
    <w:rsid w:val="007940EA"/>
    <w:rsid w:val="0079543A"/>
    <w:rsid w:val="007967E8"/>
    <w:rsid w:val="007A0656"/>
    <w:rsid w:val="007A2170"/>
    <w:rsid w:val="007A22BF"/>
    <w:rsid w:val="007A3323"/>
    <w:rsid w:val="007A3E78"/>
    <w:rsid w:val="007A4285"/>
    <w:rsid w:val="007A517F"/>
    <w:rsid w:val="007B698D"/>
    <w:rsid w:val="007B72B8"/>
    <w:rsid w:val="007B7A58"/>
    <w:rsid w:val="007C10DA"/>
    <w:rsid w:val="007C21B5"/>
    <w:rsid w:val="007C36E7"/>
    <w:rsid w:val="007C4DDF"/>
    <w:rsid w:val="007C7561"/>
    <w:rsid w:val="007D08CB"/>
    <w:rsid w:val="007D18ED"/>
    <w:rsid w:val="007E07BC"/>
    <w:rsid w:val="007E3829"/>
    <w:rsid w:val="007E4BD2"/>
    <w:rsid w:val="007F7DF7"/>
    <w:rsid w:val="008003CD"/>
    <w:rsid w:val="00801393"/>
    <w:rsid w:val="00802F88"/>
    <w:rsid w:val="0081293E"/>
    <w:rsid w:val="0081340A"/>
    <w:rsid w:val="00815465"/>
    <w:rsid w:val="0081576B"/>
    <w:rsid w:val="0081649E"/>
    <w:rsid w:val="00817E9A"/>
    <w:rsid w:val="008306BD"/>
    <w:rsid w:val="00830DB5"/>
    <w:rsid w:val="008316E9"/>
    <w:rsid w:val="00831A80"/>
    <w:rsid w:val="00833743"/>
    <w:rsid w:val="00833DA1"/>
    <w:rsid w:val="008340A4"/>
    <w:rsid w:val="008342DF"/>
    <w:rsid w:val="0084200B"/>
    <w:rsid w:val="00844521"/>
    <w:rsid w:val="008465E9"/>
    <w:rsid w:val="008508E5"/>
    <w:rsid w:val="0085614A"/>
    <w:rsid w:val="008630CD"/>
    <w:rsid w:val="00865A0B"/>
    <w:rsid w:val="00867D8D"/>
    <w:rsid w:val="008701C3"/>
    <w:rsid w:val="0087135F"/>
    <w:rsid w:val="00872D94"/>
    <w:rsid w:val="0087594B"/>
    <w:rsid w:val="00876A29"/>
    <w:rsid w:val="008770FA"/>
    <w:rsid w:val="00877C14"/>
    <w:rsid w:val="00880364"/>
    <w:rsid w:val="00891592"/>
    <w:rsid w:val="00891E9E"/>
    <w:rsid w:val="008969B9"/>
    <w:rsid w:val="008A2BF3"/>
    <w:rsid w:val="008A2F68"/>
    <w:rsid w:val="008A4A29"/>
    <w:rsid w:val="008A52C8"/>
    <w:rsid w:val="008B1406"/>
    <w:rsid w:val="008B4FA6"/>
    <w:rsid w:val="008B5282"/>
    <w:rsid w:val="008B60A8"/>
    <w:rsid w:val="008B7C17"/>
    <w:rsid w:val="008C2D01"/>
    <w:rsid w:val="008C40E6"/>
    <w:rsid w:val="008C5D47"/>
    <w:rsid w:val="008D0F7A"/>
    <w:rsid w:val="008D1050"/>
    <w:rsid w:val="008D5587"/>
    <w:rsid w:val="008D68E4"/>
    <w:rsid w:val="008E0506"/>
    <w:rsid w:val="008E0CFF"/>
    <w:rsid w:val="008E4F29"/>
    <w:rsid w:val="008E5ABC"/>
    <w:rsid w:val="008E5D6B"/>
    <w:rsid w:val="008E5E54"/>
    <w:rsid w:val="008E76F0"/>
    <w:rsid w:val="008F15FE"/>
    <w:rsid w:val="008F2D29"/>
    <w:rsid w:val="008F5187"/>
    <w:rsid w:val="008F60D8"/>
    <w:rsid w:val="0090023A"/>
    <w:rsid w:val="00902727"/>
    <w:rsid w:val="0090312B"/>
    <w:rsid w:val="0090562F"/>
    <w:rsid w:val="009056F9"/>
    <w:rsid w:val="00906A38"/>
    <w:rsid w:val="00915077"/>
    <w:rsid w:val="0091736D"/>
    <w:rsid w:val="0093037A"/>
    <w:rsid w:val="0093353A"/>
    <w:rsid w:val="009354E8"/>
    <w:rsid w:val="00940562"/>
    <w:rsid w:val="0094154D"/>
    <w:rsid w:val="009420A8"/>
    <w:rsid w:val="00942150"/>
    <w:rsid w:val="00942FAC"/>
    <w:rsid w:val="009455D8"/>
    <w:rsid w:val="00946DD0"/>
    <w:rsid w:val="0095155F"/>
    <w:rsid w:val="0095244B"/>
    <w:rsid w:val="00954429"/>
    <w:rsid w:val="00954A22"/>
    <w:rsid w:val="00956278"/>
    <w:rsid w:val="009563CE"/>
    <w:rsid w:val="00956DC5"/>
    <w:rsid w:val="009606BE"/>
    <w:rsid w:val="00960AB7"/>
    <w:rsid w:val="00960FDA"/>
    <w:rsid w:val="00965BE5"/>
    <w:rsid w:val="00973594"/>
    <w:rsid w:val="00975C29"/>
    <w:rsid w:val="009762D0"/>
    <w:rsid w:val="00976328"/>
    <w:rsid w:val="0097680D"/>
    <w:rsid w:val="00976E93"/>
    <w:rsid w:val="00982438"/>
    <w:rsid w:val="0098404C"/>
    <w:rsid w:val="00985283"/>
    <w:rsid w:val="00986ACD"/>
    <w:rsid w:val="00987C5F"/>
    <w:rsid w:val="00995992"/>
    <w:rsid w:val="0099706B"/>
    <w:rsid w:val="009974D1"/>
    <w:rsid w:val="009A03E5"/>
    <w:rsid w:val="009A0F3B"/>
    <w:rsid w:val="009A1BB4"/>
    <w:rsid w:val="009A2628"/>
    <w:rsid w:val="009A3200"/>
    <w:rsid w:val="009B0897"/>
    <w:rsid w:val="009B0CD4"/>
    <w:rsid w:val="009B3298"/>
    <w:rsid w:val="009B4E38"/>
    <w:rsid w:val="009B4E41"/>
    <w:rsid w:val="009B604D"/>
    <w:rsid w:val="009B7BD9"/>
    <w:rsid w:val="009C0CAF"/>
    <w:rsid w:val="009C1643"/>
    <w:rsid w:val="009C3AEB"/>
    <w:rsid w:val="009C7DD5"/>
    <w:rsid w:val="009E227D"/>
    <w:rsid w:val="009E5019"/>
    <w:rsid w:val="009E795F"/>
    <w:rsid w:val="009F09E8"/>
    <w:rsid w:val="009F1808"/>
    <w:rsid w:val="009F24C7"/>
    <w:rsid w:val="009F33E0"/>
    <w:rsid w:val="009F50D6"/>
    <w:rsid w:val="00A04F1B"/>
    <w:rsid w:val="00A0501B"/>
    <w:rsid w:val="00A06D0E"/>
    <w:rsid w:val="00A11388"/>
    <w:rsid w:val="00A140AF"/>
    <w:rsid w:val="00A14947"/>
    <w:rsid w:val="00A203C2"/>
    <w:rsid w:val="00A21EA8"/>
    <w:rsid w:val="00A32A5E"/>
    <w:rsid w:val="00A32A83"/>
    <w:rsid w:val="00A33C55"/>
    <w:rsid w:val="00A368DB"/>
    <w:rsid w:val="00A423AA"/>
    <w:rsid w:val="00A43204"/>
    <w:rsid w:val="00A44EF5"/>
    <w:rsid w:val="00A476A3"/>
    <w:rsid w:val="00A53EC6"/>
    <w:rsid w:val="00A54BE1"/>
    <w:rsid w:val="00A55C0F"/>
    <w:rsid w:val="00A60967"/>
    <w:rsid w:val="00A61FE4"/>
    <w:rsid w:val="00A67F07"/>
    <w:rsid w:val="00A7052F"/>
    <w:rsid w:val="00A71721"/>
    <w:rsid w:val="00A85A3F"/>
    <w:rsid w:val="00A86505"/>
    <w:rsid w:val="00A86E7A"/>
    <w:rsid w:val="00A8713F"/>
    <w:rsid w:val="00A90BA1"/>
    <w:rsid w:val="00A93EB9"/>
    <w:rsid w:val="00A97A9A"/>
    <w:rsid w:val="00AA0671"/>
    <w:rsid w:val="00AA2531"/>
    <w:rsid w:val="00AB1D1A"/>
    <w:rsid w:val="00AB1E09"/>
    <w:rsid w:val="00AB5330"/>
    <w:rsid w:val="00AB7747"/>
    <w:rsid w:val="00AC14CE"/>
    <w:rsid w:val="00AC2A56"/>
    <w:rsid w:val="00AC4AFD"/>
    <w:rsid w:val="00AC619F"/>
    <w:rsid w:val="00AC62DB"/>
    <w:rsid w:val="00AC7642"/>
    <w:rsid w:val="00AD055E"/>
    <w:rsid w:val="00AD0671"/>
    <w:rsid w:val="00AD14B9"/>
    <w:rsid w:val="00AD3878"/>
    <w:rsid w:val="00AD47A7"/>
    <w:rsid w:val="00AD49B1"/>
    <w:rsid w:val="00AD7F95"/>
    <w:rsid w:val="00AE02DE"/>
    <w:rsid w:val="00AE18F2"/>
    <w:rsid w:val="00AE1F95"/>
    <w:rsid w:val="00AE2A32"/>
    <w:rsid w:val="00AF0CBF"/>
    <w:rsid w:val="00AF257F"/>
    <w:rsid w:val="00AF2A8A"/>
    <w:rsid w:val="00AF33CF"/>
    <w:rsid w:val="00AF401F"/>
    <w:rsid w:val="00AF4D50"/>
    <w:rsid w:val="00AF6179"/>
    <w:rsid w:val="00B03EE0"/>
    <w:rsid w:val="00B04200"/>
    <w:rsid w:val="00B1295A"/>
    <w:rsid w:val="00B131FE"/>
    <w:rsid w:val="00B1521B"/>
    <w:rsid w:val="00B20019"/>
    <w:rsid w:val="00B20A45"/>
    <w:rsid w:val="00B22C5C"/>
    <w:rsid w:val="00B24F30"/>
    <w:rsid w:val="00B2637A"/>
    <w:rsid w:val="00B31ABF"/>
    <w:rsid w:val="00B33BE3"/>
    <w:rsid w:val="00B347C3"/>
    <w:rsid w:val="00B42AC4"/>
    <w:rsid w:val="00B45FB1"/>
    <w:rsid w:val="00B502B7"/>
    <w:rsid w:val="00B53B5D"/>
    <w:rsid w:val="00B55ABE"/>
    <w:rsid w:val="00B56B0A"/>
    <w:rsid w:val="00B56C3F"/>
    <w:rsid w:val="00B56C51"/>
    <w:rsid w:val="00B57F8D"/>
    <w:rsid w:val="00B6055E"/>
    <w:rsid w:val="00B60CDA"/>
    <w:rsid w:val="00B6122C"/>
    <w:rsid w:val="00B6317D"/>
    <w:rsid w:val="00B631ED"/>
    <w:rsid w:val="00B718F0"/>
    <w:rsid w:val="00B72B38"/>
    <w:rsid w:val="00B75644"/>
    <w:rsid w:val="00B7723F"/>
    <w:rsid w:val="00B80534"/>
    <w:rsid w:val="00B81585"/>
    <w:rsid w:val="00B82C88"/>
    <w:rsid w:val="00B8433C"/>
    <w:rsid w:val="00B85DA1"/>
    <w:rsid w:val="00B86AA9"/>
    <w:rsid w:val="00B87491"/>
    <w:rsid w:val="00B93099"/>
    <w:rsid w:val="00B965ED"/>
    <w:rsid w:val="00B972CE"/>
    <w:rsid w:val="00BA29E9"/>
    <w:rsid w:val="00BA5198"/>
    <w:rsid w:val="00BA52C3"/>
    <w:rsid w:val="00BA6EE8"/>
    <w:rsid w:val="00BA7142"/>
    <w:rsid w:val="00BB237C"/>
    <w:rsid w:val="00BB41A3"/>
    <w:rsid w:val="00BB548A"/>
    <w:rsid w:val="00BC28DB"/>
    <w:rsid w:val="00BC32DC"/>
    <w:rsid w:val="00BC35B6"/>
    <w:rsid w:val="00BC405F"/>
    <w:rsid w:val="00BC53AE"/>
    <w:rsid w:val="00BD1B51"/>
    <w:rsid w:val="00BD4596"/>
    <w:rsid w:val="00BE0196"/>
    <w:rsid w:val="00BE0229"/>
    <w:rsid w:val="00BE04D4"/>
    <w:rsid w:val="00BE1405"/>
    <w:rsid w:val="00BE14C6"/>
    <w:rsid w:val="00BE312D"/>
    <w:rsid w:val="00BE5D3E"/>
    <w:rsid w:val="00BF1C20"/>
    <w:rsid w:val="00C01195"/>
    <w:rsid w:val="00C014D5"/>
    <w:rsid w:val="00C02BC3"/>
    <w:rsid w:val="00C058D5"/>
    <w:rsid w:val="00C074FD"/>
    <w:rsid w:val="00C10578"/>
    <w:rsid w:val="00C135BC"/>
    <w:rsid w:val="00C15C95"/>
    <w:rsid w:val="00C16D5F"/>
    <w:rsid w:val="00C17499"/>
    <w:rsid w:val="00C236C8"/>
    <w:rsid w:val="00C23D70"/>
    <w:rsid w:val="00C24BF1"/>
    <w:rsid w:val="00C24D86"/>
    <w:rsid w:val="00C2596A"/>
    <w:rsid w:val="00C27537"/>
    <w:rsid w:val="00C27569"/>
    <w:rsid w:val="00C31C96"/>
    <w:rsid w:val="00C328FE"/>
    <w:rsid w:val="00C33507"/>
    <w:rsid w:val="00C35B8C"/>
    <w:rsid w:val="00C36A5C"/>
    <w:rsid w:val="00C44041"/>
    <w:rsid w:val="00C4409D"/>
    <w:rsid w:val="00C44E72"/>
    <w:rsid w:val="00C44F86"/>
    <w:rsid w:val="00C45A06"/>
    <w:rsid w:val="00C47E5B"/>
    <w:rsid w:val="00C5164B"/>
    <w:rsid w:val="00C524E9"/>
    <w:rsid w:val="00C55C47"/>
    <w:rsid w:val="00C56334"/>
    <w:rsid w:val="00C61E4B"/>
    <w:rsid w:val="00C6431F"/>
    <w:rsid w:val="00C643AC"/>
    <w:rsid w:val="00C64BFF"/>
    <w:rsid w:val="00C66CF6"/>
    <w:rsid w:val="00C704E9"/>
    <w:rsid w:val="00C70C05"/>
    <w:rsid w:val="00C742D9"/>
    <w:rsid w:val="00C763C9"/>
    <w:rsid w:val="00C80057"/>
    <w:rsid w:val="00C80A0B"/>
    <w:rsid w:val="00C81885"/>
    <w:rsid w:val="00C82232"/>
    <w:rsid w:val="00C82913"/>
    <w:rsid w:val="00C83205"/>
    <w:rsid w:val="00C972B1"/>
    <w:rsid w:val="00CA01CC"/>
    <w:rsid w:val="00CA035F"/>
    <w:rsid w:val="00CA2CCE"/>
    <w:rsid w:val="00CA43FD"/>
    <w:rsid w:val="00CA4C71"/>
    <w:rsid w:val="00CA7EF8"/>
    <w:rsid w:val="00CB0F78"/>
    <w:rsid w:val="00CB5924"/>
    <w:rsid w:val="00CC03E1"/>
    <w:rsid w:val="00CC489B"/>
    <w:rsid w:val="00CD01D6"/>
    <w:rsid w:val="00CD1AAC"/>
    <w:rsid w:val="00CD2BCD"/>
    <w:rsid w:val="00CD3A4C"/>
    <w:rsid w:val="00CE10E9"/>
    <w:rsid w:val="00CE1AE0"/>
    <w:rsid w:val="00CE1F91"/>
    <w:rsid w:val="00CE2910"/>
    <w:rsid w:val="00CE5393"/>
    <w:rsid w:val="00CE732E"/>
    <w:rsid w:val="00CF2C80"/>
    <w:rsid w:val="00CF36BE"/>
    <w:rsid w:val="00CF4601"/>
    <w:rsid w:val="00CF5056"/>
    <w:rsid w:val="00CF5FE2"/>
    <w:rsid w:val="00CF6000"/>
    <w:rsid w:val="00CF6FE6"/>
    <w:rsid w:val="00D003F3"/>
    <w:rsid w:val="00D0364F"/>
    <w:rsid w:val="00D054E0"/>
    <w:rsid w:val="00D06834"/>
    <w:rsid w:val="00D07DE7"/>
    <w:rsid w:val="00D10E22"/>
    <w:rsid w:val="00D11426"/>
    <w:rsid w:val="00D13BB2"/>
    <w:rsid w:val="00D17440"/>
    <w:rsid w:val="00D267F2"/>
    <w:rsid w:val="00D2683C"/>
    <w:rsid w:val="00D308ED"/>
    <w:rsid w:val="00D33368"/>
    <w:rsid w:val="00D357A1"/>
    <w:rsid w:val="00D36D86"/>
    <w:rsid w:val="00D3755D"/>
    <w:rsid w:val="00D40F5A"/>
    <w:rsid w:val="00D41ABB"/>
    <w:rsid w:val="00D428AA"/>
    <w:rsid w:val="00D42C59"/>
    <w:rsid w:val="00D459B5"/>
    <w:rsid w:val="00D50A34"/>
    <w:rsid w:val="00D524C9"/>
    <w:rsid w:val="00D53EFA"/>
    <w:rsid w:val="00D61899"/>
    <w:rsid w:val="00D80A42"/>
    <w:rsid w:val="00D83B6A"/>
    <w:rsid w:val="00D846A0"/>
    <w:rsid w:val="00D92AC4"/>
    <w:rsid w:val="00D94138"/>
    <w:rsid w:val="00D94A7C"/>
    <w:rsid w:val="00D95896"/>
    <w:rsid w:val="00D95992"/>
    <w:rsid w:val="00D95EB3"/>
    <w:rsid w:val="00D9696E"/>
    <w:rsid w:val="00D9738A"/>
    <w:rsid w:val="00DA0161"/>
    <w:rsid w:val="00DB2983"/>
    <w:rsid w:val="00DB5210"/>
    <w:rsid w:val="00DC0195"/>
    <w:rsid w:val="00DC1257"/>
    <w:rsid w:val="00DC3DC0"/>
    <w:rsid w:val="00DC5B2B"/>
    <w:rsid w:val="00DC6F35"/>
    <w:rsid w:val="00DD318D"/>
    <w:rsid w:val="00DD367C"/>
    <w:rsid w:val="00DE15CD"/>
    <w:rsid w:val="00DF26FD"/>
    <w:rsid w:val="00DF2E12"/>
    <w:rsid w:val="00DF48A0"/>
    <w:rsid w:val="00DF514A"/>
    <w:rsid w:val="00DF6690"/>
    <w:rsid w:val="00DF6804"/>
    <w:rsid w:val="00E02217"/>
    <w:rsid w:val="00E0358D"/>
    <w:rsid w:val="00E04323"/>
    <w:rsid w:val="00E06013"/>
    <w:rsid w:val="00E070A2"/>
    <w:rsid w:val="00E10978"/>
    <w:rsid w:val="00E112E8"/>
    <w:rsid w:val="00E12240"/>
    <w:rsid w:val="00E140B9"/>
    <w:rsid w:val="00E16DC9"/>
    <w:rsid w:val="00E22A1C"/>
    <w:rsid w:val="00E22B29"/>
    <w:rsid w:val="00E2656A"/>
    <w:rsid w:val="00E33AE4"/>
    <w:rsid w:val="00E3750C"/>
    <w:rsid w:val="00E412D0"/>
    <w:rsid w:val="00E44279"/>
    <w:rsid w:val="00E4532F"/>
    <w:rsid w:val="00E46A15"/>
    <w:rsid w:val="00E47417"/>
    <w:rsid w:val="00E510A0"/>
    <w:rsid w:val="00E55E4F"/>
    <w:rsid w:val="00E56322"/>
    <w:rsid w:val="00E60982"/>
    <w:rsid w:val="00E62C62"/>
    <w:rsid w:val="00E654C1"/>
    <w:rsid w:val="00E65D97"/>
    <w:rsid w:val="00E67C9D"/>
    <w:rsid w:val="00E72A5A"/>
    <w:rsid w:val="00E73354"/>
    <w:rsid w:val="00E74C23"/>
    <w:rsid w:val="00E905D1"/>
    <w:rsid w:val="00E9147E"/>
    <w:rsid w:val="00E9218D"/>
    <w:rsid w:val="00E9242D"/>
    <w:rsid w:val="00E942CF"/>
    <w:rsid w:val="00EA46D4"/>
    <w:rsid w:val="00EB2283"/>
    <w:rsid w:val="00EB27C6"/>
    <w:rsid w:val="00EB5255"/>
    <w:rsid w:val="00EB5C47"/>
    <w:rsid w:val="00EC3EAF"/>
    <w:rsid w:val="00EC414D"/>
    <w:rsid w:val="00EC4AB8"/>
    <w:rsid w:val="00EC4E53"/>
    <w:rsid w:val="00EC5151"/>
    <w:rsid w:val="00EC623B"/>
    <w:rsid w:val="00ED0639"/>
    <w:rsid w:val="00ED7A3E"/>
    <w:rsid w:val="00EE1CF1"/>
    <w:rsid w:val="00EE4536"/>
    <w:rsid w:val="00EE754F"/>
    <w:rsid w:val="00EF328E"/>
    <w:rsid w:val="00EF39E4"/>
    <w:rsid w:val="00EF4755"/>
    <w:rsid w:val="00EF7135"/>
    <w:rsid w:val="00F027DB"/>
    <w:rsid w:val="00F03702"/>
    <w:rsid w:val="00F05148"/>
    <w:rsid w:val="00F05C2F"/>
    <w:rsid w:val="00F06839"/>
    <w:rsid w:val="00F105A1"/>
    <w:rsid w:val="00F121FC"/>
    <w:rsid w:val="00F13D37"/>
    <w:rsid w:val="00F14A7A"/>
    <w:rsid w:val="00F162BE"/>
    <w:rsid w:val="00F216D4"/>
    <w:rsid w:val="00F21AD4"/>
    <w:rsid w:val="00F22985"/>
    <w:rsid w:val="00F249AC"/>
    <w:rsid w:val="00F2658A"/>
    <w:rsid w:val="00F3383E"/>
    <w:rsid w:val="00F355A6"/>
    <w:rsid w:val="00F445C4"/>
    <w:rsid w:val="00F465A7"/>
    <w:rsid w:val="00F46B64"/>
    <w:rsid w:val="00F46C3A"/>
    <w:rsid w:val="00F50477"/>
    <w:rsid w:val="00F50B7C"/>
    <w:rsid w:val="00F550E6"/>
    <w:rsid w:val="00F558BA"/>
    <w:rsid w:val="00F6554B"/>
    <w:rsid w:val="00F6661D"/>
    <w:rsid w:val="00F70863"/>
    <w:rsid w:val="00F70A99"/>
    <w:rsid w:val="00F72CA2"/>
    <w:rsid w:val="00F73075"/>
    <w:rsid w:val="00F73104"/>
    <w:rsid w:val="00F74063"/>
    <w:rsid w:val="00F74345"/>
    <w:rsid w:val="00F80A0A"/>
    <w:rsid w:val="00F820D8"/>
    <w:rsid w:val="00F82B19"/>
    <w:rsid w:val="00F8433B"/>
    <w:rsid w:val="00F86307"/>
    <w:rsid w:val="00F86BE1"/>
    <w:rsid w:val="00F91B99"/>
    <w:rsid w:val="00F91EA0"/>
    <w:rsid w:val="00F91F5D"/>
    <w:rsid w:val="00F9212D"/>
    <w:rsid w:val="00F92CBC"/>
    <w:rsid w:val="00F965DA"/>
    <w:rsid w:val="00F96EDA"/>
    <w:rsid w:val="00FA25FE"/>
    <w:rsid w:val="00FA406A"/>
    <w:rsid w:val="00FA475F"/>
    <w:rsid w:val="00FA47DD"/>
    <w:rsid w:val="00FB503A"/>
    <w:rsid w:val="00FB516C"/>
    <w:rsid w:val="00FB7922"/>
    <w:rsid w:val="00FC1D7D"/>
    <w:rsid w:val="00FC31E1"/>
    <w:rsid w:val="00FC53D2"/>
    <w:rsid w:val="00FD0236"/>
    <w:rsid w:val="00FD18F4"/>
    <w:rsid w:val="00FD38AF"/>
    <w:rsid w:val="00FD54DB"/>
    <w:rsid w:val="00FD619F"/>
    <w:rsid w:val="00FD6700"/>
    <w:rsid w:val="00FF1401"/>
    <w:rsid w:val="00FF238A"/>
    <w:rsid w:val="00FF4B1C"/>
    <w:rsid w:val="00FF5562"/>
    <w:rsid w:val="01154186"/>
    <w:rsid w:val="01290F7E"/>
    <w:rsid w:val="015D1E09"/>
    <w:rsid w:val="019E3125"/>
    <w:rsid w:val="01BD6ECD"/>
    <w:rsid w:val="01BF5575"/>
    <w:rsid w:val="02021905"/>
    <w:rsid w:val="0204567E"/>
    <w:rsid w:val="02697903"/>
    <w:rsid w:val="029577CD"/>
    <w:rsid w:val="02AC2B73"/>
    <w:rsid w:val="02B340EB"/>
    <w:rsid w:val="02CC0626"/>
    <w:rsid w:val="02F96569"/>
    <w:rsid w:val="03675EC4"/>
    <w:rsid w:val="036C34DA"/>
    <w:rsid w:val="03847A45"/>
    <w:rsid w:val="03BB4139"/>
    <w:rsid w:val="03EA7B21"/>
    <w:rsid w:val="0400191F"/>
    <w:rsid w:val="043B4C5B"/>
    <w:rsid w:val="0463317D"/>
    <w:rsid w:val="04695C6C"/>
    <w:rsid w:val="04A978C9"/>
    <w:rsid w:val="04B41175"/>
    <w:rsid w:val="05024800"/>
    <w:rsid w:val="05845B9B"/>
    <w:rsid w:val="05A337A5"/>
    <w:rsid w:val="05C0366A"/>
    <w:rsid w:val="05C81ADC"/>
    <w:rsid w:val="05CB139B"/>
    <w:rsid w:val="05F83EAE"/>
    <w:rsid w:val="06092E16"/>
    <w:rsid w:val="061F5DFF"/>
    <w:rsid w:val="063E7D85"/>
    <w:rsid w:val="066466EB"/>
    <w:rsid w:val="06B21E61"/>
    <w:rsid w:val="06C3598D"/>
    <w:rsid w:val="06CF26FD"/>
    <w:rsid w:val="06F537E7"/>
    <w:rsid w:val="0716019F"/>
    <w:rsid w:val="07293586"/>
    <w:rsid w:val="07295285"/>
    <w:rsid w:val="07310B57"/>
    <w:rsid w:val="074556FE"/>
    <w:rsid w:val="07636392"/>
    <w:rsid w:val="07770C56"/>
    <w:rsid w:val="077E48AC"/>
    <w:rsid w:val="07A76F9F"/>
    <w:rsid w:val="085F168C"/>
    <w:rsid w:val="088C1F29"/>
    <w:rsid w:val="089902D7"/>
    <w:rsid w:val="08D625DB"/>
    <w:rsid w:val="08DF7A47"/>
    <w:rsid w:val="092217DD"/>
    <w:rsid w:val="093A7294"/>
    <w:rsid w:val="094265A6"/>
    <w:rsid w:val="096E0ABE"/>
    <w:rsid w:val="09A23581"/>
    <w:rsid w:val="09C03C2F"/>
    <w:rsid w:val="09C03C99"/>
    <w:rsid w:val="09F6495A"/>
    <w:rsid w:val="0A0A396A"/>
    <w:rsid w:val="0A135A12"/>
    <w:rsid w:val="0A150910"/>
    <w:rsid w:val="0A263993"/>
    <w:rsid w:val="0A2D3AC2"/>
    <w:rsid w:val="0A336235"/>
    <w:rsid w:val="0A413A61"/>
    <w:rsid w:val="0A596CCC"/>
    <w:rsid w:val="0A5D5514"/>
    <w:rsid w:val="0A9B6453"/>
    <w:rsid w:val="0AA35B83"/>
    <w:rsid w:val="0AA50C1E"/>
    <w:rsid w:val="0AA755DF"/>
    <w:rsid w:val="0B120D44"/>
    <w:rsid w:val="0B1E349A"/>
    <w:rsid w:val="0B20525A"/>
    <w:rsid w:val="0B3D5778"/>
    <w:rsid w:val="0BC75A97"/>
    <w:rsid w:val="0BD27BF6"/>
    <w:rsid w:val="0C207D26"/>
    <w:rsid w:val="0C3B3C7D"/>
    <w:rsid w:val="0C4961A7"/>
    <w:rsid w:val="0C6F29E4"/>
    <w:rsid w:val="0C765C35"/>
    <w:rsid w:val="0CAB2EAE"/>
    <w:rsid w:val="0CF02BD5"/>
    <w:rsid w:val="0D162709"/>
    <w:rsid w:val="0D3939D6"/>
    <w:rsid w:val="0D621C7D"/>
    <w:rsid w:val="0D855D0D"/>
    <w:rsid w:val="0DBC5B31"/>
    <w:rsid w:val="0DD14781"/>
    <w:rsid w:val="0DD3190F"/>
    <w:rsid w:val="0DDF2E5A"/>
    <w:rsid w:val="0DE960F6"/>
    <w:rsid w:val="0E24463F"/>
    <w:rsid w:val="0E73034D"/>
    <w:rsid w:val="0E741495"/>
    <w:rsid w:val="0E990EFC"/>
    <w:rsid w:val="0EAB5304"/>
    <w:rsid w:val="0EAC1FDF"/>
    <w:rsid w:val="0ECE5049"/>
    <w:rsid w:val="0EDF0C04"/>
    <w:rsid w:val="0F044ADA"/>
    <w:rsid w:val="0F0516C6"/>
    <w:rsid w:val="0F13775A"/>
    <w:rsid w:val="0F5F45FE"/>
    <w:rsid w:val="0F94357C"/>
    <w:rsid w:val="0F9A112B"/>
    <w:rsid w:val="10106773"/>
    <w:rsid w:val="106D2F64"/>
    <w:rsid w:val="10B4359F"/>
    <w:rsid w:val="10B63710"/>
    <w:rsid w:val="10F10820"/>
    <w:rsid w:val="111C2F7A"/>
    <w:rsid w:val="11665CA1"/>
    <w:rsid w:val="11966099"/>
    <w:rsid w:val="119A4505"/>
    <w:rsid w:val="11E06E41"/>
    <w:rsid w:val="124155B8"/>
    <w:rsid w:val="12686472"/>
    <w:rsid w:val="128D521B"/>
    <w:rsid w:val="13111463"/>
    <w:rsid w:val="13951726"/>
    <w:rsid w:val="13BA672E"/>
    <w:rsid w:val="142810D0"/>
    <w:rsid w:val="14305E5E"/>
    <w:rsid w:val="14396509"/>
    <w:rsid w:val="145A48D8"/>
    <w:rsid w:val="14C121AD"/>
    <w:rsid w:val="14D10E78"/>
    <w:rsid w:val="14D12B01"/>
    <w:rsid w:val="14DD2C3C"/>
    <w:rsid w:val="14E06002"/>
    <w:rsid w:val="151E22C8"/>
    <w:rsid w:val="15607C26"/>
    <w:rsid w:val="15F83EAA"/>
    <w:rsid w:val="16087E1D"/>
    <w:rsid w:val="160E641B"/>
    <w:rsid w:val="162E5E5D"/>
    <w:rsid w:val="1663620B"/>
    <w:rsid w:val="166F7E9E"/>
    <w:rsid w:val="16C11DA3"/>
    <w:rsid w:val="1701702A"/>
    <w:rsid w:val="173A128B"/>
    <w:rsid w:val="17660320"/>
    <w:rsid w:val="17701D14"/>
    <w:rsid w:val="17735226"/>
    <w:rsid w:val="178F03F3"/>
    <w:rsid w:val="17966920"/>
    <w:rsid w:val="180E2A99"/>
    <w:rsid w:val="18204B18"/>
    <w:rsid w:val="183726AE"/>
    <w:rsid w:val="185C7497"/>
    <w:rsid w:val="189F624C"/>
    <w:rsid w:val="18F12E8D"/>
    <w:rsid w:val="19007A4A"/>
    <w:rsid w:val="190D06CD"/>
    <w:rsid w:val="196D19C7"/>
    <w:rsid w:val="19E31F04"/>
    <w:rsid w:val="1A1C66C0"/>
    <w:rsid w:val="1A42393B"/>
    <w:rsid w:val="1A565FF9"/>
    <w:rsid w:val="1AAD45DE"/>
    <w:rsid w:val="1AE41750"/>
    <w:rsid w:val="1B046F80"/>
    <w:rsid w:val="1B3267B5"/>
    <w:rsid w:val="1B3F58FC"/>
    <w:rsid w:val="1B40161D"/>
    <w:rsid w:val="1B4072CF"/>
    <w:rsid w:val="1B441859"/>
    <w:rsid w:val="1B6606B1"/>
    <w:rsid w:val="1B666609"/>
    <w:rsid w:val="1B7022B0"/>
    <w:rsid w:val="1C5E7925"/>
    <w:rsid w:val="1C867746"/>
    <w:rsid w:val="1CA46570"/>
    <w:rsid w:val="1CDA7A42"/>
    <w:rsid w:val="1CFD070F"/>
    <w:rsid w:val="1D370260"/>
    <w:rsid w:val="1D3A7FC4"/>
    <w:rsid w:val="1D5F6196"/>
    <w:rsid w:val="1D6132A5"/>
    <w:rsid w:val="1D78776F"/>
    <w:rsid w:val="1D7A7612"/>
    <w:rsid w:val="1D8E56D5"/>
    <w:rsid w:val="1DAB47A7"/>
    <w:rsid w:val="1DAF2571"/>
    <w:rsid w:val="1DB26A69"/>
    <w:rsid w:val="1DE17B0C"/>
    <w:rsid w:val="1E190B75"/>
    <w:rsid w:val="1E6107A3"/>
    <w:rsid w:val="1E7A43DA"/>
    <w:rsid w:val="1EB37DB8"/>
    <w:rsid w:val="1F2951AD"/>
    <w:rsid w:val="1F7F154F"/>
    <w:rsid w:val="1F83778A"/>
    <w:rsid w:val="1FE7539E"/>
    <w:rsid w:val="1FF871A3"/>
    <w:rsid w:val="20671BE0"/>
    <w:rsid w:val="20963CB8"/>
    <w:rsid w:val="20A81A1B"/>
    <w:rsid w:val="20B07FB6"/>
    <w:rsid w:val="20B646FB"/>
    <w:rsid w:val="212D0374"/>
    <w:rsid w:val="213B74B1"/>
    <w:rsid w:val="215A2310"/>
    <w:rsid w:val="217B79F0"/>
    <w:rsid w:val="217F27C4"/>
    <w:rsid w:val="219F4A5B"/>
    <w:rsid w:val="21DE318A"/>
    <w:rsid w:val="21EF5B80"/>
    <w:rsid w:val="22576990"/>
    <w:rsid w:val="228F6446"/>
    <w:rsid w:val="22AC25E8"/>
    <w:rsid w:val="22AE33CB"/>
    <w:rsid w:val="22CB6CA4"/>
    <w:rsid w:val="22EF04AE"/>
    <w:rsid w:val="22F47480"/>
    <w:rsid w:val="2318468D"/>
    <w:rsid w:val="232D520C"/>
    <w:rsid w:val="236713C7"/>
    <w:rsid w:val="23795DFE"/>
    <w:rsid w:val="23DE1C48"/>
    <w:rsid w:val="240210CD"/>
    <w:rsid w:val="242F7962"/>
    <w:rsid w:val="24AF1507"/>
    <w:rsid w:val="24BF09F7"/>
    <w:rsid w:val="24F81FD4"/>
    <w:rsid w:val="25167329"/>
    <w:rsid w:val="252D53FE"/>
    <w:rsid w:val="25913271"/>
    <w:rsid w:val="25B4794F"/>
    <w:rsid w:val="25EC2D81"/>
    <w:rsid w:val="25FE744E"/>
    <w:rsid w:val="26921F67"/>
    <w:rsid w:val="26F6389B"/>
    <w:rsid w:val="2711031F"/>
    <w:rsid w:val="275A2A5B"/>
    <w:rsid w:val="277057A2"/>
    <w:rsid w:val="27A26C1B"/>
    <w:rsid w:val="27A42C72"/>
    <w:rsid w:val="27E81135"/>
    <w:rsid w:val="28372A20"/>
    <w:rsid w:val="285E3344"/>
    <w:rsid w:val="289266D6"/>
    <w:rsid w:val="290D3007"/>
    <w:rsid w:val="29206EB8"/>
    <w:rsid w:val="29595666"/>
    <w:rsid w:val="29874881"/>
    <w:rsid w:val="29E325E0"/>
    <w:rsid w:val="29E70AF3"/>
    <w:rsid w:val="2A452503"/>
    <w:rsid w:val="2A4C202D"/>
    <w:rsid w:val="2AAD1B5F"/>
    <w:rsid w:val="2AB70C30"/>
    <w:rsid w:val="2B3E4320"/>
    <w:rsid w:val="2B830B12"/>
    <w:rsid w:val="2B8718C7"/>
    <w:rsid w:val="2B9A7CC8"/>
    <w:rsid w:val="2B9C42F6"/>
    <w:rsid w:val="2BA936A8"/>
    <w:rsid w:val="2BE41202"/>
    <w:rsid w:val="2C315A5A"/>
    <w:rsid w:val="2C3A0E8C"/>
    <w:rsid w:val="2C4B1C25"/>
    <w:rsid w:val="2C5B788B"/>
    <w:rsid w:val="2C6F357B"/>
    <w:rsid w:val="2C870C74"/>
    <w:rsid w:val="2C8929FD"/>
    <w:rsid w:val="2C9034E6"/>
    <w:rsid w:val="2D047631"/>
    <w:rsid w:val="2D2E1517"/>
    <w:rsid w:val="2D5B56D3"/>
    <w:rsid w:val="2D5E5F47"/>
    <w:rsid w:val="2D9E56F5"/>
    <w:rsid w:val="2DD53A01"/>
    <w:rsid w:val="2DE72364"/>
    <w:rsid w:val="2DF14458"/>
    <w:rsid w:val="2E2A11B8"/>
    <w:rsid w:val="2E4722CA"/>
    <w:rsid w:val="2E667F96"/>
    <w:rsid w:val="2E8226AB"/>
    <w:rsid w:val="2E8861C3"/>
    <w:rsid w:val="2E9F782F"/>
    <w:rsid w:val="2EA90170"/>
    <w:rsid w:val="2EF07FD2"/>
    <w:rsid w:val="2F446CFF"/>
    <w:rsid w:val="2F5F3BD2"/>
    <w:rsid w:val="2FC35949"/>
    <w:rsid w:val="2FD065E6"/>
    <w:rsid w:val="2FD96870"/>
    <w:rsid w:val="30580BC9"/>
    <w:rsid w:val="30E36B49"/>
    <w:rsid w:val="311E2ED7"/>
    <w:rsid w:val="31206DDA"/>
    <w:rsid w:val="315619EE"/>
    <w:rsid w:val="315B4580"/>
    <w:rsid w:val="315C449C"/>
    <w:rsid w:val="315F16D9"/>
    <w:rsid w:val="318B3CAF"/>
    <w:rsid w:val="31B4028E"/>
    <w:rsid w:val="31B82709"/>
    <w:rsid w:val="31D05482"/>
    <w:rsid w:val="31D5046D"/>
    <w:rsid w:val="31F03F85"/>
    <w:rsid w:val="32400B34"/>
    <w:rsid w:val="325E7BE3"/>
    <w:rsid w:val="328B1A0B"/>
    <w:rsid w:val="329E6876"/>
    <w:rsid w:val="32C043F9"/>
    <w:rsid w:val="33284092"/>
    <w:rsid w:val="333015F2"/>
    <w:rsid w:val="33332E1D"/>
    <w:rsid w:val="334B6320"/>
    <w:rsid w:val="339C6C14"/>
    <w:rsid w:val="33D42EA5"/>
    <w:rsid w:val="33D934D4"/>
    <w:rsid w:val="33FE2F6A"/>
    <w:rsid w:val="340E07E5"/>
    <w:rsid w:val="34235BF7"/>
    <w:rsid w:val="342A7A2B"/>
    <w:rsid w:val="342E1C20"/>
    <w:rsid w:val="344A596D"/>
    <w:rsid w:val="345578E8"/>
    <w:rsid w:val="34913A6C"/>
    <w:rsid w:val="34DB42A0"/>
    <w:rsid w:val="351256CE"/>
    <w:rsid w:val="358C5FA8"/>
    <w:rsid w:val="35C15DF1"/>
    <w:rsid w:val="35E5096B"/>
    <w:rsid w:val="35FD4F3C"/>
    <w:rsid w:val="36074A7F"/>
    <w:rsid w:val="367C0FDF"/>
    <w:rsid w:val="36864A9D"/>
    <w:rsid w:val="36922A38"/>
    <w:rsid w:val="36923549"/>
    <w:rsid w:val="36B75FBF"/>
    <w:rsid w:val="36BB1D6C"/>
    <w:rsid w:val="36BD0C45"/>
    <w:rsid w:val="36BE6EA2"/>
    <w:rsid w:val="36D70F38"/>
    <w:rsid w:val="36E806D4"/>
    <w:rsid w:val="370B7C47"/>
    <w:rsid w:val="371670C2"/>
    <w:rsid w:val="37211265"/>
    <w:rsid w:val="37212514"/>
    <w:rsid w:val="37262A19"/>
    <w:rsid w:val="374002FB"/>
    <w:rsid w:val="37C46749"/>
    <w:rsid w:val="37E00298"/>
    <w:rsid w:val="380D6C19"/>
    <w:rsid w:val="38210F58"/>
    <w:rsid w:val="38701C5D"/>
    <w:rsid w:val="387C0DC3"/>
    <w:rsid w:val="38B302F9"/>
    <w:rsid w:val="38F12CD3"/>
    <w:rsid w:val="38F94775"/>
    <w:rsid w:val="392971ED"/>
    <w:rsid w:val="39325651"/>
    <w:rsid w:val="39E4699F"/>
    <w:rsid w:val="3A561988"/>
    <w:rsid w:val="3A6E0E37"/>
    <w:rsid w:val="3A872856"/>
    <w:rsid w:val="3AA446F9"/>
    <w:rsid w:val="3B1016CD"/>
    <w:rsid w:val="3B273268"/>
    <w:rsid w:val="3B3763D1"/>
    <w:rsid w:val="3B873017"/>
    <w:rsid w:val="3B9C69AD"/>
    <w:rsid w:val="3C1934F8"/>
    <w:rsid w:val="3C2F6E1E"/>
    <w:rsid w:val="3C393687"/>
    <w:rsid w:val="3C4E6ED4"/>
    <w:rsid w:val="3C4F64BA"/>
    <w:rsid w:val="3C990195"/>
    <w:rsid w:val="3CD50757"/>
    <w:rsid w:val="3CDA245A"/>
    <w:rsid w:val="3CE77881"/>
    <w:rsid w:val="3D1E06B7"/>
    <w:rsid w:val="3D651623"/>
    <w:rsid w:val="3D655DC6"/>
    <w:rsid w:val="3DE67E7E"/>
    <w:rsid w:val="3E335122"/>
    <w:rsid w:val="3EAE23FA"/>
    <w:rsid w:val="3ECE0946"/>
    <w:rsid w:val="3EDA0523"/>
    <w:rsid w:val="3EF51F1B"/>
    <w:rsid w:val="3F706F9E"/>
    <w:rsid w:val="3FC7442B"/>
    <w:rsid w:val="3FDEC606"/>
    <w:rsid w:val="3FFC5F15"/>
    <w:rsid w:val="400A4AA6"/>
    <w:rsid w:val="403A15A5"/>
    <w:rsid w:val="405A79DE"/>
    <w:rsid w:val="407A6407"/>
    <w:rsid w:val="40F26047"/>
    <w:rsid w:val="411E0E78"/>
    <w:rsid w:val="414C6557"/>
    <w:rsid w:val="4178626B"/>
    <w:rsid w:val="41C71AAA"/>
    <w:rsid w:val="4200449D"/>
    <w:rsid w:val="423A3BCC"/>
    <w:rsid w:val="424E57D2"/>
    <w:rsid w:val="4253606F"/>
    <w:rsid w:val="42B26C49"/>
    <w:rsid w:val="42D01FB0"/>
    <w:rsid w:val="42ED3B5A"/>
    <w:rsid w:val="431C65E8"/>
    <w:rsid w:val="433A6FE6"/>
    <w:rsid w:val="43480868"/>
    <w:rsid w:val="4350713C"/>
    <w:rsid w:val="435766B4"/>
    <w:rsid w:val="436653E0"/>
    <w:rsid w:val="43681598"/>
    <w:rsid w:val="43C4431A"/>
    <w:rsid w:val="44246EDE"/>
    <w:rsid w:val="442D76BC"/>
    <w:rsid w:val="44B951CC"/>
    <w:rsid w:val="44BF1087"/>
    <w:rsid w:val="44C674A1"/>
    <w:rsid w:val="44CD14E0"/>
    <w:rsid w:val="44F20B0B"/>
    <w:rsid w:val="4517434D"/>
    <w:rsid w:val="452E5F4C"/>
    <w:rsid w:val="45577BAC"/>
    <w:rsid w:val="45612018"/>
    <w:rsid w:val="458946E9"/>
    <w:rsid w:val="45A47C0E"/>
    <w:rsid w:val="45A9310F"/>
    <w:rsid w:val="46577FD6"/>
    <w:rsid w:val="46913736"/>
    <w:rsid w:val="46A55C4A"/>
    <w:rsid w:val="46D955A7"/>
    <w:rsid w:val="47133957"/>
    <w:rsid w:val="47134AD4"/>
    <w:rsid w:val="474F0898"/>
    <w:rsid w:val="478B62E5"/>
    <w:rsid w:val="47A07E0C"/>
    <w:rsid w:val="47A3669A"/>
    <w:rsid w:val="481371B5"/>
    <w:rsid w:val="483941CF"/>
    <w:rsid w:val="4870272E"/>
    <w:rsid w:val="48F5643E"/>
    <w:rsid w:val="493F20C4"/>
    <w:rsid w:val="496C3162"/>
    <w:rsid w:val="49DC7715"/>
    <w:rsid w:val="4A023139"/>
    <w:rsid w:val="4A0F5998"/>
    <w:rsid w:val="4A6018A9"/>
    <w:rsid w:val="4A7B576F"/>
    <w:rsid w:val="4A8F5E5F"/>
    <w:rsid w:val="4AAE7501"/>
    <w:rsid w:val="4ADE58F2"/>
    <w:rsid w:val="4AF561A9"/>
    <w:rsid w:val="4B624E50"/>
    <w:rsid w:val="4B69212F"/>
    <w:rsid w:val="4B8838F1"/>
    <w:rsid w:val="4C4A0649"/>
    <w:rsid w:val="4C7E5ECA"/>
    <w:rsid w:val="4C876AA5"/>
    <w:rsid w:val="4D043409"/>
    <w:rsid w:val="4D0E00FB"/>
    <w:rsid w:val="4D176606"/>
    <w:rsid w:val="4D1963E7"/>
    <w:rsid w:val="4D34340A"/>
    <w:rsid w:val="4D5F11C7"/>
    <w:rsid w:val="4D6D183E"/>
    <w:rsid w:val="4D8857CA"/>
    <w:rsid w:val="4D994E29"/>
    <w:rsid w:val="4DEC4FB0"/>
    <w:rsid w:val="4E075D8A"/>
    <w:rsid w:val="4E577C88"/>
    <w:rsid w:val="4EC00FAD"/>
    <w:rsid w:val="4F147B4F"/>
    <w:rsid w:val="4F2E4D49"/>
    <w:rsid w:val="4F37196C"/>
    <w:rsid w:val="4F456831"/>
    <w:rsid w:val="4F793A12"/>
    <w:rsid w:val="4F9843DC"/>
    <w:rsid w:val="4FC62A8C"/>
    <w:rsid w:val="4FC6709B"/>
    <w:rsid w:val="4FC926E8"/>
    <w:rsid w:val="4FE20F0D"/>
    <w:rsid w:val="4FE51552"/>
    <w:rsid w:val="50504C4B"/>
    <w:rsid w:val="507E14F3"/>
    <w:rsid w:val="508F6F73"/>
    <w:rsid w:val="50991A2C"/>
    <w:rsid w:val="509C6E7C"/>
    <w:rsid w:val="50C63987"/>
    <w:rsid w:val="50EC3FDB"/>
    <w:rsid w:val="511F5E82"/>
    <w:rsid w:val="514069D9"/>
    <w:rsid w:val="5162104E"/>
    <w:rsid w:val="5181293B"/>
    <w:rsid w:val="5181346C"/>
    <w:rsid w:val="51977C5C"/>
    <w:rsid w:val="52233AC3"/>
    <w:rsid w:val="523E501E"/>
    <w:rsid w:val="52A631B4"/>
    <w:rsid w:val="52EB6140"/>
    <w:rsid w:val="531910E2"/>
    <w:rsid w:val="534977BA"/>
    <w:rsid w:val="536034F6"/>
    <w:rsid w:val="53A039CC"/>
    <w:rsid w:val="53A1505A"/>
    <w:rsid w:val="53C733E2"/>
    <w:rsid w:val="54063E08"/>
    <w:rsid w:val="543437E8"/>
    <w:rsid w:val="543A4C7F"/>
    <w:rsid w:val="54EC0E4D"/>
    <w:rsid w:val="54F73313"/>
    <w:rsid w:val="54F80955"/>
    <w:rsid w:val="553B2320"/>
    <w:rsid w:val="555170A7"/>
    <w:rsid w:val="555C0933"/>
    <w:rsid w:val="5587536D"/>
    <w:rsid w:val="55970346"/>
    <w:rsid w:val="559B174B"/>
    <w:rsid w:val="55CE0CF4"/>
    <w:rsid w:val="55D66658"/>
    <w:rsid w:val="56437BB0"/>
    <w:rsid w:val="564956C0"/>
    <w:rsid w:val="56B22A9C"/>
    <w:rsid w:val="56B404DB"/>
    <w:rsid w:val="56E32475"/>
    <w:rsid w:val="570920B8"/>
    <w:rsid w:val="57172725"/>
    <w:rsid w:val="57AA2DFF"/>
    <w:rsid w:val="57B72A76"/>
    <w:rsid w:val="57C3426C"/>
    <w:rsid w:val="57CE1F93"/>
    <w:rsid w:val="57E071A3"/>
    <w:rsid w:val="57FD5624"/>
    <w:rsid w:val="58461F8B"/>
    <w:rsid w:val="5859488C"/>
    <w:rsid w:val="588743D1"/>
    <w:rsid w:val="5887701A"/>
    <w:rsid w:val="58A2554B"/>
    <w:rsid w:val="58AA2D6A"/>
    <w:rsid w:val="58AD0DF8"/>
    <w:rsid w:val="58BD5EE1"/>
    <w:rsid w:val="58BF2A34"/>
    <w:rsid w:val="58F24A5D"/>
    <w:rsid w:val="590B7411"/>
    <w:rsid w:val="596C0CB3"/>
    <w:rsid w:val="59C0439F"/>
    <w:rsid w:val="59C715F3"/>
    <w:rsid w:val="59E90B92"/>
    <w:rsid w:val="5ABE2233"/>
    <w:rsid w:val="5ACB5DC5"/>
    <w:rsid w:val="5ACF7241"/>
    <w:rsid w:val="5ADE5991"/>
    <w:rsid w:val="5AF61DEA"/>
    <w:rsid w:val="5AF725D0"/>
    <w:rsid w:val="5B526E24"/>
    <w:rsid w:val="5B5D7E1A"/>
    <w:rsid w:val="5BA85F06"/>
    <w:rsid w:val="5BB11D4C"/>
    <w:rsid w:val="5BDF5D95"/>
    <w:rsid w:val="5BFE7528"/>
    <w:rsid w:val="5C2D0239"/>
    <w:rsid w:val="5C365696"/>
    <w:rsid w:val="5C4D2A9D"/>
    <w:rsid w:val="5C763521"/>
    <w:rsid w:val="5C9C22F4"/>
    <w:rsid w:val="5DEE5DC3"/>
    <w:rsid w:val="5E08087F"/>
    <w:rsid w:val="5E2467F1"/>
    <w:rsid w:val="5E4F0B0C"/>
    <w:rsid w:val="5EA373BD"/>
    <w:rsid w:val="5EA37711"/>
    <w:rsid w:val="5EB00823"/>
    <w:rsid w:val="5F1A2B43"/>
    <w:rsid w:val="5F1F604D"/>
    <w:rsid w:val="5F5B71E1"/>
    <w:rsid w:val="5F6160B5"/>
    <w:rsid w:val="5F7A1C50"/>
    <w:rsid w:val="5F981124"/>
    <w:rsid w:val="5FB837BB"/>
    <w:rsid w:val="60413008"/>
    <w:rsid w:val="60687CA9"/>
    <w:rsid w:val="60767D50"/>
    <w:rsid w:val="60820DBC"/>
    <w:rsid w:val="609D5BF6"/>
    <w:rsid w:val="60AC3BE1"/>
    <w:rsid w:val="60BB1432"/>
    <w:rsid w:val="60CC405A"/>
    <w:rsid w:val="60F12B46"/>
    <w:rsid w:val="60F465BB"/>
    <w:rsid w:val="60F938E8"/>
    <w:rsid w:val="612C0560"/>
    <w:rsid w:val="612C2BCE"/>
    <w:rsid w:val="61763E97"/>
    <w:rsid w:val="61962DE1"/>
    <w:rsid w:val="61A46172"/>
    <w:rsid w:val="61E215D8"/>
    <w:rsid w:val="61F21F72"/>
    <w:rsid w:val="621B3775"/>
    <w:rsid w:val="62277DD3"/>
    <w:rsid w:val="62364782"/>
    <w:rsid w:val="624B571C"/>
    <w:rsid w:val="62600710"/>
    <w:rsid w:val="627209BD"/>
    <w:rsid w:val="629152E7"/>
    <w:rsid w:val="6394356A"/>
    <w:rsid w:val="63972DD1"/>
    <w:rsid w:val="63C07B78"/>
    <w:rsid w:val="63C61B2C"/>
    <w:rsid w:val="63D40BE9"/>
    <w:rsid w:val="63FC022F"/>
    <w:rsid w:val="640E54A7"/>
    <w:rsid w:val="64102431"/>
    <w:rsid w:val="64A5243A"/>
    <w:rsid w:val="64E8140A"/>
    <w:rsid w:val="64E81786"/>
    <w:rsid w:val="64F531DE"/>
    <w:rsid w:val="65102E3B"/>
    <w:rsid w:val="65373578"/>
    <w:rsid w:val="658E0FD5"/>
    <w:rsid w:val="65AE09F4"/>
    <w:rsid w:val="65C55463"/>
    <w:rsid w:val="65C87174"/>
    <w:rsid w:val="65F622D0"/>
    <w:rsid w:val="66AA1EFD"/>
    <w:rsid w:val="66F55433"/>
    <w:rsid w:val="671F124A"/>
    <w:rsid w:val="6739419F"/>
    <w:rsid w:val="674E2338"/>
    <w:rsid w:val="677A33C6"/>
    <w:rsid w:val="678C66E4"/>
    <w:rsid w:val="67CD65F3"/>
    <w:rsid w:val="68002368"/>
    <w:rsid w:val="680317A6"/>
    <w:rsid w:val="681F6961"/>
    <w:rsid w:val="68610A2F"/>
    <w:rsid w:val="68805514"/>
    <w:rsid w:val="68B65AA7"/>
    <w:rsid w:val="68C752F2"/>
    <w:rsid w:val="69316E2F"/>
    <w:rsid w:val="693331DD"/>
    <w:rsid w:val="69394A85"/>
    <w:rsid w:val="694E2071"/>
    <w:rsid w:val="696A3AE2"/>
    <w:rsid w:val="69766163"/>
    <w:rsid w:val="697A3B33"/>
    <w:rsid w:val="69D44760"/>
    <w:rsid w:val="69EF2C81"/>
    <w:rsid w:val="6A227095"/>
    <w:rsid w:val="6A520EC7"/>
    <w:rsid w:val="6A9F445B"/>
    <w:rsid w:val="6AA91911"/>
    <w:rsid w:val="6ADF7D69"/>
    <w:rsid w:val="6AEB6692"/>
    <w:rsid w:val="6AF87E20"/>
    <w:rsid w:val="6B134528"/>
    <w:rsid w:val="6B322639"/>
    <w:rsid w:val="6BF1329A"/>
    <w:rsid w:val="6BFE1BC4"/>
    <w:rsid w:val="6C0E125D"/>
    <w:rsid w:val="6C636C38"/>
    <w:rsid w:val="6C9F4DB6"/>
    <w:rsid w:val="6CA53F07"/>
    <w:rsid w:val="6CB556D6"/>
    <w:rsid w:val="6CDC5687"/>
    <w:rsid w:val="6CDF6831"/>
    <w:rsid w:val="6D521EF3"/>
    <w:rsid w:val="6D9B7F8C"/>
    <w:rsid w:val="6DB34098"/>
    <w:rsid w:val="6DB545B6"/>
    <w:rsid w:val="6DD7389B"/>
    <w:rsid w:val="6DE02FB4"/>
    <w:rsid w:val="6DE235B9"/>
    <w:rsid w:val="6E1D33A4"/>
    <w:rsid w:val="6E5047C8"/>
    <w:rsid w:val="6E514CED"/>
    <w:rsid w:val="6EB563D5"/>
    <w:rsid w:val="6ED92677"/>
    <w:rsid w:val="6F225983"/>
    <w:rsid w:val="6F275421"/>
    <w:rsid w:val="6F3C0982"/>
    <w:rsid w:val="6FF97511"/>
    <w:rsid w:val="6FFC5590"/>
    <w:rsid w:val="70012E58"/>
    <w:rsid w:val="702074A4"/>
    <w:rsid w:val="706D1DD0"/>
    <w:rsid w:val="70856B87"/>
    <w:rsid w:val="70B623BC"/>
    <w:rsid w:val="70D527EE"/>
    <w:rsid w:val="71202899"/>
    <w:rsid w:val="7137013A"/>
    <w:rsid w:val="7145290B"/>
    <w:rsid w:val="715B5300"/>
    <w:rsid w:val="716E7B7F"/>
    <w:rsid w:val="719B7F30"/>
    <w:rsid w:val="71CE0D14"/>
    <w:rsid w:val="71D27F8A"/>
    <w:rsid w:val="71D417DE"/>
    <w:rsid w:val="72477770"/>
    <w:rsid w:val="72553024"/>
    <w:rsid w:val="72DF5BFA"/>
    <w:rsid w:val="73122968"/>
    <w:rsid w:val="731F5D5E"/>
    <w:rsid w:val="735655A1"/>
    <w:rsid w:val="73643796"/>
    <w:rsid w:val="737A7BE6"/>
    <w:rsid w:val="73C51AD5"/>
    <w:rsid w:val="741A1B3F"/>
    <w:rsid w:val="741E793C"/>
    <w:rsid w:val="745E3944"/>
    <w:rsid w:val="74736F42"/>
    <w:rsid w:val="74781C8C"/>
    <w:rsid w:val="75094211"/>
    <w:rsid w:val="755B2C17"/>
    <w:rsid w:val="75846F2D"/>
    <w:rsid w:val="758933F3"/>
    <w:rsid w:val="75BE5F9B"/>
    <w:rsid w:val="7612665D"/>
    <w:rsid w:val="7635099D"/>
    <w:rsid w:val="765E32DA"/>
    <w:rsid w:val="76990467"/>
    <w:rsid w:val="76DE3BC8"/>
    <w:rsid w:val="76FE0619"/>
    <w:rsid w:val="77026A79"/>
    <w:rsid w:val="7708189B"/>
    <w:rsid w:val="77091498"/>
    <w:rsid w:val="772A1E1F"/>
    <w:rsid w:val="77753637"/>
    <w:rsid w:val="77762421"/>
    <w:rsid w:val="77907C4F"/>
    <w:rsid w:val="77943E04"/>
    <w:rsid w:val="77B56B1F"/>
    <w:rsid w:val="77EF4EB7"/>
    <w:rsid w:val="780F09F4"/>
    <w:rsid w:val="784A73A9"/>
    <w:rsid w:val="78621BF3"/>
    <w:rsid w:val="78686622"/>
    <w:rsid w:val="78A90480"/>
    <w:rsid w:val="78B8435A"/>
    <w:rsid w:val="793E6303"/>
    <w:rsid w:val="798B772D"/>
    <w:rsid w:val="799210D1"/>
    <w:rsid w:val="79BC241C"/>
    <w:rsid w:val="79E62BDA"/>
    <w:rsid w:val="7A026F5B"/>
    <w:rsid w:val="7A364017"/>
    <w:rsid w:val="7A3E00A8"/>
    <w:rsid w:val="7A74000B"/>
    <w:rsid w:val="7A7E219D"/>
    <w:rsid w:val="7A8265E1"/>
    <w:rsid w:val="7A9773F8"/>
    <w:rsid w:val="7A9F58B0"/>
    <w:rsid w:val="7B686D42"/>
    <w:rsid w:val="7B841746"/>
    <w:rsid w:val="7C374F53"/>
    <w:rsid w:val="7C6C5AC7"/>
    <w:rsid w:val="7C750CEE"/>
    <w:rsid w:val="7CC6544B"/>
    <w:rsid w:val="7CCF6CE0"/>
    <w:rsid w:val="7D0239FF"/>
    <w:rsid w:val="7D2A03BA"/>
    <w:rsid w:val="7D3477F1"/>
    <w:rsid w:val="7D5E40CD"/>
    <w:rsid w:val="7D621902"/>
    <w:rsid w:val="7D982AFF"/>
    <w:rsid w:val="7DCD17A7"/>
    <w:rsid w:val="7DCD56F2"/>
    <w:rsid w:val="7DE77E03"/>
    <w:rsid w:val="7E473AB2"/>
    <w:rsid w:val="7E966316"/>
    <w:rsid w:val="7E9A7E8D"/>
    <w:rsid w:val="7EBE393A"/>
    <w:rsid w:val="7ED21D6F"/>
    <w:rsid w:val="7EEC3078"/>
    <w:rsid w:val="7F001CE7"/>
    <w:rsid w:val="7FAA57E2"/>
    <w:rsid w:val="7FBB354B"/>
    <w:rsid w:val="7FC341E5"/>
    <w:rsid w:val="7FC902AA"/>
    <w:rsid w:val="7FD12221"/>
    <w:rsid w:val="7FE47E50"/>
    <w:rsid w:val="7FEC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9"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9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11" w:semiHidden="0" w:name="Subtitle" w:locked="1"/>
    <w:lsdException w:unhideWhenUsed="0" w:uiPriority="0" w:semiHidden="0" w:name="Salutation" w:locked="1"/>
    <w:lsdException w:qFormat="1" w:unhideWhenUsed="0" w:uiPriority="0" w:semiHidden="0" w:name="Date"/>
    <w:lsdException w:qFormat="1" w:uiPriority="99" w:semiHidden="0" w:name="Body Text First Indent" w:locked="1"/>
    <w:lsdException w:qFormat="1" w:unhideWhenUsed="0" w:uiPriority="0" w:semiHidden="0" w:name="Body Text First Indent 2" w:locked="1"/>
    <w:lsdException w:qFormat="1" w:unhideWhenUsed="0" w:uiPriority="0" w:semiHidden="0" w:name="Note Heading" w:locked="1"/>
    <w:lsdException w:unhideWhenUsed="0" w:uiPriority="0" w:semiHidden="0" w:name="Body Text 2" w:locked="1"/>
    <w:lsdException w:unhideWhenUsed="0" w:uiPriority="0" w:semiHidden="0" w:name="Body Text 3" w:locked="1"/>
    <w:lsdException w:qFormat="1" w:uiPriority="99" w:name="Body Text Indent 2" w:locked="1"/>
    <w:lsdException w:unhideWhenUsed="0" w:uiPriority="0" w:semiHidden="0" w:name="Body Text Indent 3" w:locked="1"/>
    <w:lsdException w:qFormat="1" w:unhideWhenUsed="0" w:uiPriority="0" w:semiHidden="0" w:name="Block Text" w:locked="1"/>
    <w:lsdException w:qFormat="1" w:uiPriority="99"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6">
    <w:name w:val="heading 1"/>
    <w:basedOn w:val="1"/>
    <w:next w:val="1"/>
    <w:link w:val="91"/>
    <w:qFormat/>
    <w:locked/>
    <w:uiPriority w:val="99"/>
    <w:pPr>
      <w:keepNext/>
      <w:overflowPunct w:val="0"/>
      <w:snapToGrid w:val="0"/>
      <w:spacing w:before="120" w:after="40" w:line="460" w:lineRule="exact"/>
      <w:ind w:left="431" w:hanging="431"/>
      <w:outlineLvl w:val="0"/>
    </w:pPr>
    <w:rPr>
      <w:rFonts w:ascii="Times New Roman" w:hAnsi="Times New Roman" w:eastAsia="黑体"/>
      <w:b/>
      <w:bCs/>
      <w:color w:val="000000"/>
      <w:kern w:val="44"/>
      <w:sz w:val="28"/>
      <w:szCs w:val="30"/>
    </w:rPr>
  </w:style>
  <w:style w:type="paragraph" w:styleId="7">
    <w:name w:val="heading 2"/>
    <w:basedOn w:val="1"/>
    <w:next w:val="1"/>
    <w:link w:val="90"/>
    <w:qFormat/>
    <w:locked/>
    <w:uiPriority w:val="0"/>
    <w:pPr>
      <w:keepNext/>
      <w:keepLines/>
      <w:spacing w:before="200" w:after="200" w:line="440" w:lineRule="exact"/>
      <w:ind w:firstLine="562"/>
      <w:outlineLvl w:val="1"/>
    </w:pPr>
    <w:rPr>
      <w:rFonts w:ascii="Times New Roman" w:hAnsi="Times New Roman" w:eastAsia="黑体"/>
      <w:b/>
      <w:color w:val="FF0000"/>
      <w:sz w:val="28"/>
      <w:szCs w:val="28"/>
    </w:rPr>
  </w:style>
  <w:style w:type="paragraph" w:styleId="8">
    <w:name w:val="heading 3"/>
    <w:basedOn w:val="1"/>
    <w:next w:val="1"/>
    <w:link w:val="88"/>
    <w:qFormat/>
    <w:locked/>
    <w:uiPriority w:val="9"/>
    <w:pPr>
      <w:keepNext/>
      <w:keepLines/>
      <w:numPr>
        <w:ilvl w:val="2"/>
        <w:numId w:val="1"/>
      </w:numPr>
      <w:spacing w:line="360" w:lineRule="auto"/>
      <w:jc w:val="left"/>
      <w:outlineLvl w:val="2"/>
    </w:pPr>
    <w:rPr>
      <w:rFonts w:eastAsia="黑体"/>
      <w:b/>
      <w:bCs/>
      <w:szCs w:val="32"/>
    </w:rPr>
  </w:style>
  <w:style w:type="paragraph" w:styleId="9">
    <w:name w:val="heading 4"/>
    <w:basedOn w:val="1"/>
    <w:next w:val="1"/>
    <w:link w:val="89"/>
    <w:qFormat/>
    <w:locked/>
    <w:uiPriority w:val="9"/>
    <w:pPr>
      <w:keepNext/>
      <w:keepLines/>
      <w:numPr>
        <w:ilvl w:val="3"/>
        <w:numId w:val="1"/>
      </w:numPr>
      <w:spacing w:line="360" w:lineRule="auto"/>
      <w:outlineLvl w:val="3"/>
    </w:pPr>
    <w:rPr>
      <w:rFonts w:ascii="等线 Light" w:hAnsi="等线 Light" w:eastAsia="黑体"/>
      <w:b/>
      <w:bCs/>
      <w:szCs w:val="28"/>
    </w:rPr>
  </w:style>
  <w:style w:type="paragraph" w:styleId="10">
    <w:name w:val="heading 9"/>
    <w:basedOn w:val="1"/>
    <w:next w:val="1"/>
    <w:link w:val="75"/>
    <w:semiHidden/>
    <w:unhideWhenUsed/>
    <w:qFormat/>
    <w:locked/>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locked/>
    <w:uiPriority w:val="0"/>
    <w:pPr>
      <w:jc w:val="center"/>
    </w:pPr>
    <w:rPr>
      <w:rFonts w:ascii="Times New Roman" w:hAnsi="Times New Roman" w:eastAsia="黑体"/>
      <w:b/>
      <w:bCs/>
      <w:color w:val="FF0000"/>
      <w:sz w:val="21"/>
      <w:szCs w:val="21"/>
    </w:rPr>
  </w:style>
  <w:style w:type="paragraph" w:styleId="3">
    <w:name w:val="Body Text First Indent"/>
    <w:basedOn w:val="4"/>
    <w:next w:val="1"/>
    <w:unhideWhenUsed/>
    <w:qFormat/>
    <w:locked/>
    <w:uiPriority w:val="99"/>
    <w:pPr>
      <w:adjustRightInd w:val="0"/>
      <w:spacing w:before="0" w:after="120" w:line="360" w:lineRule="auto"/>
      <w:ind w:right="0" w:firstLine="420" w:firstLineChars="100"/>
    </w:pPr>
    <w:rPr>
      <w:sz w:val="24"/>
    </w:rPr>
  </w:style>
  <w:style w:type="paragraph" w:styleId="4">
    <w:name w:val="Body Text"/>
    <w:basedOn w:val="1"/>
    <w:next w:val="5"/>
    <w:link w:val="52"/>
    <w:qFormat/>
    <w:uiPriority w:val="0"/>
    <w:pPr>
      <w:widowControl/>
      <w:snapToGrid w:val="0"/>
      <w:spacing w:before="60" w:after="160" w:line="259" w:lineRule="auto"/>
      <w:ind w:right="113"/>
    </w:pPr>
    <w:rPr>
      <w:kern w:val="0"/>
      <w:sz w:val="18"/>
      <w:szCs w:val="20"/>
    </w:rPr>
  </w:style>
  <w:style w:type="paragraph" w:styleId="5">
    <w:name w:val="Note Heading"/>
    <w:basedOn w:val="1"/>
    <w:next w:val="1"/>
    <w:qFormat/>
    <w:locked/>
    <w:uiPriority w:val="0"/>
    <w:pPr>
      <w:spacing w:line="360" w:lineRule="auto"/>
      <w:ind w:firstLine="200" w:firstLineChars="200"/>
      <w:jc w:val="center"/>
    </w:pPr>
    <w:rPr>
      <w:sz w:val="18"/>
      <w:lang w:val="zh-CN"/>
    </w:rPr>
  </w:style>
  <w:style w:type="paragraph" w:styleId="11">
    <w:name w:val="Normal Indent"/>
    <w:basedOn w:val="1"/>
    <w:link w:val="70"/>
    <w:qFormat/>
    <w:locked/>
    <w:uiPriority w:val="0"/>
    <w:pPr>
      <w:ind w:firstLine="420" w:firstLineChars="200"/>
    </w:pPr>
  </w:style>
  <w:style w:type="paragraph" w:styleId="12">
    <w:name w:val="annotation text"/>
    <w:basedOn w:val="1"/>
    <w:link w:val="59"/>
    <w:semiHidden/>
    <w:qFormat/>
    <w:uiPriority w:val="0"/>
    <w:pPr>
      <w:jc w:val="left"/>
    </w:pPr>
    <w:rPr>
      <w:kern w:val="0"/>
      <w:szCs w:val="20"/>
    </w:rPr>
  </w:style>
  <w:style w:type="paragraph" w:styleId="13">
    <w:name w:val="Body Text Indent"/>
    <w:basedOn w:val="1"/>
    <w:link w:val="62"/>
    <w:qFormat/>
    <w:uiPriority w:val="0"/>
    <w:pPr>
      <w:spacing w:after="120"/>
      <w:ind w:left="420" w:leftChars="200"/>
    </w:pPr>
    <w:rPr>
      <w:kern w:val="0"/>
      <w:szCs w:val="20"/>
    </w:rPr>
  </w:style>
  <w:style w:type="paragraph" w:styleId="14">
    <w:name w:val="Block Text"/>
    <w:basedOn w:val="1"/>
    <w:qFormat/>
    <w:locked/>
    <w:uiPriority w:val="0"/>
    <w:pPr>
      <w:adjustRightInd w:val="0"/>
      <w:snapToGrid w:val="0"/>
      <w:spacing w:line="460" w:lineRule="exact"/>
      <w:ind w:left="113" w:right="113" w:firstLine="425"/>
      <w:textAlignment w:val="baseline"/>
    </w:pPr>
    <w:rPr>
      <w:rFonts w:ascii="楷体_GB2312" w:eastAsia="楷体_GB2312"/>
      <w:kern w:val="0"/>
      <w:sz w:val="28"/>
      <w:szCs w:val="20"/>
    </w:rPr>
  </w:style>
  <w:style w:type="paragraph" w:styleId="15">
    <w:name w:val="Plain Text"/>
    <w:basedOn w:val="1"/>
    <w:link w:val="71"/>
    <w:qFormat/>
    <w:locked/>
    <w:uiPriority w:val="0"/>
    <w:rPr>
      <w:rFonts w:ascii="宋体" w:hAnsi="Courier New"/>
      <w:szCs w:val="20"/>
    </w:rPr>
  </w:style>
  <w:style w:type="paragraph" w:styleId="16">
    <w:name w:val="Date"/>
    <w:basedOn w:val="1"/>
    <w:next w:val="1"/>
    <w:link w:val="54"/>
    <w:qFormat/>
    <w:uiPriority w:val="0"/>
    <w:pPr>
      <w:ind w:left="100" w:leftChars="2500"/>
    </w:pPr>
    <w:rPr>
      <w:kern w:val="0"/>
      <w:szCs w:val="20"/>
    </w:rPr>
  </w:style>
  <w:style w:type="paragraph" w:styleId="17">
    <w:name w:val="Body Text Indent 2"/>
    <w:basedOn w:val="1"/>
    <w:semiHidden/>
    <w:unhideWhenUsed/>
    <w:qFormat/>
    <w:locked/>
    <w:uiPriority w:val="99"/>
    <w:pPr>
      <w:spacing w:after="120" w:line="480" w:lineRule="auto"/>
      <w:ind w:left="420" w:leftChars="200"/>
    </w:pPr>
  </w:style>
  <w:style w:type="paragraph" w:styleId="18">
    <w:name w:val="Balloon Text"/>
    <w:basedOn w:val="1"/>
    <w:link w:val="51"/>
    <w:semiHidden/>
    <w:qFormat/>
    <w:uiPriority w:val="0"/>
    <w:rPr>
      <w:kern w:val="0"/>
      <w:sz w:val="18"/>
      <w:szCs w:val="20"/>
    </w:rPr>
  </w:style>
  <w:style w:type="paragraph" w:styleId="19">
    <w:name w:val="footer"/>
    <w:basedOn w:val="1"/>
    <w:link w:val="58"/>
    <w:qFormat/>
    <w:uiPriority w:val="99"/>
    <w:pPr>
      <w:tabs>
        <w:tab w:val="center" w:pos="4153"/>
        <w:tab w:val="right" w:pos="8306"/>
      </w:tabs>
      <w:snapToGrid w:val="0"/>
      <w:jc w:val="left"/>
    </w:pPr>
    <w:rPr>
      <w:kern w:val="0"/>
      <w:sz w:val="18"/>
      <w:szCs w:val="20"/>
    </w:rPr>
  </w:style>
  <w:style w:type="paragraph" w:styleId="20">
    <w:name w:val="header"/>
    <w:basedOn w:val="1"/>
    <w:link w:val="57"/>
    <w:qFormat/>
    <w:uiPriority w:val="0"/>
    <w:pPr>
      <w:pBdr>
        <w:bottom w:val="single" w:color="auto" w:sz="6" w:space="1"/>
      </w:pBdr>
      <w:tabs>
        <w:tab w:val="center" w:pos="4153"/>
        <w:tab w:val="right" w:pos="8306"/>
      </w:tabs>
      <w:snapToGrid w:val="0"/>
      <w:jc w:val="center"/>
    </w:pPr>
    <w:rPr>
      <w:kern w:val="0"/>
      <w:sz w:val="18"/>
      <w:szCs w:val="20"/>
    </w:rPr>
  </w:style>
  <w:style w:type="paragraph" w:styleId="21">
    <w:name w:val="toc 1"/>
    <w:basedOn w:val="1"/>
    <w:next w:val="1"/>
    <w:qFormat/>
    <w:locked/>
    <w:uiPriority w:val="99"/>
  </w:style>
  <w:style w:type="paragraph" w:styleId="22">
    <w:name w:val="Subtitle"/>
    <w:basedOn w:val="1"/>
    <w:next w:val="1"/>
    <w:link w:val="81"/>
    <w:qFormat/>
    <w:locked/>
    <w:uiPriority w:val="11"/>
    <w:pPr>
      <w:spacing w:before="240" w:after="60" w:line="312" w:lineRule="auto"/>
      <w:jc w:val="center"/>
      <w:outlineLvl w:val="1"/>
    </w:pPr>
    <w:rPr>
      <w:rFonts w:ascii="Cambria" w:hAnsi="Cambria"/>
      <w:b/>
      <w:bCs/>
      <w:kern w:val="28"/>
      <w:sz w:val="32"/>
      <w:szCs w:val="32"/>
    </w:rPr>
  </w:style>
  <w:style w:type="paragraph" w:styleId="23">
    <w:name w:val="Normal (Web)"/>
    <w:basedOn w:val="1"/>
    <w:link w:val="60"/>
    <w:qFormat/>
    <w:uiPriority w:val="0"/>
    <w:pPr>
      <w:widowControl/>
      <w:spacing w:before="100" w:beforeAutospacing="1" w:after="100" w:afterAutospacing="1"/>
      <w:jc w:val="left"/>
    </w:pPr>
    <w:rPr>
      <w:rFonts w:ascii="宋体" w:hAnsi="宋体"/>
      <w:kern w:val="0"/>
      <w:szCs w:val="20"/>
    </w:rPr>
  </w:style>
  <w:style w:type="paragraph" w:styleId="24">
    <w:name w:val="annotation subject"/>
    <w:basedOn w:val="12"/>
    <w:next w:val="12"/>
    <w:link w:val="63"/>
    <w:semiHidden/>
    <w:qFormat/>
    <w:uiPriority w:val="0"/>
    <w:rPr>
      <w:b/>
    </w:rPr>
  </w:style>
  <w:style w:type="table" w:styleId="26">
    <w:name w:val="Table Grid"/>
    <w:basedOn w:val="2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qFormat/>
    <w:locked/>
    <w:uiPriority w:val="0"/>
  </w:style>
  <w:style w:type="character" w:styleId="30">
    <w:name w:val="Emphasis"/>
    <w:qFormat/>
    <w:locked/>
    <w:uiPriority w:val="0"/>
    <w:rPr>
      <w:i/>
    </w:rPr>
  </w:style>
  <w:style w:type="character" w:styleId="31">
    <w:name w:val="Hyperlink"/>
    <w:basedOn w:val="27"/>
    <w:unhideWhenUsed/>
    <w:qFormat/>
    <w:locked/>
    <w:uiPriority w:val="99"/>
    <w:rPr>
      <w:color w:val="0000FF"/>
      <w:u w:val="single"/>
    </w:rPr>
  </w:style>
  <w:style w:type="character" w:styleId="32">
    <w:name w:val="annotation reference"/>
    <w:semiHidden/>
    <w:qFormat/>
    <w:uiPriority w:val="0"/>
    <w:rPr>
      <w:sz w:val="21"/>
    </w:rPr>
  </w:style>
  <w:style w:type="paragraph" w:customStyle="1" w:styleId="33">
    <w:name w:val="表格标题（居中）"/>
    <w:basedOn w:val="15"/>
    <w:semiHidden/>
    <w:qFormat/>
    <w:uiPriority w:val="0"/>
    <w:pPr>
      <w:numPr>
        <w:ilvl w:val="0"/>
        <w:numId w:val="2"/>
      </w:numPr>
      <w:adjustRightInd w:val="0"/>
      <w:snapToGrid w:val="0"/>
      <w:spacing w:before="120" w:beforeLines="50" w:after="120" w:afterLines="50"/>
      <w:jc w:val="center"/>
    </w:pPr>
    <w:rPr>
      <w:rFonts w:ascii="Times New Roman" w:hAnsi="Times New Roman" w:eastAsia="黑体"/>
      <w:color w:val="000000"/>
    </w:rPr>
  </w:style>
  <w:style w:type="paragraph" w:customStyle="1" w:styleId="34">
    <w:name w:val="自定义——表（图）头6"/>
    <w:basedOn w:val="1"/>
    <w:qFormat/>
    <w:uiPriority w:val="0"/>
    <w:pPr>
      <w:widowControl/>
      <w:spacing w:before="50" w:beforeLines="50"/>
      <w:jc w:val="center"/>
    </w:pPr>
    <w:rPr>
      <w:rFonts w:ascii="宋体" w:hAnsi="宋体" w:eastAsia="黑体"/>
      <w:kern w:val="0"/>
      <w:szCs w:val="22"/>
    </w:rPr>
  </w:style>
  <w:style w:type="paragraph" w:customStyle="1" w:styleId="35">
    <w:name w:val="第3级标题"/>
    <w:basedOn w:val="8"/>
    <w:next w:val="1"/>
    <w:link w:val="36"/>
    <w:qFormat/>
    <w:uiPriority w:val="0"/>
    <w:pPr>
      <w:numPr>
        <w:numId w:val="3"/>
      </w:numPr>
      <w:tabs>
        <w:tab w:val="left" w:pos="0"/>
        <w:tab w:val="left" w:pos="432"/>
      </w:tabs>
      <w:spacing w:beforeAutospacing="1" w:afterAutospacing="1" w:line="480" w:lineRule="exact"/>
      <w:jc w:val="both"/>
    </w:pPr>
    <w:rPr>
      <w:rFonts w:eastAsia="华文中宋"/>
      <w:sz w:val="30"/>
      <w:szCs w:val="30"/>
    </w:rPr>
  </w:style>
  <w:style w:type="character" w:customStyle="1" w:styleId="36">
    <w:name w:val="第3级标题 Char1"/>
    <w:basedOn w:val="27"/>
    <w:link w:val="35"/>
    <w:qFormat/>
    <w:uiPriority w:val="0"/>
    <w:rPr>
      <w:rFonts w:hint="eastAsia" w:ascii="华文中宋" w:hAnsi="华文中宋" w:eastAsia="华文中宋" w:cs="华文中宋"/>
      <w:b/>
      <w:bCs/>
      <w:kern w:val="2"/>
      <w:sz w:val="30"/>
      <w:szCs w:val="30"/>
    </w:rPr>
  </w:style>
  <w:style w:type="paragraph" w:customStyle="1" w:styleId="37">
    <w:name w:val="自定义—正文格式"/>
    <w:basedOn w:val="1"/>
    <w:qFormat/>
    <w:uiPriority w:val="0"/>
    <w:pPr>
      <w:spacing w:line="360" w:lineRule="auto"/>
      <w:ind w:firstLine="960" w:firstLineChars="200"/>
    </w:pPr>
    <w:rPr>
      <w:rFonts w:ascii="宋体" w:hAnsi="宋体"/>
    </w:rPr>
  </w:style>
  <w:style w:type="paragraph" w:customStyle="1" w:styleId="38">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41">
    <w:name w:val="[正文格式]"/>
    <w:basedOn w:val="1"/>
    <w:qFormat/>
    <w:uiPriority w:val="0"/>
    <w:pPr>
      <w:adjustRightInd w:val="0"/>
      <w:snapToGrid w:val="0"/>
      <w:spacing w:line="440" w:lineRule="exact"/>
      <w:ind w:firstLine="500" w:firstLineChars="200"/>
    </w:pPr>
    <w:rPr>
      <w:rFonts w:cs="宋体"/>
      <w:sz w:val="25"/>
      <w:szCs w:val="20"/>
    </w:rPr>
  </w:style>
  <w:style w:type="paragraph" w:customStyle="1" w:styleId="42">
    <w:name w:val="表格内容"/>
    <w:basedOn w:val="1"/>
    <w:next w:val="1"/>
    <w:link w:val="82"/>
    <w:qFormat/>
    <w:uiPriority w:val="0"/>
    <w:pPr>
      <w:adjustRightInd w:val="0"/>
      <w:snapToGrid w:val="0"/>
      <w:jc w:val="center"/>
    </w:pPr>
  </w:style>
  <w:style w:type="paragraph" w:customStyle="1" w:styleId="43">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4">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_Style 29"/>
    <w:unhideWhenUsed/>
    <w:qFormat/>
    <w:uiPriority w:val="99"/>
    <w:rPr>
      <w:rFonts w:ascii="Calibri" w:hAnsi="Calibri" w:eastAsia="宋体" w:cs="Times New Roman"/>
      <w:kern w:val="2"/>
      <w:sz w:val="24"/>
      <w:szCs w:val="24"/>
      <w:lang w:val="en-US" w:eastAsia="zh-CN" w:bidi="ar-SA"/>
    </w:rPr>
  </w:style>
  <w:style w:type="paragraph" w:customStyle="1" w:styleId="46">
    <w:name w:val="报告正文"/>
    <w:basedOn w:val="1"/>
    <w:qFormat/>
    <w:uiPriority w:val="0"/>
    <w:pPr>
      <w:spacing w:line="440" w:lineRule="exact"/>
      <w:ind w:firstLine="480" w:firstLineChars="200"/>
      <w:jc w:val="left"/>
    </w:pPr>
    <w:rPr>
      <w:rFonts w:ascii="Times New Roman" w:hAnsi="Times New Roman"/>
      <w:color w:val="FF0000"/>
    </w:rPr>
  </w:style>
  <w:style w:type="paragraph" w:customStyle="1" w:styleId="47">
    <w:name w:val="【表格文字】"/>
    <w:basedOn w:val="1"/>
    <w:next w:val="1"/>
    <w:qFormat/>
    <w:uiPriority w:val="0"/>
    <w:pPr>
      <w:spacing w:line="320" w:lineRule="atLeast"/>
      <w:jc w:val="center"/>
    </w:pPr>
  </w:style>
  <w:style w:type="paragraph" w:customStyle="1" w:styleId="48">
    <w:name w:val="表内容"/>
    <w:qFormat/>
    <w:uiPriority w:val="0"/>
    <w:pPr>
      <w:widowControl w:val="0"/>
      <w:jc w:val="center"/>
    </w:pPr>
    <w:rPr>
      <w:rFonts w:ascii="Calibri" w:hAnsi="Calibri" w:eastAsia="宋体" w:cs="Times New Roman"/>
      <w:kern w:val="2"/>
      <w:sz w:val="21"/>
      <w:szCs w:val="21"/>
      <w:lang w:val="en-US" w:eastAsia="zh-CN" w:bidi="ar-SA"/>
    </w:rPr>
  </w:style>
  <w:style w:type="paragraph" w:customStyle="1" w:styleId="49">
    <w:name w:val="表格"/>
    <w:basedOn w:val="1"/>
    <w:next w:val="1"/>
    <w:link w:val="50"/>
    <w:qFormat/>
    <w:uiPriority w:val="0"/>
    <w:pPr>
      <w:adjustRightInd w:val="0"/>
      <w:snapToGrid w:val="0"/>
      <w:spacing w:beforeLines="10" w:afterLines="10" w:line="259" w:lineRule="auto"/>
      <w:jc w:val="center"/>
    </w:pPr>
    <w:rPr>
      <w:rFonts w:ascii="宋体"/>
      <w:kern w:val="0"/>
      <w:szCs w:val="20"/>
    </w:rPr>
  </w:style>
  <w:style w:type="character" w:customStyle="1" w:styleId="50">
    <w:name w:val="表格 Char"/>
    <w:link w:val="49"/>
    <w:qFormat/>
    <w:locked/>
    <w:uiPriority w:val="0"/>
    <w:rPr>
      <w:rFonts w:ascii="宋体"/>
      <w:sz w:val="21"/>
    </w:rPr>
  </w:style>
  <w:style w:type="character" w:customStyle="1" w:styleId="51">
    <w:name w:val="批注框文本 Char"/>
    <w:link w:val="18"/>
    <w:semiHidden/>
    <w:qFormat/>
    <w:locked/>
    <w:uiPriority w:val="0"/>
    <w:rPr>
      <w:rFonts w:ascii="Times New Roman" w:hAnsi="Times New Roman" w:eastAsia="宋体"/>
      <w:sz w:val="18"/>
    </w:rPr>
  </w:style>
  <w:style w:type="character" w:customStyle="1" w:styleId="52">
    <w:name w:val="正文文本 Char"/>
    <w:link w:val="4"/>
    <w:qFormat/>
    <w:locked/>
    <w:uiPriority w:val="0"/>
    <w:rPr>
      <w:sz w:val="18"/>
    </w:rPr>
  </w:style>
  <w:style w:type="character" w:customStyle="1" w:styleId="53">
    <w:name w:val="正文文本 字符1"/>
    <w:semiHidden/>
    <w:qFormat/>
    <w:uiPriority w:val="0"/>
    <w:rPr>
      <w:rFonts w:ascii="Times New Roman" w:hAnsi="Times New Roman" w:eastAsia="宋体"/>
      <w:sz w:val="24"/>
    </w:rPr>
  </w:style>
  <w:style w:type="character" w:customStyle="1" w:styleId="54">
    <w:name w:val="日期 Char"/>
    <w:link w:val="16"/>
    <w:qFormat/>
    <w:locked/>
    <w:uiPriority w:val="0"/>
    <w:rPr>
      <w:rFonts w:ascii="Times New Roman" w:hAnsi="Times New Roman" w:eastAsia="宋体"/>
      <w:sz w:val="24"/>
    </w:rPr>
  </w:style>
  <w:style w:type="character" w:customStyle="1" w:styleId="55">
    <w:name w:val="批注文字 字符1"/>
    <w:semiHidden/>
    <w:qFormat/>
    <w:uiPriority w:val="0"/>
    <w:rPr>
      <w:rFonts w:ascii="Times New Roman" w:hAnsi="Times New Roman" w:eastAsia="宋体"/>
      <w:sz w:val="24"/>
    </w:rPr>
  </w:style>
  <w:style w:type="character" w:customStyle="1" w:styleId="56">
    <w:name w:val="页脚 字符"/>
    <w:basedOn w:val="27"/>
    <w:qFormat/>
    <w:uiPriority w:val="99"/>
  </w:style>
  <w:style w:type="character" w:customStyle="1" w:styleId="57">
    <w:name w:val="页眉 Char"/>
    <w:link w:val="20"/>
    <w:qFormat/>
    <w:locked/>
    <w:uiPriority w:val="0"/>
    <w:rPr>
      <w:sz w:val="18"/>
    </w:rPr>
  </w:style>
  <w:style w:type="character" w:customStyle="1" w:styleId="58">
    <w:name w:val="页脚 Char"/>
    <w:link w:val="19"/>
    <w:qFormat/>
    <w:locked/>
    <w:uiPriority w:val="99"/>
    <w:rPr>
      <w:sz w:val="18"/>
    </w:rPr>
  </w:style>
  <w:style w:type="character" w:customStyle="1" w:styleId="59">
    <w:name w:val="批注文字 Char"/>
    <w:link w:val="12"/>
    <w:qFormat/>
    <w:locked/>
    <w:uiPriority w:val="0"/>
    <w:rPr>
      <w:rFonts w:ascii="Times New Roman" w:hAnsi="Times New Roman" w:eastAsia="宋体"/>
      <w:sz w:val="24"/>
    </w:rPr>
  </w:style>
  <w:style w:type="character" w:customStyle="1" w:styleId="60">
    <w:name w:val="普通(网站) Char"/>
    <w:link w:val="23"/>
    <w:qFormat/>
    <w:locked/>
    <w:uiPriority w:val="0"/>
    <w:rPr>
      <w:rFonts w:ascii="宋体" w:hAnsi="宋体" w:eastAsia="宋体"/>
      <w:sz w:val="24"/>
    </w:rPr>
  </w:style>
  <w:style w:type="character" w:customStyle="1" w:styleId="61">
    <w:name w:val="日期 字符"/>
    <w:semiHidden/>
    <w:qFormat/>
    <w:uiPriority w:val="0"/>
    <w:rPr>
      <w:rFonts w:ascii="Times New Roman" w:hAnsi="Times New Roman" w:eastAsia="宋体"/>
      <w:sz w:val="24"/>
    </w:rPr>
  </w:style>
  <w:style w:type="character" w:customStyle="1" w:styleId="62">
    <w:name w:val="正文文本缩进 Char"/>
    <w:link w:val="13"/>
    <w:semiHidden/>
    <w:qFormat/>
    <w:locked/>
    <w:uiPriority w:val="0"/>
    <w:rPr>
      <w:rFonts w:ascii="Times New Roman" w:hAnsi="Times New Roman" w:eastAsia="宋体"/>
      <w:sz w:val="24"/>
    </w:rPr>
  </w:style>
  <w:style w:type="character" w:customStyle="1" w:styleId="63">
    <w:name w:val="批注主题 Char"/>
    <w:link w:val="24"/>
    <w:semiHidden/>
    <w:qFormat/>
    <w:locked/>
    <w:uiPriority w:val="0"/>
    <w:rPr>
      <w:rFonts w:ascii="Times New Roman" w:hAnsi="Times New Roman" w:eastAsia="宋体"/>
      <w:b/>
      <w:kern w:val="2"/>
      <w:sz w:val="24"/>
    </w:rPr>
  </w:style>
  <w:style w:type="paragraph" w:customStyle="1" w:styleId="64">
    <w:name w:val="样式 样式 12.5 磅 行距: 固定值 22 磅 首行缩进:  2 字符 + 首行缩进:  2 字符"/>
    <w:basedOn w:val="1"/>
    <w:qFormat/>
    <w:uiPriority w:val="0"/>
    <w:pPr>
      <w:spacing w:line="440" w:lineRule="exact"/>
      <w:ind w:firstLine="500" w:firstLineChars="200"/>
    </w:pPr>
    <w:rPr>
      <w:rFonts w:ascii="宋体"/>
      <w:kern w:val="0"/>
      <w:sz w:val="25"/>
      <w:szCs w:val="20"/>
    </w:rPr>
  </w:style>
  <w:style w:type="paragraph" w:customStyle="1" w:styleId="65">
    <w:name w:val="正文A"/>
    <w:basedOn w:val="1"/>
    <w:qFormat/>
    <w:uiPriority w:val="0"/>
    <w:pPr>
      <w:autoSpaceDE w:val="0"/>
      <w:autoSpaceDN w:val="0"/>
      <w:adjustRightInd w:val="0"/>
      <w:snapToGrid w:val="0"/>
      <w:spacing w:line="400" w:lineRule="atLeast"/>
      <w:ind w:firstLine="539"/>
      <w:textAlignment w:val="baseline"/>
    </w:pPr>
    <w:rPr>
      <w:rFonts w:ascii="宋体" w:hAnsi="宋体"/>
      <w:kern w:val="0"/>
      <w:szCs w:val="20"/>
    </w:rPr>
  </w:style>
  <w:style w:type="paragraph" w:styleId="66">
    <w:name w:val="List Paragraph"/>
    <w:basedOn w:val="1"/>
    <w:qFormat/>
    <w:uiPriority w:val="34"/>
    <w:pPr>
      <w:ind w:firstLine="420" w:firstLineChars="200"/>
    </w:pPr>
  </w:style>
  <w:style w:type="paragraph" w:customStyle="1" w:styleId="67">
    <w:name w:val="报告表正文样式"/>
    <w:basedOn w:val="1"/>
    <w:qFormat/>
    <w:uiPriority w:val="0"/>
    <w:pPr>
      <w:spacing w:line="360" w:lineRule="auto"/>
      <w:ind w:firstLine="480" w:firstLineChars="200"/>
    </w:pPr>
  </w:style>
  <w:style w:type="character" w:customStyle="1" w:styleId="68">
    <w:name w:val="正文(修改)-wd Char"/>
    <w:link w:val="69"/>
    <w:qFormat/>
    <w:uiPriority w:val="0"/>
    <w:rPr>
      <w:kern w:val="2"/>
      <w:sz w:val="24"/>
      <w:szCs w:val="24"/>
      <w:lang w:val="en-US" w:eastAsia="zh-CN"/>
    </w:rPr>
  </w:style>
  <w:style w:type="paragraph" w:customStyle="1" w:styleId="69">
    <w:name w:val="正文(修改)-wd"/>
    <w:basedOn w:val="1"/>
    <w:link w:val="68"/>
    <w:qFormat/>
    <w:uiPriority w:val="0"/>
    <w:pPr>
      <w:spacing w:line="360" w:lineRule="auto"/>
      <w:ind w:firstLine="480" w:firstLineChars="200"/>
    </w:pPr>
  </w:style>
  <w:style w:type="character" w:customStyle="1" w:styleId="70">
    <w:name w:val="正文缩进 Char"/>
    <w:link w:val="11"/>
    <w:qFormat/>
    <w:uiPriority w:val="0"/>
    <w:rPr>
      <w:kern w:val="2"/>
      <w:sz w:val="24"/>
      <w:szCs w:val="24"/>
    </w:rPr>
  </w:style>
  <w:style w:type="character" w:customStyle="1" w:styleId="71">
    <w:name w:val="纯文本 Char"/>
    <w:link w:val="15"/>
    <w:qFormat/>
    <w:uiPriority w:val="0"/>
    <w:rPr>
      <w:rFonts w:ascii="宋体" w:hAnsi="Courier New"/>
      <w:kern w:val="2"/>
      <w:sz w:val="24"/>
    </w:rPr>
  </w:style>
  <w:style w:type="paragraph" w:customStyle="1" w:styleId="72">
    <w:name w:val="Table Paragraph"/>
    <w:basedOn w:val="1"/>
    <w:qFormat/>
    <w:uiPriority w:val="0"/>
    <w:pPr>
      <w:widowControl/>
      <w:jc w:val="left"/>
    </w:pPr>
    <w:rPr>
      <w:rFonts w:ascii="Times New Roman" w:hAnsi="Times New Roman"/>
      <w:kern w:val="0"/>
      <w:sz w:val="20"/>
      <w:szCs w:val="20"/>
    </w:rPr>
  </w:style>
  <w:style w:type="paragraph" w:customStyle="1" w:styleId="73">
    <w:name w:val="规范正文"/>
    <w:basedOn w:val="4"/>
    <w:qFormat/>
    <w:uiPriority w:val="0"/>
    <w:pPr>
      <w:widowControl w:val="0"/>
      <w:topLinePunct/>
      <w:snapToGrid/>
      <w:spacing w:before="0" w:after="120" w:line="420" w:lineRule="auto"/>
      <w:ind w:right="0" w:firstLine="200" w:firstLineChars="200"/>
      <w:textAlignment w:val="baseline"/>
    </w:pPr>
    <w:rPr>
      <w:rFonts w:ascii="Times New Roman" w:hAnsi="Times New Roman"/>
      <w:color w:val="000000"/>
      <w:kern w:val="2"/>
      <w:sz w:val="21"/>
      <w:szCs w:val="24"/>
    </w:rPr>
  </w:style>
  <w:style w:type="paragraph" w:customStyle="1" w:styleId="74">
    <w:name w:val="正文01"/>
    <w:basedOn w:val="1"/>
    <w:qFormat/>
    <w:uiPriority w:val="0"/>
    <w:pPr>
      <w:spacing w:before="60" w:line="460" w:lineRule="exact"/>
      <w:ind w:firstLine="200" w:firstLineChars="200"/>
    </w:pPr>
    <w:rPr>
      <w:rFonts w:ascii="Times New Roman" w:hAnsi="Times New Roman"/>
      <w:szCs w:val="20"/>
    </w:rPr>
  </w:style>
  <w:style w:type="character" w:customStyle="1" w:styleId="75">
    <w:name w:val="标题 9 Char"/>
    <w:basedOn w:val="27"/>
    <w:link w:val="10"/>
    <w:qFormat/>
    <w:uiPriority w:val="9"/>
    <w:rPr>
      <w:rFonts w:asciiTheme="majorHAnsi" w:hAnsiTheme="majorHAnsi" w:eastAsiaTheme="majorEastAsia" w:cstheme="majorBidi"/>
      <w:kern w:val="2"/>
      <w:sz w:val="21"/>
      <w:szCs w:val="21"/>
    </w:rPr>
  </w:style>
  <w:style w:type="paragraph" w:customStyle="1" w:styleId="76">
    <w:name w:val="正文的格式52"/>
    <w:basedOn w:val="1"/>
    <w:qFormat/>
    <w:uiPriority w:val="0"/>
    <w:pPr>
      <w:spacing w:line="360" w:lineRule="auto"/>
      <w:ind w:firstLine="200" w:firstLineChars="200"/>
    </w:pPr>
    <w:rPr>
      <w:rFonts w:ascii="Times New Roman" w:hAnsi="Times New Roman"/>
      <w:szCs w:val="20"/>
    </w:rPr>
  </w:style>
  <w:style w:type="character" w:customStyle="1" w:styleId="77">
    <w:name w:val="样式1 Char"/>
    <w:link w:val="78"/>
    <w:qFormat/>
    <w:uiPriority w:val="0"/>
    <w:rPr>
      <w:color w:val="000000"/>
      <w:kern w:val="2"/>
      <w:sz w:val="24"/>
      <w:szCs w:val="28"/>
    </w:rPr>
  </w:style>
  <w:style w:type="paragraph" w:customStyle="1" w:styleId="78">
    <w:name w:val="样式1"/>
    <w:basedOn w:val="1"/>
    <w:link w:val="77"/>
    <w:qFormat/>
    <w:uiPriority w:val="0"/>
    <w:pPr>
      <w:tabs>
        <w:tab w:val="left" w:pos="1440"/>
      </w:tabs>
      <w:spacing w:line="360" w:lineRule="auto"/>
      <w:ind w:firstLine="480" w:firstLineChars="200"/>
    </w:pPr>
    <w:rPr>
      <w:color w:val="000000"/>
      <w:szCs w:val="28"/>
    </w:rPr>
  </w:style>
  <w:style w:type="paragraph" w:customStyle="1" w:styleId="79">
    <w:name w:val="表格内容五号"/>
    <w:basedOn w:val="1"/>
    <w:qFormat/>
    <w:uiPriority w:val="0"/>
    <w:pPr>
      <w:jc w:val="center"/>
    </w:pPr>
    <w:rPr>
      <w:rFonts w:ascii="Times New Roman" w:hAnsi="Times New Roman"/>
      <w:color w:val="FF0000"/>
      <w:sz w:val="21"/>
      <w:szCs w:val="21"/>
    </w:rPr>
  </w:style>
  <w:style w:type="paragraph" w:customStyle="1" w:styleId="80">
    <w:name w:val="样式3"/>
    <w:basedOn w:val="1"/>
    <w:qFormat/>
    <w:uiPriority w:val="0"/>
    <w:pPr>
      <w:spacing w:line="360" w:lineRule="auto"/>
      <w:ind w:firstLine="200" w:firstLineChars="200"/>
    </w:pPr>
    <w:rPr>
      <w:rFonts w:ascii="Times New Roman" w:hAnsi="Times New Roman" w:eastAsia="楷体_GB2312"/>
      <w:sz w:val="28"/>
      <w:szCs w:val="20"/>
    </w:rPr>
  </w:style>
  <w:style w:type="character" w:customStyle="1" w:styleId="81">
    <w:name w:val="副标题 Char"/>
    <w:link w:val="22"/>
    <w:qFormat/>
    <w:uiPriority w:val="11"/>
    <w:rPr>
      <w:rFonts w:ascii="Cambria" w:hAnsi="Cambria"/>
      <w:b/>
      <w:bCs/>
      <w:kern w:val="28"/>
      <w:sz w:val="32"/>
      <w:szCs w:val="32"/>
    </w:rPr>
  </w:style>
  <w:style w:type="character" w:customStyle="1" w:styleId="82">
    <w:name w:val="表格内容 Char"/>
    <w:link w:val="42"/>
    <w:qFormat/>
    <w:uiPriority w:val="0"/>
    <w:rPr>
      <w:kern w:val="2"/>
      <w:sz w:val="24"/>
      <w:szCs w:val="24"/>
    </w:rPr>
  </w:style>
  <w:style w:type="paragraph" w:customStyle="1" w:styleId="83">
    <w:name w:val="z正文"/>
    <w:basedOn w:val="13"/>
    <w:qFormat/>
    <w:uiPriority w:val="0"/>
    <w:pPr>
      <w:autoSpaceDE w:val="0"/>
      <w:autoSpaceDN w:val="0"/>
      <w:spacing w:after="0" w:line="360" w:lineRule="auto"/>
      <w:ind w:left="0" w:leftChars="0" w:firstLine="200" w:firstLineChars="200"/>
      <w:textAlignment w:val="baseline"/>
    </w:pPr>
    <w:rPr>
      <w:rFonts w:ascii="Times New Roman"/>
    </w:rPr>
  </w:style>
  <w:style w:type="paragraph" w:customStyle="1" w:styleId="84">
    <w:name w:val="zhang正文"/>
    <w:basedOn w:val="13"/>
    <w:qFormat/>
    <w:uiPriority w:val="0"/>
    <w:pPr>
      <w:autoSpaceDE w:val="0"/>
      <w:autoSpaceDN w:val="0"/>
      <w:adjustRightInd w:val="0"/>
      <w:snapToGrid w:val="0"/>
      <w:spacing w:line="500" w:lineRule="exact"/>
      <w:ind w:firstLine="539"/>
      <w:textAlignment w:val="baseline"/>
    </w:pPr>
    <w:rPr>
      <w:rFonts w:ascii="Times New Roman" w:eastAsia="楷体_GB2312"/>
    </w:rPr>
  </w:style>
  <w:style w:type="paragraph" w:customStyle="1" w:styleId="85">
    <w:name w:val="6表(图)头(治)"/>
    <w:next w:val="1"/>
    <w:qFormat/>
    <w:uiPriority w:val="0"/>
    <w:pPr>
      <w:widowControl w:val="0"/>
      <w:jc w:val="center"/>
    </w:pPr>
    <w:rPr>
      <w:rFonts w:ascii="Times New Roman" w:hAnsi="Times New Roman" w:eastAsia="黑体" w:cstheme="minorBidi"/>
      <w:b/>
      <w:bCs/>
      <w:sz w:val="24"/>
      <w:lang w:val="en-US" w:eastAsia="zh-CN" w:bidi="ar-SA"/>
    </w:rPr>
  </w:style>
  <w:style w:type="character" w:customStyle="1" w:styleId="86">
    <w:name w:val="cf01"/>
    <w:basedOn w:val="27"/>
    <w:qFormat/>
    <w:uiPriority w:val="0"/>
    <w:rPr>
      <w:rFonts w:hint="eastAsia" w:ascii="Microsoft YaHei UI" w:hAnsi="Microsoft YaHei UI" w:eastAsia="Microsoft YaHei UI"/>
      <w:sz w:val="18"/>
      <w:szCs w:val="18"/>
    </w:rPr>
  </w:style>
  <w:style w:type="paragraph" w:customStyle="1" w:styleId="87">
    <w:name w:val="5文章(治)"/>
    <w:basedOn w:val="1"/>
    <w:qFormat/>
    <w:uiPriority w:val="99"/>
    <w:pPr>
      <w:spacing w:line="360" w:lineRule="auto"/>
      <w:ind w:firstLine="200" w:firstLineChars="200"/>
    </w:pPr>
  </w:style>
  <w:style w:type="character" w:customStyle="1" w:styleId="88">
    <w:name w:val="标题 3 Char"/>
    <w:basedOn w:val="27"/>
    <w:link w:val="8"/>
    <w:qFormat/>
    <w:uiPriority w:val="0"/>
    <w:rPr>
      <w:rFonts w:hint="default" w:ascii="Times New Roman" w:hAnsi="Times New Roman" w:cs="Times New Roman"/>
      <w:b/>
      <w:bCs/>
      <w:kern w:val="2"/>
      <w:sz w:val="32"/>
      <w:szCs w:val="32"/>
    </w:rPr>
  </w:style>
  <w:style w:type="character" w:customStyle="1" w:styleId="89">
    <w:name w:val="标题 4 Char"/>
    <w:basedOn w:val="27"/>
    <w:link w:val="9"/>
    <w:qFormat/>
    <w:uiPriority w:val="0"/>
    <w:rPr>
      <w:rFonts w:ascii="等线 Light" w:hAnsi="等线 Light" w:eastAsia="等线 Light" w:cs="Times New Roman"/>
      <w:b/>
      <w:bCs/>
      <w:kern w:val="2"/>
      <w:sz w:val="28"/>
      <w:szCs w:val="28"/>
    </w:rPr>
  </w:style>
  <w:style w:type="character" w:customStyle="1" w:styleId="90">
    <w:name w:val="标题 2 Char"/>
    <w:basedOn w:val="27"/>
    <w:link w:val="7"/>
    <w:qFormat/>
    <w:uiPriority w:val="0"/>
    <w:rPr>
      <w:rFonts w:eastAsia="黑体"/>
      <w:b/>
      <w:color w:val="FF0000"/>
      <w:kern w:val="2"/>
      <w:sz w:val="28"/>
      <w:szCs w:val="28"/>
    </w:rPr>
  </w:style>
  <w:style w:type="character" w:customStyle="1" w:styleId="91">
    <w:name w:val="标题 1 Char"/>
    <w:basedOn w:val="27"/>
    <w:link w:val="6"/>
    <w:qFormat/>
    <w:uiPriority w:val="0"/>
    <w:rPr>
      <w:rFonts w:hint="default" w:ascii="Times New Roman" w:hAnsi="Times New Roman" w:cs="Times New Roman"/>
      <w:b/>
      <w:bCs/>
      <w:kern w:val="44"/>
      <w:sz w:val="44"/>
      <w:szCs w:val="44"/>
    </w:rPr>
  </w:style>
  <w:style w:type="paragraph" w:customStyle="1" w:styleId="92">
    <w:name w:val="4"/>
    <w:basedOn w:val="1"/>
    <w:next w:val="15"/>
    <w:qFormat/>
    <w:uiPriority w:val="0"/>
    <w:rPr>
      <w:rFonts w:ascii="宋体" w:hAnsi="Courier New" w:cs="Courier New"/>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D7F119-B318-4B4C-8746-148109EFB59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6472</Words>
  <Characters>36893</Characters>
  <Lines>307</Lines>
  <Paragraphs>86</Paragraphs>
  <TotalTime>41</TotalTime>
  <ScaleCrop>false</ScaleCrop>
  <LinksUpToDate>false</LinksUpToDate>
  <CharactersWithSpaces>43279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2023-11-16T17:29:00Z</dcterms:created>
  <dc:creator>lhj</dc:creator>
  <cp:lastModifiedBy>user</cp:lastModifiedBy>
  <cp:lastPrinted>2020-12-29T10:43:00Z</cp:lastPrinted>
  <dcterms:modified xsi:type="dcterms:W3CDTF">2024-06-05T11:47:00Z</dcterms:modified>
  <dc:title>附件2</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11EDD4D206E94ED3A967827176E9D61F_13</vt:lpwstr>
  </property>
</Properties>
</file>