
<file path=[Content_Types].xml><?xml version="1.0" encoding="utf-8"?>
<Types xmlns="http://schemas.openxmlformats.org/package/2006/content-types">
  <Default Extension="xml" ContentType="application/xml"/>
  <Default Extension="jpeg" ContentType="image/jpeg"/>
  <Default Extension="JPG" ContentType="image/.jpg"/>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bookmarkStart w:id="21" w:name="_GoBack"/>
      <w:bookmarkEnd w:id="21"/>
      <w:r>
        <w:rPr>
          <w:rFonts w:hint="eastAsia"/>
        </w:rPr>
        <w:t xml:space="preserve">  </w:t>
      </w:r>
    </w:p>
    <w:p/>
    <w:p/>
    <w:p/>
    <w:p>
      <w:pPr>
        <w:adjustRightInd w:val="0"/>
        <w:snapToGrid w:val="0"/>
        <w:jc w:val="center"/>
        <w:outlineLvl w:val="0"/>
        <w:rPr>
          <w:rFonts w:ascii="Times New Roman" w:hAnsi="Times New Roman" w:eastAsia="方正小标宋_GBK"/>
          <w:bCs/>
          <w:sz w:val="72"/>
          <w:szCs w:val="72"/>
        </w:rPr>
      </w:pPr>
      <w:r>
        <w:rPr>
          <w:rFonts w:ascii="Times New Roman" w:hAnsi="Times New Roman" w:eastAsia="方正小标宋_GBK"/>
          <w:bCs/>
          <w:sz w:val="72"/>
          <w:szCs w:val="72"/>
        </w:rPr>
        <w:t>建设项目环境影响报告表</w:t>
      </w:r>
    </w:p>
    <w:p>
      <w:pPr>
        <w:adjustRightInd w:val="0"/>
        <w:snapToGrid w:val="0"/>
        <w:spacing w:before="192" w:beforeLines="80"/>
        <w:jc w:val="center"/>
        <w:rPr>
          <w:rFonts w:ascii="Times New Roman" w:hAnsi="Times New Roman" w:eastAsia="楷体_GB2312"/>
          <w:bCs/>
          <w:sz w:val="48"/>
          <w:szCs w:val="48"/>
        </w:rPr>
      </w:pPr>
      <w:r>
        <w:rPr>
          <w:rFonts w:ascii="Times New Roman" w:hAnsi="Times New Roman" w:eastAsia="楷体_GB2312"/>
          <w:bCs/>
          <w:sz w:val="48"/>
          <w:szCs w:val="48"/>
        </w:rPr>
        <w:t>（污染影响类）</w:t>
      </w:r>
    </w:p>
    <w:p>
      <w:pPr>
        <w:adjustRightInd w:val="0"/>
        <w:snapToGrid w:val="0"/>
        <w:spacing w:line="288" w:lineRule="auto"/>
        <w:ind w:firstLine="880"/>
        <w:jc w:val="center"/>
        <w:rPr>
          <w:rFonts w:ascii="Times New Roman" w:hAnsi="Times New Roman" w:eastAsia="华文仿宋"/>
          <w:kern w:val="44"/>
          <w:sz w:val="44"/>
          <w:szCs w:val="44"/>
        </w:rPr>
      </w:pPr>
    </w:p>
    <w:p>
      <w:pPr>
        <w:ind w:firstLine="1040"/>
        <w:jc w:val="center"/>
        <w:rPr>
          <w:rFonts w:ascii="Times New Roman" w:hAnsi="Times New Roman" w:eastAsia="仿宋"/>
          <w:sz w:val="52"/>
          <w:szCs w:val="52"/>
        </w:rPr>
      </w:pPr>
    </w:p>
    <w:p>
      <w:pPr>
        <w:ind w:firstLine="880"/>
        <w:rPr>
          <w:rFonts w:ascii="Times New Roman" w:hAnsi="Times New Roman" w:eastAsia="仿宋"/>
          <w:sz w:val="44"/>
          <w:szCs w:val="44"/>
        </w:rPr>
      </w:pPr>
    </w:p>
    <w:p>
      <w:pPr>
        <w:ind w:firstLine="880"/>
        <w:rPr>
          <w:rFonts w:ascii="Times New Roman" w:hAnsi="Times New Roman" w:eastAsia="仿宋"/>
          <w:sz w:val="44"/>
          <w:szCs w:val="44"/>
        </w:rPr>
      </w:pPr>
    </w:p>
    <w:p>
      <w:pPr>
        <w:ind w:firstLine="880"/>
        <w:rPr>
          <w:rFonts w:ascii="Times New Roman" w:hAnsi="Times New Roman" w:eastAsia="仿宋"/>
          <w:sz w:val="44"/>
          <w:szCs w:val="44"/>
        </w:rPr>
      </w:pPr>
    </w:p>
    <w:p>
      <w:pPr>
        <w:ind w:firstLine="880"/>
        <w:rPr>
          <w:rFonts w:ascii="Times New Roman" w:hAnsi="Times New Roman" w:eastAsia="仿宋"/>
          <w:sz w:val="44"/>
          <w:szCs w:val="44"/>
        </w:rPr>
      </w:pPr>
    </w:p>
    <w:p>
      <w:pPr>
        <w:ind w:firstLine="880"/>
        <w:rPr>
          <w:rFonts w:ascii="Times New Roman" w:hAnsi="Times New Roman" w:eastAsia="仿宋"/>
          <w:sz w:val="44"/>
          <w:szCs w:val="44"/>
        </w:rPr>
      </w:pPr>
    </w:p>
    <w:p>
      <w:pPr>
        <w:adjustRightInd w:val="0"/>
        <w:snapToGrid w:val="0"/>
        <w:spacing w:line="288" w:lineRule="auto"/>
        <w:ind w:firstLine="360" w:firstLineChars="100"/>
        <w:rPr>
          <w:rFonts w:ascii="Times New Roman" w:hAnsi="Times New Roman" w:eastAsia="仿宋_GB2312"/>
          <w:sz w:val="36"/>
          <w:szCs w:val="36"/>
          <w:u w:val="single"/>
        </w:rPr>
      </w:pPr>
      <w:r>
        <w:rPr>
          <w:rFonts w:ascii="Times New Roman" w:hAnsi="Times New Roman" w:eastAsia="仿宋_GB2312"/>
          <w:sz w:val="36"/>
          <w:szCs w:val="36"/>
        </w:rPr>
        <w:t>项目名称：</w:t>
      </w:r>
      <w:r>
        <w:rPr>
          <w:rFonts w:hint="eastAsia" w:ascii="Times New Roman" w:hAnsi="Times New Roman" w:eastAsia="仿宋_GB2312"/>
          <w:sz w:val="36"/>
          <w:szCs w:val="36"/>
          <w:u w:val="single"/>
        </w:rPr>
        <w:t>大田卓阳达再生资源综合利用建设项目</w:t>
      </w:r>
    </w:p>
    <w:p>
      <w:pPr>
        <w:adjustRightInd w:val="0"/>
        <w:snapToGrid w:val="0"/>
        <w:spacing w:line="288" w:lineRule="auto"/>
        <w:ind w:firstLine="360" w:firstLineChars="100"/>
        <w:rPr>
          <w:rFonts w:ascii="Times New Roman" w:hAnsi="Times New Roman" w:eastAsia="仿宋_GB2312"/>
          <w:sz w:val="36"/>
          <w:szCs w:val="36"/>
          <w:u w:val="single"/>
        </w:rPr>
      </w:pPr>
      <w:r>
        <w:rPr>
          <w:rFonts w:ascii="Times New Roman" w:hAnsi="Times New Roman" w:eastAsia="仿宋_GB2312"/>
          <w:sz w:val="36"/>
          <w:szCs w:val="36"/>
        </w:rPr>
        <w:t>建设单位（盖章）：</w:t>
      </w:r>
      <w:r>
        <w:rPr>
          <w:rFonts w:hint="eastAsia" w:ascii="Times New Roman" w:hAnsi="Times New Roman" w:eastAsia="仿宋_GB2312"/>
          <w:sz w:val="36"/>
          <w:szCs w:val="36"/>
          <w:u w:val="single"/>
        </w:rPr>
        <w:t>福建卓阳达再生资源有限公司</w:t>
      </w:r>
    </w:p>
    <w:p>
      <w:pPr>
        <w:adjustRightInd w:val="0"/>
        <w:snapToGrid w:val="0"/>
        <w:spacing w:line="288" w:lineRule="auto"/>
        <w:ind w:firstLine="360" w:firstLineChars="100"/>
        <w:rPr>
          <w:rFonts w:ascii="Times New Roman" w:hAnsi="Times New Roman" w:eastAsia="仿宋_GB2312"/>
          <w:sz w:val="36"/>
          <w:szCs w:val="36"/>
          <w:u w:val="single"/>
        </w:rPr>
      </w:pPr>
      <w:r>
        <w:rPr>
          <w:rFonts w:ascii="Times New Roman" w:hAnsi="Times New Roman" w:eastAsia="仿宋_GB2312"/>
          <w:sz w:val="36"/>
          <w:szCs w:val="36"/>
        </w:rPr>
        <w:t>编制日期：</w:t>
      </w:r>
      <w:r>
        <w:rPr>
          <w:rFonts w:hint="eastAsia" w:ascii="Times New Roman" w:hAnsi="Times New Roman" w:eastAsia="仿宋_GB2312"/>
          <w:sz w:val="36"/>
          <w:szCs w:val="36"/>
          <w:u w:val="single"/>
        </w:rPr>
        <w:t>2024年4月</w:t>
      </w:r>
    </w:p>
    <w:p>
      <w:pPr>
        <w:adjustRightInd w:val="0"/>
        <w:snapToGrid w:val="0"/>
        <w:spacing w:line="288" w:lineRule="auto"/>
        <w:ind w:firstLine="720"/>
        <w:rPr>
          <w:rFonts w:ascii="Times New Roman" w:hAnsi="Times New Roman" w:eastAsia="仿宋_GB2312"/>
          <w:sz w:val="36"/>
          <w:szCs w:val="36"/>
          <w:u w:val="single"/>
        </w:rPr>
      </w:pPr>
      <w:bookmarkStart w:id="0" w:name="_Hlk57884087"/>
    </w:p>
    <w:p>
      <w:pPr>
        <w:adjustRightInd w:val="0"/>
        <w:snapToGrid w:val="0"/>
        <w:spacing w:line="288" w:lineRule="auto"/>
        <w:ind w:firstLine="720"/>
        <w:rPr>
          <w:rFonts w:ascii="Times New Roman" w:hAnsi="Times New Roman" w:eastAsia="仿宋_GB2312"/>
          <w:sz w:val="36"/>
          <w:szCs w:val="36"/>
        </w:rPr>
      </w:pPr>
    </w:p>
    <w:p>
      <w:pPr>
        <w:adjustRightInd w:val="0"/>
        <w:snapToGrid w:val="0"/>
        <w:spacing w:line="288" w:lineRule="auto"/>
        <w:ind w:firstLine="720"/>
        <w:jc w:val="center"/>
        <w:rPr>
          <w:rFonts w:ascii="Times New Roman" w:hAnsi="Times New Roman" w:eastAsia="仿宋_GB2312"/>
          <w:sz w:val="36"/>
          <w:szCs w:val="36"/>
        </w:rPr>
      </w:pPr>
    </w:p>
    <w:bookmarkEnd w:id="0"/>
    <w:p>
      <w:pPr>
        <w:adjustRightInd w:val="0"/>
        <w:snapToGrid w:val="0"/>
        <w:spacing w:line="288" w:lineRule="auto"/>
        <w:ind w:firstLine="720"/>
        <w:jc w:val="center"/>
        <w:rPr>
          <w:rFonts w:ascii="Times New Roman" w:hAnsi="Times New Roman" w:eastAsia="仿宋_GB2312"/>
          <w:sz w:val="36"/>
          <w:szCs w:val="36"/>
        </w:rPr>
        <w:sectPr>
          <w:footerReference r:id="rId5" w:type="first"/>
          <w:footerReference r:id="rId3" w:type="default"/>
          <w:footerReference r:id="rId4" w:type="even"/>
          <w:pgSz w:w="11906" w:h="16838"/>
          <w:pgMar w:top="1701" w:right="1531" w:bottom="1701" w:left="1531" w:header="851" w:footer="1077" w:gutter="0"/>
          <w:pgNumType w:start="1"/>
          <w:cols w:space="720" w:num="1"/>
          <w:docGrid w:linePitch="312" w:charSpace="0"/>
        </w:sectPr>
      </w:pPr>
      <w:r>
        <w:rPr>
          <w:rFonts w:ascii="Times New Roman" w:hAnsi="Times New Roman" w:eastAsia="楷体_GB2312"/>
          <w:sz w:val="36"/>
          <w:szCs w:val="36"/>
        </w:rPr>
        <w:t>中华人民共和国生态环境部制</w:t>
      </w:r>
    </w:p>
    <w:p>
      <w:pPr>
        <w:pStyle w:val="23"/>
        <w:numPr>
          <w:ilvl w:val="0"/>
          <w:numId w:val="4"/>
        </w:numPr>
        <w:ind w:left="-120" w:firstLine="600"/>
        <w:jc w:val="center"/>
        <w:outlineLvl w:val="0"/>
        <w:rPr>
          <w:rFonts w:ascii="Times New Roman" w:hAnsi="Times New Roman" w:eastAsia="黑体"/>
          <w:snapToGrid w:val="0"/>
          <w:sz w:val="30"/>
          <w:szCs w:val="30"/>
        </w:rPr>
      </w:pPr>
      <w:r>
        <w:rPr>
          <w:rFonts w:ascii="Times New Roman" w:hAnsi="Times New Roman" w:eastAsia="黑体"/>
          <w:snapToGrid w:val="0"/>
          <w:sz w:val="30"/>
          <w:szCs w:val="30"/>
        </w:rPr>
        <w:t>建设项目基本情况</w:t>
      </w:r>
    </w:p>
    <w:tbl>
      <w:tblPr>
        <w:tblStyle w:val="25"/>
        <w:tblW w:w="935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907"/>
        <w:gridCol w:w="3336"/>
        <w:gridCol w:w="2268"/>
        <w:gridCol w:w="284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00" w:hRule="atLeast"/>
          <w:jc w:val="center"/>
        </w:trPr>
        <w:tc>
          <w:tcPr>
            <w:tcW w:w="907" w:type="dxa"/>
            <w:tcMar>
              <w:top w:w="16" w:type="dxa"/>
              <w:left w:w="16" w:type="dxa"/>
              <w:right w:w="16" w:type="dxa"/>
            </w:tcMar>
            <w:vAlign w:val="center"/>
          </w:tcPr>
          <w:p>
            <w:pPr>
              <w:adjustRightInd w:val="0"/>
              <w:snapToGrid w:val="0"/>
              <w:jc w:val="center"/>
              <w:rPr>
                <w:rFonts w:ascii="Times New Roman" w:hAnsi="Times New Roman"/>
                <w:szCs w:val="21"/>
              </w:rPr>
            </w:pPr>
            <w:r>
              <w:rPr>
                <w:rFonts w:ascii="Times New Roman" w:hAnsi="Times New Roman"/>
                <w:szCs w:val="21"/>
              </w:rPr>
              <w:t>建设项目名称</w:t>
            </w:r>
          </w:p>
        </w:tc>
        <w:tc>
          <w:tcPr>
            <w:tcW w:w="8451" w:type="dxa"/>
            <w:gridSpan w:val="3"/>
            <w:shd w:val="clear" w:color="auto" w:fill="auto"/>
            <w:vAlign w:val="center"/>
          </w:tcPr>
          <w:p>
            <w:pPr>
              <w:adjustRightInd w:val="0"/>
              <w:snapToGrid w:val="0"/>
              <w:jc w:val="center"/>
              <w:rPr>
                <w:rFonts w:ascii="Times New Roman" w:hAnsi="Times New Roman"/>
                <w:szCs w:val="21"/>
              </w:rPr>
            </w:pPr>
            <w:r>
              <w:rPr>
                <w:rFonts w:hint="eastAsia" w:ascii="Times New Roman" w:hAnsi="Times New Roman" w:eastAsiaTheme="minorEastAsia"/>
                <w:kern w:val="21"/>
              </w:rPr>
              <w:t>大田卓阳达再生资源综合利用建设项目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67" w:hRule="atLeast"/>
          <w:jc w:val="center"/>
        </w:trPr>
        <w:tc>
          <w:tcPr>
            <w:tcW w:w="907" w:type="dxa"/>
            <w:tcMar>
              <w:top w:w="16" w:type="dxa"/>
              <w:left w:w="16" w:type="dxa"/>
              <w:right w:w="16" w:type="dxa"/>
            </w:tcMar>
            <w:vAlign w:val="center"/>
          </w:tcPr>
          <w:p>
            <w:pPr>
              <w:adjustRightInd w:val="0"/>
              <w:snapToGrid w:val="0"/>
              <w:jc w:val="center"/>
              <w:rPr>
                <w:rFonts w:ascii="Times New Roman" w:hAnsi="Times New Roman"/>
                <w:szCs w:val="21"/>
              </w:rPr>
            </w:pPr>
            <w:r>
              <w:rPr>
                <w:rFonts w:ascii="Times New Roman" w:hAnsi="Times New Roman"/>
                <w:szCs w:val="21"/>
              </w:rPr>
              <w:t>项目代码</w:t>
            </w:r>
          </w:p>
        </w:tc>
        <w:tc>
          <w:tcPr>
            <w:tcW w:w="8451" w:type="dxa"/>
            <w:gridSpan w:val="3"/>
            <w:shd w:val="clear" w:color="auto" w:fill="auto"/>
            <w:vAlign w:val="center"/>
          </w:tcPr>
          <w:p>
            <w:pPr>
              <w:adjustRightInd w:val="0"/>
              <w:snapToGrid w:val="0"/>
              <w:jc w:val="center"/>
              <w:rPr>
                <w:rFonts w:ascii="Times New Roman" w:hAnsi="Times New Roman"/>
                <w:szCs w:val="21"/>
              </w:rPr>
            </w:pPr>
            <w:r>
              <w:rPr>
                <w:rFonts w:hint="eastAsia" w:ascii="Times New Roman" w:hAnsi="Times New Roman"/>
                <w:szCs w:val="21"/>
              </w:rPr>
              <w:t>2304-350425-04-01-770899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2" w:hRule="atLeast"/>
          <w:jc w:val="center"/>
        </w:trPr>
        <w:tc>
          <w:tcPr>
            <w:tcW w:w="907" w:type="dxa"/>
            <w:tcMar>
              <w:top w:w="16" w:type="dxa"/>
              <w:left w:w="16" w:type="dxa"/>
              <w:right w:w="16" w:type="dxa"/>
            </w:tcMar>
            <w:vAlign w:val="center"/>
          </w:tcPr>
          <w:p>
            <w:pPr>
              <w:adjustRightInd w:val="0"/>
              <w:snapToGrid w:val="0"/>
              <w:jc w:val="center"/>
              <w:rPr>
                <w:rFonts w:ascii="Times New Roman" w:hAnsi="Times New Roman"/>
                <w:szCs w:val="21"/>
              </w:rPr>
            </w:pPr>
            <w:r>
              <w:rPr>
                <w:rFonts w:ascii="Times New Roman" w:hAnsi="Times New Roman"/>
                <w:szCs w:val="21"/>
              </w:rPr>
              <w:t>建设单位联系人</w:t>
            </w:r>
          </w:p>
        </w:tc>
        <w:tc>
          <w:tcPr>
            <w:tcW w:w="3336" w:type="dxa"/>
            <w:shd w:val="clear" w:color="auto" w:fill="auto"/>
            <w:vAlign w:val="center"/>
          </w:tcPr>
          <w:p>
            <w:pPr>
              <w:adjustRightInd w:val="0"/>
              <w:snapToGrid w:val="0"/>
              <w:jc w:val="center"/>
              <w:rPr>
                <w:rFonts w:ascii="Times New Roman" w:hAnsi="Times New Roman"/>
                <w:szCs w:val="21"/>
              </w:rPr>
            </w:pPr>
          </w:p>
        </w:tc>
        <w:tc>
          <w:tcPr>
            <w:tcW w:w="2268" w:type="dxa"/>
            <w:shd w:val="clear" w:color="auto" w:fill="auto"/>
            <w:vAlign w:val="center"/>
          </w:tcPr>
          <w:p>
            <w:pPr>
              <w:adjustRightInd w:val="0"/>
              <w:snapToGrid w:val="0"/>
              <w:jc w:val="center"/>
              <w:rPr>
                <w:rFonts w:ascii="Times New Roman" w:hAnsi="Times New Roman"/>
                <w:szCs w:val="21"/>
              </w:rPr>
            </w:pPr>
            <w:r>
              <w:rPr>
                <w:rFonts w:ascii="Times New Roman" w:hAnsi="Times New Roman"/>
                <w:szCs w:val="21"/>
              </w:rPr>
              <w:t>联系方式</w:t>
            </w:r>
          </w:p>
        </w:tc>
        <w:tc>
          <w:tcPr>
            <w:tcW w:w="2847" w:type="dxa"/>
            <w:shd w:val="clear" w:color="auto" w:fill="auto"/>
            <w:vAlign w:val="center"/>
          </w:tcPr>
          <w:p>
            <w:pPr>
              <w:adjustRightInd w:val="0"/>
              <w:snapToGrid w:val="0"/>
              <w:jc w:val="center"/>
              <w:rPr>
                <w:rFonts w:ascii="Times New Roman" w:hAnsi="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6" w:hRule="atLeast"/>
          <w:jc w:val="center"/>
        </w:trPr>
        <w:tc>
          <w:tcPr>
            <w:tcW w:w="907" w:type="dxa"/>
            <w:tcMar>
              <w:top w:w="16" w:type="dxa"/>
              <w:left w:w="16" w:type="dxa"/>
              <w:right w:w="16" w:type="dxa"/>
            </w:tcMar>
            <w:vAlign w:val="center"/>
          </w:tcPr>
          <w:p>
            <w:pPr>
              <w:adjustRightInd w:val="0"/>
              <w:snapToGrid w:val="0"/>
              <w:jc w:val="center"/>
              <w:rPr>
                <w:rFonts w:ascii="Times New Roman" w:hAnsi="Times New Roman"/>
                <w:szCs w:val="21"/>
              </w:rPr>
            </w:pPr>
            <w:r>
              <w:rPr>
                <w:rFonts w:ascii="Times New Roman" w:hAnsi="Times New Roman"/>
                <w:szCs w:val="21"/>
              </w:rPr>
              <w:t>建设地点</w:t>
            </w:r>
          </w:p>
        </w:tc>
        <w:tc>
          <w:tcPr>
            <w:tcW w:w="8451" w:type="dxa"/>
            <w:gridSpan w:val="3"/>
            <w:shd w:val="clear" w:color="auto" w:fill="auto"/>
            <w:vAlign w:val="center"/>
          </w:tcPr>
          <w:p>
            <w:pPr>
              <w:adjustRightInd w:val="0"/>
              <w:snapToGrid w:val="0"/>
              <w:jc w:val="center"/>
              <w:rPr>
                <w:rFonts w:ascii="Times New Roman" w:hAnsi="Times New Roman"/>
                <w:szCs w:val="21"/>
              </w:rPr>
            </w:pPr>
            <w:r>
              <w:rPr>
                <w:rFonts w:hint="eastAsia" w:ascii="Times New Roman" w:hAnsi="Times New Roman" w:eastAsiaTheme="minorEastAsia"/>
                <w:kern w:val="21"/>
              </w:rPr>
              <w:t>福建省三明市大田县武陵乡大石村249号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59" w:hRule="atLeast"/>
          <w:jc w:val="center"/>
        </w:trPr>
        <w:tc>
          <w:tcPr>
            <w:tcW w:w="907" w:type="dxa"/>
            <w:tcMar>
              <w:top w:w="16" w:type="dxa"/>
              <w:left w:w="16" w:type="dxa"/>
              <w:right w:w="16" w:type="dxa"/>
            </w:tcMar>
            <w:vAlign w:val="center"/>
          </w:tcPr>
          <w:p>
            <w:pPr>
              <w:adjustRightInd w:val="0"/>
              <w:snapToGrid w:val="0"/>
              <w:jc w:val="center"/>
              <w:rPr>
                <w:rFonts w:ascii="Times New Roman" w:hAnsi="Times New Roman"/>
                <w:szCs w:val="21"/>
              </w:rPr>
            </w:pPr>
            <w:r>
              <w:rPr>
                <w:rFonts w:ascii="Times New Roman" w:hAnsi="Times New Roman"/>
                <w:szCs w:val="21"/>
              </w:rPr>
              <w:t>地理坐标</w:t>
            </w:r>
          </w:p>
        </w:tc>
        <w:tc>
          <w:tcPr>
            <w:tcW w:w="8451" w:type="dxa"/>
            <w:gridSpan w:val="3"/>
            <w:shd w:val="clear" w:color="auto" w:fill="auto"/>
            <w:vAlign w:val="center"/>
          </w:tcPr>
          <w:p>
            <w:pPr>
              <w:jc w:val="center"/>
              <w:rPr>
                <w:rFonts w:ascii="Times New Roman" w:hAnsi="Times New Roman"/>
                <w:szCs w:val="21"/>
              </w:rPr>
            </w:pPr>
            <w:r>
              <w:rPr>
                <w:rFonts w:ascii="Times New Roman" w:hAnsi="Times New Roman"/>
                <w:szCs w:val="21"/>
              </w:rPr>
              <w:t>（</w:t>
            </w:r>
            <w:r>
              <w:rPr>
                <w:rFonts w:hint="eastAsia" w:ascii="Times New Roman" w:hAnsi="Times New Roman"/>
                <w:szCs w:val="21"/>
              </w:rPr>
              <w:t>东经</w:t>
            </w:r>
            <w:r>
              <w:rPr>
                <w:rFonts w:ascii="Times New Roman" w:hAnsi="Times New Roman"/>
                <w:szCs w:val="21"/>
                <w:u w:val="single"/>
              </w:rPr>
              <w:t>117</w:t>
            </w:r>
            <w:r>
              <w:rPr>
                <w:rFonts w:ascii="Times New Roman" w:hAnsi="Times New Roman"/>
                <w:szCs w:val="21"/>
              </w:rPr>
              <w:t>度</w:t>
            </w:r>
            <w:r>
              <w:rPr>
                <w:rFonts w:hint="eastAsia" w:ascii="Times New Roman" w:hAnsi="Times New Roman"/>
                <w:szCs w:val="21"/>
                <w:u w:val="single"/>
              </w:rPr>
              <w:t>47</w:t>
            </w:r>
            <w:r>
              <w:rPr>
                <w:rFonts w:ascii="Times New Roman" w:hAnsi="Times New Roman"/>
                <w:szCs w:val="21"/>
              </w:rPr>
              <w:t>分</w:t>
            </w:r>
            <w:r>
              <w:rPr>
                <w:rFonts w:hint="eastAsia" w:ascii="Times New Roman" w:hAnsi="Times New Roman"/>
                <w:szCs w:val="21"/>
                <w:u w:val="single"/>
              </w:rPr>
              <w:t>26.714</w:t>
            </w:r>
            <w:r>
              <w:rPr>
                <w:rFonts w:ascii="Times New Roman" w:hAnsi="Times New Roman"/>
                <w:szCs w:val="21"/>
              </w:rPr>
              <w:t>秒，</w:t>
            </w:r>
            <w:r>
              <w:rPr>
                <w:rFonts w:hint="eastAsia" w:ascii="Times New Roman" w:hAnsi="Times New Roman"/>
                <w:szCs w:val="21"/>
              </w:rPr>
              <w:t>北纬</w:t>
            </w:r>
            <w:r>
              <w:rPr>
                <w:rFonts w:ascii="Times New Roman" w:hAnsi="Times New Roman"/>
                <w:szCs w:val="21"/>
                <w:u w:val="single"/>
              </w:rPr>
              <w:t>25</w:t>
            </w:r>
            <w:r>
              <w:rPr>
                <w:rFonts w:ascii="Times New Roman" w:hAnsi="Times New Roman"/>
                <w:szCs w:val="21"/>
              </w:rPr>
              <w:t>度</w:t>
            </w:r>
            <w:r>
              <w:rPr>
                <w:rFonts w:hint="eastAsia" w:ascii="Times New Roman" w:hAnsi="Times New Roman"/>
                <w:szCs w:val="21"/>
                <w:u w:val="single"/>
              </w:rPr>
              <w:t>37</w:t>
            </w:r>
            <w:r>
              <w:rPr>
                <w:rFonts w:ascii="Times New Roman" w:hAnsi="Times New Roman"/>
                <w:szCs w:val="21"/>
              </w:rPr>
              <w:t>分</w:t>
            </w:r>
            <w:r>
              <w:rPr>
                <w:rFonts w:hint="eastAsia" w:ascii="Times New Roman" w:hAnsi="Times New Roman"/>
                <w:szCs w:val="21"/>
                <w:u w:val="single"/>
              </w:rPr>
              <w:t>57.146</w:t>
            </w:r>
            <w:r>
              <w:rPr>
                <w:rFonts w:ascii="Times New Roman" w:hAnsi="Times New Roman"/>
                <w:szCs w:val="21"/>
              </w:rPr>
              <w:t>秒）</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907" w:type="dxa"/>
            <w:tcMar>
              <w:top w:w="16" w:type="dxa"/>
              <w:left w:w="16" w:type="dxa"/>
              <w:right w:w="16" w:type="dxa"/>
            </w:tcMar>
            <w:vAlign w:val="center"/>
          </w:tcPr>
          <w:p>
            <w:pPr>
              <w:adjustRightInd w:val="0"/>
              <w:snapToGrid w:val="0"/>
              <w:jc w:val="center"/>
              <w:rPr>
                <w:rFonts w:ascii="Times New Roman" w:hAnsi="Times New Roman"/>
                <w:szCs w:val="21"/>
              </w:rPr>
            </w:pPr>
            <w:r>
              <w:rPr>
                <w:rFonts w:ascii="Times New Roman" w:hAnsi="Times New Roman"/>
                <w:szCs w:val="21"/>
              </w:rPr>
              <w:t>国民经济行业类别</w:t>
            </w:r>
          </w:p>
        </w:tc>
        <w:tc>
          <w:tcPr>
            <w:tcW w:w="3336" w:type="dxa"/>
            <w:shd w:val="clear" w:color="auto" w:fill="auto"/>
            <w:vAlign w:val="center"/>
          </w:tcPr>
          <w:p>
            <w:pPr>
              <w:pStyle w:val="23"/>
              <w:jc w:val="center"/>
              <w:rPr>
                <w:rFonts w:ascii="Times New Roman" w:hAnsi="Times New Roman"/>
              </w:rPr>
            </w:pPr>
            <w:r>
              <w:rPr>
                <w:rFonts w:ascii="Times New Roman" w:hAnsi="Times New Roman"/>
                <w:szCs w:val="24"/>
              </w:rPr>
              <w:t>C</w:t>
            </w:r>
            <w:r>
              <w:rPr>
                <w:rFonts w:hint="eastAsia" w:ascii="Times New Roman" w:hAnsi="Times New Roman"/>
                <w:szCs w:val="24"/>
              </w:rPr>
              <w:t>4210 金属废料和碎屑加工处理</w:t>
            </w:r>
          </w:p>
        </w:tc>
        <w:tc>
          <w:tcPr>
            <w:tcW w:w="2268" w:type="dxa"/>
            <w:shd w:val="clear" w:color="auto" w:fill="auto"/>
            <w:vAlign w:val="center"/>
          </w:tcPr>
          <w:p>
            <w:pPr>
              <w:adjustRightInd w:val="0"/>
              <w:snapToGrid w:val="0"/>
              <w:jc w:val="center"/>
              <w:rPr>
                <w:rFonts w:ascii="Times New Roman" w:hAnsi="Times New Roman"/>
                <w:szCs w:val="21"/>
              </w:rPr>
            </w:pPr>
            <w:bookmarkStart w:id="1" w:name="_Hlk49843745"/>
            <w:r>
              <w:rPr>
                <w:rFonts w:ascii="Times New Roman" w:hAnsi="Times New Roman"/>
                <w:szCs w:val="21"/>
              </w:rPr>
              <w:t>建设项目</w:t>
            </w:r>
          </w:p>
          <w:p>
            <w:pPr>
              <w:adjustRightInd w:val="0"/>
              <w:snapToGrid w:val="0"/>
              <w:jc w:val="center"/>
              <w:rPr>
                <w:rFonts w:ascii="Times New Roman" w:hAnsi="Times New Roman"/>
                <w:szCs w:val="21"/>
              </w:rPr>
            </w:pPr>
            <w:r>
              <w:rPr>
                <w:rFonts w:ascii="Times New Roman" w:hAnsi="Times New Roman"/>
                <w:szCs w:val="21"/>
              </w:rPr>
              <w:t>行业类别</w:t>
            </w:r>
            <w:bookmarkEnd w:id="1"/>
          </w:p>
        </w:tc>
        <w:tc>
          <w:tcPr>
            <w:tcW w:w="2847" w:type="dxa"/>
            <w:shd w:val="clear" w:color="auto" w:fill="auto"/>
            <w:vAlign w:val="center"/>
          </w:tcPr>
          <w:p>
            <w:pPr>
              <w:widowControl/>
              <w:jc w:val="left"/>
              <w:rPr>
                <w:rFonts w:ascii="Times New Roman" w:hAnsi="Times New Roman"/>
                <w:szCs w:val="21"/>
              </w:rPr>
            </w:pPr>
            <w:r>
              <w:rPr>
                <w:rFonts w:ascii="Times New Roman" w:hAnsi="Times New Roman" w:eastAsiaTheme="minorEastAsia"/>
                <w:kern w:val="21"/>
              </w:rPr>
              <w:t>“</w:t>
            </w:r>
            <w:r>
              <w:rPr>
                <w:rFonts w:hint="eastAsia" w:ascii="Times New Roman" w:hAnsi="Times New Roman" w:eastAsiaTheme="minorEastAsia"/>
                <w:kern w:val="21"/>
              </w:rPr>
              <w:t>三十九</w:t>
            </w:r>
            <w:r>
              <w:rPr>
                <w:rFonts w:ascii="Times New Roman" w:hAnsi="Times New Roman" w:eastAsiaTheme="minorEastAsia"/>
                <w:kern w:val="21"/>
              </w:rPr>
              <w:t>、</w:t>
            </w:r>
            <w:r>
              <w:rPr>
                <w:rFonts w:hint="eastAsia" w:ascii="Times New Roman" w:hAnsi="Times New Roman" w:eastAsiaTheme="minorEastAsia"/>
                <w:kern w:val="21"/>
              </w:rPr>
              <w:t>废弃资源综合利用</w:t>
            </w:r>
            <w:r>
              <w:rPr>
                <w:rFonts w:ascii="Times New Roman" w:hAnsi="Times New Roman" w:eastAsiaTheme="minorEastAsia"/>
                <w:kern w:val="21"/>
              </w:rPr>
              <w:t>业</w:t>
            </w:r>
            <w:r>
              <w:rPr>
                <w:rFonts w:hint="eastAsia" w:ascii="Times New Roman" w:hAnsi="Times New Roman" w:eastAsiaTheme="minorEastAsia"/>
                <w:kern w:val="21"/>
              </w:rPr>
              <w:t>42</w:t>
            </w:r>
            <w:r>
              <w:rPr>
                <w:rFonts w:ascii="Times New Roman" w:hAnsi="Times New Roman" w:eastAsiaTheme="minorEastAsia"/>
                <w:kern w:val="21"/>
              </w:rPr>
              <w:t>→</w:t>
            </w:r>
            <w:r>
              <w:rPr>
                <w:rFonts w:hint="eastAsia" w:ascii="Times New Roman" w:hAnsi="Times New Roman" w:eastAsiaTheme="minorEastAsia"/>
                <w:kern w:val="21"/>
              </w:rPr>
              <w:t>金属废料和碎屑加工处理421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134" w:hRule="atLeast"/>
          <w:jc w:val="center"/>
        </w:trPr>
        <w:tc>
          <w:tcPr>
            <w:tcW w:w="907" w:type="dxa"/>
            <w:tcMar>
              <w:top w:w="16" w:type="dxa"/>
              <w:left w:w="16" w:type="dxa"/>
              <w:right w:w="16" w:type="dxa"/>
            </w:tcMar>
            <w:vAlign w:val="center"/>
          </w:tcPr>
          <w:p>
            <w:pPr>
              <w:adjustRightInd w:val="0"/>
              <w:snapToGrid w:val="0"/>
              <w:jc w:val="center"/>
              <w:rPr>
                <w:rFonts w:ascii="Times New Roman" w:hAnsi="Times New Roman"/>
                <w:szCs w:val="21"/>
              </w:rPr>
            </w:pPr>
            <w:r>
              <w:rPr>
                <w:rFonts w:ascii="Times New Roman" w:hAnsi="Times New Roman"/>
                <w:szCs w:val="21"/>
              </w:rPr>
              <w:t>建设性质</w:t>
            </w:r>
          </w:p>
        </w:tc>
        <w:tc>
          <w:tcPr>
            <w:tcW w:w="3336" w:type="dxa"/>
            <w:shd w:val="clear" w:color="auto" w:fill="auto"/>
            <w:vAlign w:val="center"/>
          </w:tcPr>
          <w:p>
            <w:pPr>
              <w:rPr>
                <w:rFonts w:ascii="Times New Roman" w:hAnsi="Times New Roman"/>
                <w:szCs w:val="21"/>
              </w:rPr>
            </w:pPr>
            <w:r>
              <w:rPr>
                <w:rFonts w:ascii="Times New Roman" w:hAnsi="Times New Roman"/>
                <w:szCs w:val="21"/>
              </w:rPr>
              <w:sym w:font="Wingdings 2" w:char="0052"/>
            </w:r>
            <w:r>
              <w:rPr>
                <w:rFonts w:ascii="Times New Roman" w:hAnsi="Times New Roman"/>
                <w:szCs w:val="21"/>
              </w:rPr>
              <w:t>新建（迁建）</w:t>
            </w:r>
          </w:p>
          <w:p>
            <w:pPr>
              <w:rPr>
                <w:rFonts w:ascii="Times New Roman" w:hAnsi="Times New Roman"/>
                <w:szCs w:val="21"/>
              </w:rPr>
            </w:pPr>
            <w:r>
              <w:rPr>
                <w:rFonts w:ascii="Times New Roman" w:hAnsi="Times New Roman"/>
                <w:szCs w:val="21"/>
              </w:rPr>
              <w:sym w:font="Wingdings 2" w:char="00A3"/>
            </w:r>
            <w:r>
              <w:rPr>
                <w:rFonts w:ascii="Times New Roman" w:hAnsi="Times New Roman"/>
                <w:szCs w:val="21"/>
              </w:rPr>
              <w:t>改建</w:t>
            </w:r>
          </w:p>
          <w:p>
            <w:pPr>
              <w:rPr>
                <w:rFonts w:ascii="Times New Roman" w:hAnsi="Times New Roman"/>
                <w:szCs w:val="21"/>
              </w:rPr>
            </w:pPr>
            <w:r>
              <w:rPr>
                <w:rFonts w:ascii="Times New Roman" w:hAnsi="Times New Roman"/>
                <w:szCs w:val="21"/>
              </w:rPr>
              <w:sym w:font="Wingdings 2" w:char="00A3"/>
            </w:r>
            <w:r>
              <w:rPr>
                <w:rFonts w:ascii="Times New Roman" w:hAnsi="Times New Roman"/>
                <w:szCs w:val="21"/>
              </w:rPr>
              <w:t>扩建</w:t>
            </w:r>
          </w:p>
          <w:p>
            <w:pPr>
              <w:rPr>
                <w:rFonts w:ascii="Times New Roman" w:hAnsi="Times New Roman"/>
                <w:szCs w:val="21"/>
              </w:rPr>
            </w:pPr>
            <w:r>
              <w:rPr>
                <w:rFonts w:ascii="Times New Roman" w:hAnsi="Times New Roman"/>
                <w:szCs w:val="21"/>
              </w:rPr>
              <w:sym w:font="Wingdings 2" w:char="00A3"/>
            </w:r>
            <w:r>
              <w:rPr>
                <w:rFonts w:ascii="Times New Roman" w:hAnsi="Times New Roman"/>
                <w:szCs w:val="21"/>
              </w:rPr>
              <w:t>技术改造</w:t>
            </w:r>
          </w:p>
        </w:tc>
        <w:tc>
          <w:tcPr>
            <w:tcW w:w="2268" w:type="dxa"/>
            <w:shd w:val="clear" w:color="auto" w:fill="auto"/>
            <w:vAlign w:val="center"/>
          </w:tcPr>
          <w:p>
            <w:pPr>
              <w:adjustRightInd w:val="0"/>
              <w:snapToGrid w:val="0"/>
              <w:jc w:val="center"/>
              <w:rPr>
                <w:rFonts w:ascii="Times New Roman" w:hAnsi="Times New Roman"/>
                <w:szCs w:val="21"/>
              </w:rPr>
            </w:pPr>
            <w:r>
              <w:rPr>
                <w:rFonts w:ascii="Times New Roman" w:hAnsi="Times New Roman"/>
                <w:szCs w:val="21"/>
              </w:rPr>
              <w:t>建设项目</w:t>
            </w:r>
          </w:p>
          <w:p>
            <w:pPr>
              <w:adjustRightInd w:val="0"/>
              <w:snapToGrid w:val="0"/>
              <w:jc w:val="center"/>
              <w:rPr>
                <w:rFonts w:ascii="Times New Roman" w:hAnsi="Times New Roman"/>
                <w:szCs w:val="21"/>
              </w:rPr>
            </w:pPr>
            <w:r>
              <w:rPr>
                <w:rFonts w:ascii="Times New Roman" w:hAnsi="Times New Roman"/>
                <w:szCs w:val="21"/>
              </w:rPr>
              <w:t>申报情形</w:t>
            </w:r>
          </w:p>
        </w:tc>
        <w:tc>
          <w:tcPr>
            <w:tcW w:w="2847" w:type="dxa"/>
            <w:shd w:val="clear" w:color="auto" w:fill="auto"/>
            <w:vAlign w:val="center"/>
          </w:tcPr>
          <w:p>
            <w:pPr>
              <w:rPr>
                <w:rFonts w:ascii="Times New Roman" w:hAnsi="Times New Roman"/>
                <w:szCs w:val="21"/>
              </w:rPr>
            </w:pPr>
            <w:r>
              <w:rPr>
                <w:rFonts w:ascii="Times New Roman" w:hAnsi="Times New Roman"/>
                <w:szCs w:val="21"/>
              </w:rPr>
              <w:sym w:font="Wingdings 2" w:char="0052"/>
            </w:r>
            <w:r>
              <w:rPr>
                <w:rFonts w:ascii="Times New Roman" w:hAnsi="Times New Roman"/>
                <w:szCs w:val="21"/>
              </w:rPr>
              <w:t>首次申报项目</w:t>
            </w:r>
          </w:p>
          <w:p>
            <w:pPr>
              <w:rPr>
                <w:rFonts w:ascii="Times New Roman" w:hAnsi="Times New Roman"/>
                <w:szCs w:val="21"/>
              </w:rPr>
            </w:pPr>
            <w:r>
              <w:rPr>
                <w:rFonts w:ascii="Times New Roman" w:hAnsi="Times New Roman"/>
                <w:szCs w:val="21"/>
              </w:rPr>
              <w:sym w:font="Wingdings 2" w:char="00A3"/>
            </w:r>
            <w:r>
              <w:rPr>
                <w:rFonts w:ascii="Times New Roman" w:hAnsi="Times New Roman"/>
                <w:szCs w:val="21"/>
              </w:rPr>
              <w:t>不予批准后再次申报项目</w:t>
            </w:r>
          </w:p>
          <w:p>
            <w:pPr>
              <w:rPr>
                <w:rFonts w:ascii="Times New Roman" w:hAnsi="Times New Roman"/>
                <w:szCs w:val="21"/>
              </w:rPr>
            </w:pPr>
            <w:r>
              <w:rPr>
                <w:rFonts w:ascii="Times New Roman" w:hAnsi="Times New Roman"/>
                <w:szCs w:val="21"/>
              </w:rPr>
              <w:sym w:font="Wingdings 2" w:char="00A3"/>
            </w:r>
            <w:r>
              <w:rPr>
                <w:rFonts w:ascii="Times New Roman" w:hAnsi="Times New Roman"/>
                <w:szCs w:val="21"/>
              </w:rPr>
              <w:t>超五年重新审核</w:t>
            </w:r>
            <w:r>
              <w:rPr>
                <w:rFonts w:hint="eastAsia" w:ascii="Times New Roman" w:hAnsi="Times New Roman"/>
                <w:szCs w:val="21"/>
              </w:rPr>
              <w:t xml:space="preserve"> </w:t>
            </w:r>
            <w:r>
              <w:rPr>
                <w:rFonts w:ascii="Times New Roman" w:hAnsi="Times New Roman"/>
                <w:szCs w:val="21"/>
              </w:rPr>
              <w:t>项目</w:t>
            </w:r>
          </w:p>
          <w:p>
            <w:pPr>
              <w:rPr>
                <w:rFonts w:ascii="Times New Roman" w:hAnsi="Times New Roman"/>
                <w:szCs w:val="21"/>
              </w:rPr>
            </w:pPr>
            <w:r>
              <w:rPr>
                <w:rFonts w:ascii="Times New Roman" w:hAnsi="Times New Roman"/>
                <w:szCs w:val="21"/>
              </w:rPr>
              <w:sym w:font="Wingdings 2" w:char="00A3"/>
            </w:r>
            <w:r>
              <w:rPr>
                <w:rFonts w:ascii="Times New Roman" w:hAnsi="Times New Roman"/>
                <w:szCs w:val="21"/>
              </w:rPr>
              <w:t>重大变动重新报批项目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43" w:hRule="atLeast"/>
          <w:jc w:val="center"/>
        </w:trPr>
        <w:tc>
          <w:tcPr>
            <w:tcW w:w="907" w:type="dxa"/>
            <w:tcMar>
              <w:top w:w="16" w:type="dxa"/>
              <w:left w:w="16" w:type="dxa"/>
              <w:right w:w="16" w:type="dxa"/>
            </w:tcMar>
            <w:vAlign w:val="center"/>
          </w:tcPr>
          <w:p>
            <w:pPr>
              <w:adjustRightInd w:val="0"/>
              <w:snapToGrid w:val="0"/>
              <w:jc w:val="center"/>
              <w:rPr>
                <w:rFonts w:ascii="Times New Roman" w:hAnsi="Times New Roman"/>
                <w:szCs w:val="21"/>
              </w:rPr>
            </w:pPr>
            <w:r>
              <w:rPr>
                <w:rFonts w:ascii="Times New Roman" w:hAnsi="Times New Roman"/>
                <w:szCs w:val="21"/>
              </w:rPr>
              <w:t>项目审批（核准/备案）部门</w:t>
            </w:r>
          </w:p>
        </w:tc>
        <w:tc>
          <w:tcPr>
            <w:tcW w:w="3336" w:type="dxa"/>
            <w:shd w:val="clear" w:color="auto" w:fill="auto"/>
            <w:vAlign w:val="center"/>
          </w:tcPr>
          <w:p>
            <w:pPr>
              <w:adjustRightInd w:val="0"/>
              <w:snapToGrid w:val="0"/>
              <w:jc w:val="center"/>
              <w:rPr>
                <w:rFonts w:ascii="Times New Roman" w:hAnsi="Times New Roman"/>
                <w:szCs w:val="21"/>
              </w:rPr>
            </w:pPr>
            <w:r>
              <w:rPr>
                <w:rFonts w:ascii="Times New Roman" w:hAnsi="Times New Roman"/>
                <w:szCs w:val="21"/>
              </w:rPr>
              <w:t>大田县</w:t>
            </w:r>
            <w:r>
              <w:rPr>
                <w:rFonts w:hint="eastAsia" w:ascii="Times New Roman" w:hAnsi="Times New Roman"/>
                <w:szCs w:val="21"/>
              </w:rPr>
              <w:t>发展和改革</w:t>
            </w:r>
            <w:r>
              <w:rPr>
                <w:rFonts w:ascii="Times New Roman" w:hAnsi="Times New Roman"/>
                <w:szCs w:val="21"/>
              </w:rPr>
              <w:t>局</w:t>
            </w:r>
          </w:p>
        </w:tc>
        <w:tc>
          <w:tcPr>
            <w:tcW w:w="2268" w:type="dxa"/>
            <w:shd w:val="clear" w:color="auto" w:fill="auto"/>
            <w:vAlign w:val="center"/>
          </w:tcPr>
          <w:p>
            <w:pPr>
              <w:adjustRightInd w:val="0"/>
              <w:snapToGrid w:val="0"/>
              <w:jc w:val="center"/>
              <w:rPr>
                <w:rFonts w:ascii="Times New Roman" w:hAnsi="Times New Roman"/>
                <w:szCs w:val="21"/>
              </w:rPr>
            </w:pPr>
            <w:r>
              <w:rPr>
                <w:rFonts w:ascii="Times New Roman" w:hAnsi="Times New Roman"/>
                <w:szCs w:val="21"/>
              </w:rPr>
              <w:t>项目审批（核准/备案）文号</w:t>
            </w:r>
          </w:p>
        </w:tc>
        <w:tc>
          <w:tcPr>
            <w:tcW w:w="2847" w:type="dxa"/>
            <w:shd w:val="clear" w:color="auto" w:fill="auto"/>
            <w:vAlign w:val="center"/>
          </w:tcPr>
          <w:p>
            <w:pPr>
              <w:adjustRightInd w:val="0"/>
              <w:snapToGrid w:val="0"/>
              <w:jc w:val="center"/>
              <w:rPr>
                <w:rFonts w:ascii="Times New Roman" w:hAnsi="Times New Roman"/>
                <w:szCs w:val="21"/>
              </w:rPr>
            </w:pPr>
            <w:r>
              <w:rPr>
                <w:rFonts w:ascii="Times New Roman" w:hAnsi="Times New Roman"/>
                <w:szCs w:val="21"/>
              </w:rPr>
              <w:t>闽</w:t>
            </w:r>
            <w:r>
              <w:rPr>
                <w:rFonts w:hint="eastAsia" w:ascii="Times New Roman" w:hAnsi="Times New Roman"/>
                <w:szCs w:val="21"/>
              </w:rPr>
              <w:t>发改</w:t>
            </w:r>
            <w:r>
              <w:rPr>
                <w:rFonts w:ascii="Times New Roman" w:hAnsi="Times New Roman"/>
                <w:szCs w:val="21"/>
              </w:rPr>
              <w:t>备[202</w:t>
            </w:r>
            <w:r>
              <w:rPr>
                <w:rFonts w:hint="eastAsia" w:ascii="Times New Roman" w:hAnsi="Times New Roman"/>
                <w:szCs w:val="21"/>
              </w:rPr>
              <w:t>3</w:t>
            </w:r>
            <w:r>
              <w:rPr>
                <w:rFonts w:ascii="Times New Roman" w:hAnsi="Times New Roman"/>
                <w:szCs w:val="21"/>
              </w:rPr>
              <w:t>]G1200</w:t>
            </w:r>
            <w:r>
              <w:rPr>
                <w:rFonts w:hint="eastAsia" w:ascii="Times New Roman" w:hAnsi="Times New Roman"/>
                <w:szCs w:val="21"/>
              </w:rPr>
              <w:t>7</w:t>
            </w:r>
            <w:r>
              <w:rPr>
                <w:rFonts w:ascii="Times New Roman" w:hAnsi="Times New Roman"/>
                <w:szCs w:val="21"/>
              </w:rPr>
              <w:t>0号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9" w:hRule="atLeast"/>
          <w:jc w:val="center"/>
        </w:trPr>
        <w:tc>
          <w:tcPr>
            <w:tcW w:w="907" w:type="dxa"/>
            <w:tcMar>
              <w:top w:w="16" w:type="dxa"/>
              <w:left w:w="16" w:type="dxa"/>
              <w:right w:w="16" w:type="dxa"/>
            </w:tcMar>
            <w:vAlign w:val="center"/>
          </w:tcPr>
          <w:p>
            <w:pPr>
              <w:adjustRightInd w:val="0"/>
              <w:snapToGrid w:val="0"/>
              <w:jc w:val="center"/>
              <w:rPr>
                <w:rFonts w:ascii="Times New Roman" w:hAnsi="Times New Roman"/>
                <w:szCs w:val="21"/>
              </w:rPr>
            </w:pPr>
            <w:r>
              <w:rPr>
                <w:rFonts w:ascii="Times New Roman" w:hAnsi="Times New Roman"/>
                <w:szCs w:val="21"/>
              </w:rPr>
              <w:t>总投资（万元）</w:t>
            </w:r>
          </w:p>
        </w:tc>
        <w:tc>
          <w:tcPr>
            <w:tcW w:w="3336" w:type="dxa"/>
            <w:shd w:val="clear" w:color="auto" w:fill="auto"/>
            <w:vAlign w:val="center"/>
          </w:tcPr>
          <w:p>
            <w:pPr>
              <w:adjustRightInd w:val="0"/>
              <w:snapToGrid w:val="0"/>
              <w:jc w:val="center"/>
              <w:rPr>
                <w:rFonts w:ascii="Times New Roman" w:hAnsi="Times New Roman"/>
                <w:szCs w:val="21"/>
              </w:rPr>
            </w:pPr>
            <w:r>
              <w:rPr>
                <w:rFonts w:hint="eastAsia" w:ascii="Times New Roman" w:hAnsi="Times New Roman" w:eastAsiaTheme="minorEastAsia"/>
                <w:kern w:val="21"/>
              </w:rPr>
              <w:t>11360</w:t>
            </w:r>
          </w:p>
        </w:tc>
        <w:tc>
          <w:tcPr>
            <w:tcW w:w="2268" w:type="dxa"/>
            <w:shd w:val="clear" w:color="auto" w:fill="auto"/>
            <w:tcMar>
              <w:top w:w="16" w:type="dxa"/>
              <w:left w:w="16" w:type="dxa"/>
              <w:right w:w="16" w:type="dxa"/>
            </w:tcMar>
            <w:vAlign w:val="center"/>
          </w:tcPr>
          <w:p>
            <w:pPr>
              <w:adjustRightInd w:val="0"/>
              <w:snapToGrid w:val="0"/>
              <w:jc w:val="center"/>
              <w:rPr>
                <w:rFonts w:ascii="Times New Roman" w:hAnsi="Times New Roman"/>
                <w:szCs w:val="21"/>
              </w:rPr>
            </w:pPr>
            <w:r>
              <w:rPr>
                <w:rFonts w:ascii="Times New Roman" w:hAnsi="Times New Roman"/>
                <w:szCs w:val="21"/>
              </w:rPr>
              <w:t>环保投资（万元）</w:t>
            </w:r>
          </w:p>
        </w:tc>
        <w:tc>
          <w:tcPr>
            <w:tcW w:w="2847" w:type="dxa"/>
            <w:shd w:val="clear" w:color="auto" w:fill="auto"/>
            <w:vAlign w:val="center"/>
          </w:tcPr>
          <w:p>
            <w:pPr>
              <w:adjustRightInd w:val="0"/>
              <w:snapToGrid w:val="0"/>
              <w:jc w:val="center"/>
              <w:rPr>
                <w:rFonts w:ascii="Times New Roman" w:hAnsi="Times New Roman"/>
                <w:szCs w:val="21"/>
              </w:rPr>
            </w:pPr>
            <w:r>
              <w:rPr>
                <w:rFonts w:hint="eastAsia" w:ascii="Times New Roman" w:hAnsi="Times New Roman"/>
                <w:szCs w:val="21"/>
              </w:rPr>
              <w:t>200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5" w:hRule="atLeast"/>
          <w:jc w:val="center"/>
        </w:trPr>
        <w:tc>
          <w:tcPr>
            <w:tcW w:w="907" w:type="dxa"/>
            <w:tcMar>
              <w:top w:w="16" w:type="dxa"/>
              <w:left w:w="16" w:type="dxa"/>
              <w:right w:w="16" w:type="dxa"/>
            </w:tcMar>
            <w:vAlign w:val="center"/>
          </w:tcPr>
          <w:p>
            <w:pPr>
              <w:adjustRightInd w:val="0"/>
              <w:snapToGrid w:val="0"/>
              <w:jc w:val="center"/>
              <w:rPr>
                <w:rFonts w:ascii="Times New Roman" w:hAnsi="Times New Roman"/>
                <w:szCs w:val="21"/>
              </w:rPr>
            </w:pPr>
            <w:r>
              <w:rPr>
                <w:rFonts w:ascii="Times New Roman" w:hAnsi="Times New Roman"/>
                <w:szCs w:val="21"/>
              </w:rPr>
              <w:t>环保投资占比（%）</w:t>
            </w:r>
          </w:p>
        </w:tc>
        <w:tc>
          <w:tcPr>
            <w:tcW w:w="3336" w:type="dxa"/>
            <w:shd w:val="clear" w:color="auto" w:fill="auto"/>
            <w:vAlign w:val="center"/>
          </w:tcPr>
          <w:p>
            <w:pPr>
              <w:adjustRightInd w:val="0"/>
              <w:snapToGrid w:val="0"/>
              <w:jc w:val="center"/>
              <w:rPr>
                <w:rFonts w:ascii="Times New Roman" w:hAnsi="Times New Roman"/>
                <w:szCs w:val="21"/>
              </w:rPr>
            </w:pPr>
            <w:r>
              <w:rPr>
                <w:rFonts w:hint="eastAsia" w:ascii="Times New Roman" w:hAnsi="Times New Roman"/>
                <w:szCs w:val="21"/>
              </w:rPr>
              <w:t>1.76%</w:t>
            </w:r>
          </w:p>
        </w:tc>
        <w:tc>
          <w:tcPr>
            <w:tcW w:w="2268" w:type="dxa"/>
            <w:shd w:val="clear" w:color="auto" w:fill="auto"/>
            <w:tcMar>
              <w:top w:w="16" w:type="dxa"/>
              <w:left w:w="16" w:type="dxa"/>
              <w:right w:w="16" w:type="dxa"/>
            </w:tcMar>
            <w:vAlign w:val="center"/>
          </w:tcPr>
          <w:p>
            <w:pPr>
              <w:adjustRightInd w:val="0"/>
              <w:snapToGrid w:val="0"/>
              <w:jc w:val="center"/>
              <w:rPr>
                <w:rFonts w:ascii="Times New Roman" w:hAnsi="Times New Roman"/>
                <w:szCs w:val="21"/>
              </w:rPr>
            </w:pPr>
            <w:r>
              <w:rPr>
                <w:rFonts w:ascii="Times New Roman" w:hAnsi="Times New Roman"/>
                <w:szCs w:val="21"/>
              </w:rPr>
              <w:t>施工工期</w:t>
            </w:r>
          </w:p>
        </w:tc>
        <w:tc>
          <w:tcPr>
            <w:tcW w:w="2847" w:type="dxa"/>
            <w:shd w:val="clear" w:color="auto" w:fill="auto"/>
            <w:vAlign w:val="center"/>
          </w:tcPr>
          <w:p>
            <w:pPr>
              <w:adjustRightInd w:val="0"/>
              <w:snapToGrid w:val="0"/>
              <w:jc w:val="center"/>
              <w:rPr>
                <w:rFonts w:ascii="Times New Roman" w:hAnsi="Times New Roman"/>
                <w:szCs w:val="21"/>
              </w:rPr>
            </w:pPr>
            <w:r>
              <w:rPr>
                <w:rFonts w:hint="eastAsia" w:ascii="Times New Roman" w:hAnsi="Times New Roman"/>
                <w:szCs w:val="21"/>
              </w:rPr>
              <w:t>2024年6月~2024年9月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11" w:hRule="atLeast"/>
          <w:jc w:val="center"/>
        </w:trPr>
        <w:tc>
          <w:tcPr>
            <w:tcW w:w="907" w:type="dxa"/>
            <w:tcMar>
              <w:top w:w="16" w:type="dxa"/>
              <w:left w:w="16" w:type="dxa"/>
              <w:right w:w="16" w:type="dxa"/>
            </w:tcMar>
            <w:vAlign w:val="center"/>
          </w:tcPr>
          <w:p>
            <w:pPr>
              <w:adjustRightInd w:val="0"/>
              <w:snapToGrid w:val="0"/>
              <w:jc w:val="center"/>
              <w:rPr>
                <w:rFonts w:ascii="Times New Roman" w:hAnsi="Times New Roman"/>
                <w:szCs w:val="21"/>
              </w:rPr>
            </w:pPr>
            <w:r>
              <w:rPr>
                <w:rFonts w:ascii="Times New Roman" w:hAnsi="Times New Roman"/>
                <w:szCs w:val="21"/>
              </w:rPr>
              <w:t>是否开工建设</w:t>
            </w:r>
          </w:p>
        </w:tc>
        <w:tc>
          <w:tcPr>
            <w:tcW w:w="3336" w:type="dxa"/>
            <w:shd w:val="clear" w:color="auto" w:fill="auto"/>
            <w:vAlign w:val="center"/>
          </w:tcPr>
          <w:p>
            <w:pPr>
              <w:adjustRightInd w:val="0"/>
              <w:snapToGrid w:val="0"/>
              <w:rPr>
                <w:rFonts w:ascii="Times New Roman" w:hAnsi="Times New Roman"/>
                <w:szCs w:val="21"/>
              </w:rPr>
            </w:pPr>
            <w:r>
              <w:rPr>
                <w:rFonts w:ascii="Times New Roman" w:hAnsi="Times New Roman"/>
                <w:szCs w:val="21"/>
              </w:rPr>
              <w:sym w:font="Wingdings 2" w:char="0052"/>
            </w:r>
            <w:r>
              <w:rPr>
                <w:rFonts w:ascii="Times New Roman" w:hAnsi="Times New Roman"/>
                <w:szCs w:val="21"/>
              </w:rPr>
              <w:t xml:space="preserve"> 否</w:t>
            </w:r>
          </w:p>
          <w:p>
            <w:pPr>
              <w:adjustRightInd w:val="0"/>
              <w:snapToGrid w:val="0"/>
              <w:rPr>
                <w:rFonts w:ascii="Times New Roman" w:hAnsi="Times New Roman"/>
                <w:szCs w:val="21"/>
              </w:rPr>
            </w:pPr>
            <w:r>
              <w:rPr>
                <w:rFonts w:ascii="Times New Roman" w:hAnsi="Times New Roman"/>
                <w:szCs w:val="21"/>
              </w:rPr>
              <w:sym w:font="Wingdings 2" w:char="00A3"/>
            </w:r>
            <w:r>
              <w:rPr>
                <w:rFonts w:ascii="Times New Roman" w:hAnsi="Times New Roman"/>
                <w:szCs w:val="21"/>
              </w:rPr>
              <w:t xml:space="preserve"> 是</w:t>
            </w:r>
          </w:p>
        </w:tc>
        <w:tc>
          <w:tcPr>
            <w:tcW w:w="2268" w:type="dxa"/>
            <w:shd w:val="clear" w:color="auto" w:fill="auto"/>
            <w:tcMar>
              <w:top w:w="16" w:type="dxa"/>
              <w:left w:w="16" w:type="dxa"/>
              <w:right w:w="16" w:type="dxa"/>
            </w:tcMar>
            <w:vAlign w:val="center"/>
          </w:tcPr>
          <w:p>
            <w:pPr>
              <w:adjustRightInd w:val="0"/>
              <w:snapToGrid w:val="0"/>
              <w:ind w:firstLine="456"/>
              <w:jc w:val="center"/>
              <w:rPr>
                <w:rFonts w:ascii="Times New Roman" w:hAnsi="Times New Roman"/>
                <w:spacing w:val="-6"/>
                <w:szCs w:val="21"/>
              </w:rPr>
            </w:pPr>
            <w:r>
              <w:rPr>
                <w:rFonts w:ascii="Times New Roman" w:hAnsi="Times New Roman"/>
                <w:spacing w:val="-6"/>
                <w:szCs w:val="21"/>
              </w:rPr>
              <w:t>用地（用海）</w:t>
            </w:r>
          </w:p>
          <w:p>
            <w:pPr>
              <w:adjustRightInd w:val="0"/>
              <w:snapToGrid w:val="0"/>
              <w:ind w:firstLine="456"/>
              <w:jc w:val="center"/>
              <w:rPr>
                <w:rFonts w:ascii="Times New Roman" w:hAnsi="Times New Roman"/>
                <w:szCs w:val="21"/>
              </w:rPr>
            </w:pPr>
            <w:r>
              <w:rPr>
                <w:rFonts w:ascii="Times New Roman" w:hAnsi="Times New Roman"/>
                <w:spacing w:val="-6"/>
                <w:szCs w:val="21"/>
              </w:rPr>
              <w:t>面积（m</w:t>
            </w:r>
            <w:r>
              <w:rPr>
                <w:rFonts w:ascii="Times New Roman" w:hAnsi="Times New Roman"/>
                <w:spacing w:val="-6"/>
                <w:szCs w:val="21"/>
                <w:vertAlign w:val="superscript"/>
              </w:rPr>
              <w:t>2</w:t>
            </w:r>
            <w:r>
              <w:rPr>
                <w:rFonts w:ascii="Times New Roman" w:hAnsi="Times New Roman"/>
                <w:spacing w:val="-6"/>
                <w:szCs w:val="21"/>
              </w:rPr>
              <w:t>）</w:t>
            </w:r>
          </w:p>
        </w:tc>
        <w:tc>
          <w:tcPr>
            <w:tcW w:w="2847" w:type="dxa"/>
            <w:shd w:val="clear" w:color="auto" w:fill="auto"/>
            <w:vAlign w:val="center"/>
          </w:tcPr>
          <w:p>
            <w:pPr>
              <w:pStyle w:val="2"/>
            </w:pPr>
            <w:r>
              <w:rPr>
                <w:rFonts w:hint="eastAsia" w:eastAsia="宋体"/>
                <w:b w:val="0"/>
                <w:bCs w:val="0"/>
                <w:color w:val="auto"/>
                <w:sz w:val="24"/>
              </w:rPr>
              <w:t>4201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11" w:hRule="atLeast"/>
          <w:jc w:val="center"/>
        </w:trPr>
        <w:tc>
          <w:tcPr>
            <w:tcW w:w="907" w:type="dxa"/>
            <w:tcMar>
              <w:top w:w="16" w:type="dxa"/>
              <w:left w:w="16" w:type="dxa"/>
              <w:right w:w="16" w:type="dxa"/>
            </w:tcMar>
            <w:vAlign w:val="center"/>
          </w:tcPr>
          <w:p>
            <w:pPr>
              <w:adjustRightInd w:val="0"/>
              <w:snapToGrid w:val="0"/>
              <w:jc w:val="center"/>
              <w:rPr>
                <w:rFonts w:ascii="Times New Roman" w:hAnsi="Times New Roman"/>
                <w:szCs w:val="21"/>
              </w:rPr>
            </w:pPr>
            <w:r>
              <w:rPr>
                <w:rFonts w:ascii="Times New Roman" w:hAnsi="Times New Roman"/>
                <w:kern w:val="0"/>
                <w:szCs w:val="21"/>
              </w:rPr>
              <w:t>专项评价设置情况</w:t>
            </w:r>
          </w:p>
        </w:tc>
        <w:tc>
          <w:tcPr>
            <w:tcW w:w="8451" w:type="dxa"/>
            <w:gridSpan w:val="3"/>
            <w:shd w:val="clear" w:color="auto" w:fill="auto"/>
            <w:vAlign w:val="center"/>
          </w:tcPr>
          <w:p>
            <w:pPr>
              <w:pStyle w:val="66"/>
              <w:spacing w:line="400" w:lineRule="exact"/>
              <w:ind w:firstLine="480"/>
              <w:rPr>
                <w:rFonts w:ascii="Times New Roman" w:hAnsi="Times New Roman"/>
                <w:b/>
                <w:bCs/>
              </w:rPr>
            </w:pPr>
            <w:r>
              <w:rPr>
                <w:rFonts w:hint="eastAsia" w:ascii="宋体" w:hAnsi="宋体"/>
                <w:bCs/>
              </w:rPr>
              <w:t>对照“专项评价设置原则表”，本项目不需要设置大气环境、地表水环境、环境风险、生态环境、海洋环境等专项评价，具体见下表。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944" w:hRule="atLeast"/>
          <w:jc w:val="center"/>
        </w:trPr>
        <w:tc>
          <w:tcPr>
            <w:tcW w:w="907" w:type="dxa"/>
            <w:vAlign w:val="center"/>
          </w:tcPr>
          <w:p>
            <w:pPr>
              <w:autoSpaceDE w:val="0"/>
              <w:autoSpaceDN w:val="0"/>
              <w:adjustRightInd w:val="0"/>
              <w:snapToGrid w:val="0"/>
              <w:jc w:val="center"/>
              <w:rPr>
                <w:rFonts w:ascii="Times New Roman" w:hAnsi="Times New Roman"/>
                <w:kern w:val="0"/>
                <w:szCs w:val="21"/>
              </w:rPr>
            </w:pPr>
            <w:r>
              <w:rPr>
                <w:rFonts w:ascii="Times New Roman" w:hAnsi="Times New Roman"/>
                <w:kern w:val="0"/>
                <w:szCs w:val="21"/>
              </w:rPr>
              <w:t>专项评价设置情况</w:t>
            </w:r>
          </w:p>
        </w:tc>
        <w:tc>
          <w:tcPr>
            <w:tcW w:w="8451" w:type="dxa"/>
            <w:gridSpan w:val="3"/>
            <w:shd w:val="clear" w:color="auto" w:fill="auto"/>
            <w:vAlign w:val="center"/>
          </w:tcPr>
          <w:p>
            <w:pPr>
              <w:pStyle w:val="34"/>
              <w:spacing w:before="120"/>
              <w:ind w:firstLine="482"/>
              <w:rPr>
                <w:rFonts w:ascii="Times New Roman" w:hAnsi="Times New Roman" w:eastAsia="宋体"/>
                <w:b/>
                <w:bCs/>
                <w:szCs w:val="24"/>
              </w:rPr>
            </w:pPr>
            <w:bookmarkStart w:id="2" w:name="_Ref68272796"/>
            <w:r>
              <w:rPr>
                <w:rFonts w:ascii="Times New Roman" w:hAnsi="Times New Roman" w:eastAsia="宋体"/>
                <w:b/>
                <w:bCs/>
                <w:szCs w:val="24"/>
              </w:rPr>
              <w:t>表1.1-1 专项评价设置原则表</w:t>
            </w:r>
            <w:bookmarkEnd w:id="2"/>
          </w:p>
          <w:tbl>
            <w:tblPr>
              <w:tblStyle w:val="25"/>
              <w:tblW w:w="8235" w:type="dxa"/>
              <w:jc w:val="center"/>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Layout w:type="fixed"/>
              <w:tblCellMar>
                <w:top w:w="0" w:type="dxa"/>
                <w:left w:w="85" w:type="dxa"/>
                <w:bottom w:w="0" w:type="dxa"/>
                <w:right w:w="85" w:type="dxa"/>
              </w:tblCellMar>
            </w:tblPr>
            <w:tblGrid>
              <w:gridCol w:w="1095"/>
              <w:gridCol w:w="3179"/>
              <w:gridCol w:w="3073"/>
              <w:gridCol w:w="888"/>
            </w:tblGrid>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85" w:type="dxa"/>
                  <w:bottom w:w="0" w:type="dxa"/>
                  <w:right w:w="85" w:type="dxa"/>
                </w:tblCellMar>
              </w:tblPrEx>
              <w:trPr>
                <w:trHeight w:val="376" w:hRule="atLeast"/>
                <w:jc w:val="center"/>
              </w:trPr>
              <w:tc>
                <w:tcPr>
                  <w:tcW w:w="1095" w:type="dxa"/>
                  <w:vAlign w:val="center"/>
                </w:tcPr>
                <w:p>
                  <w:pPr>
                    <w:jc w:val="center"/>
                    <w:rPr>
                      <w:rFonts w:ascii="Times New Roman" w:hAnsi="Times New Roman"/>
                      <w:bCs/>
                      <w:sz w:val="18"/>
                      <w:szCs w:val="18"/>
                    </w:rPr>
                  </w:pPr>
                  <w:r>
                    <w:rPr>
                      <w:rFonts w:ascii="Times New Roman" w:hAnsi="Times New Roman"/>
                      <w:bCs/>
                      <w:sz w:val="18"/>
                      <w:szCs w:val="18"/>
                    </w:rPr>
                    <w:t>专项评价的类别</w:t>
                  </w:r>
                </w:p>
              </w:tc>
              <w:tc>
                <w:tcPr>
                  <w:tcW w:w="3179" w:type="dxa"/>
                  <w:tcBorders>
                    <w:right w:val="single" w:color="auto" w:sz="4" w:space="0"/>
                  </w:tcBorders>
                  <w:vAlign w:val="center"/>
                </w:tcPr>
                <w:p>
                  <w:pPr>
                    <w:jc w:val="center"/>
                    <w:rPr>
                      <w:rFonts w:ascii="Times New Roman" w:hAnsi="Times New Roman"/>
                      <w:bCs/>
                      <w:sz w:val="18"/>
                      <w:szCs w:val="18"/>
                    </w:rPr>
                  </w:pPr>
                  <w:r>
                    <w:rPr>
                      <w:rFonts w:ascii="Times New Roman" w:hAnsi="Times New Roman"/>
                      <w:bCs/>
                      <w:sz w:val="18"/>
                      <w:szCs w:val="18"/>
                    </w:rPr>
                    <w:t>设置条件</w:t>
                  </w:r>
                </w:p>
              </w:tc>
              <w:tc>
                <w:tcPr>
                  <w:tcW w:w="3073" w:type="dxa"/>
                  <w:tcBorders>
                    <w:left w:val="single" w:color="auto" w:sz="4" w:space="0"/>
                    <w:right w:val="single" w:color="auto" w:sz="4" w:space="0"/>
                  </w:tcBorders>
                  <w:vAlign w:val="center"/>
                </w:tcPr>
                <w:p>
                  <w:pPr>
                    <w:jc w:val="center"/>
                    <w:rPr>
                      <w:rFonts w:ascii="Times New Roman" w:hAnsi="Times New Roman"/>
                      <w:bCs/>
                      <w:sz w:val="18"/>
                      <w:szCs w:val="18"/>
                    </w:rPr>
                  </w:pPr>
                  <w:r>
                    <w:rPr>
                      <w:rFonts w:ascii="Times New Roman" w:hAnsi="Times New Roman"/>
                      <w:bCs/>
                      <w:sz w:val="18"/>
                      <w:szCs w:val="18"/>
                    </w:rPr>
                    <w:t>项目情况</w:t>
                  </w:r>
                </w:p>
              </w:tc>
              <w:tc>
                <w:tcPr>
                  <w:tcW w:w="888" w:type="dxa"/>
                  <w:tcBorders>
                    <w:left w:val="single" w:color="auto" w:sz="4" w:space="0"/>
                  </w:tcBorders>
                  <w:vAlign w:val="center"/>
                </w:tcPr>
                <w:p>
                  <w:pPr>
                    <w:jc w:val="center"/>
                    <w:rPr>
                      <w:rFonts w:ascii="Times New Roman" w:hAnsi="Times New Roman"/>
                      <w:bCs/>
                      <w:sz w:val="18"/>
                      <w:szCs w:val="18"/>
                    </w:rPr>
                  </w:pPr>
                  <w:r>
                    <w:rPr>
                      <w:rFonts w:ascii="Times New Roman" w:hAnsi="Times New Roman"/>
                      <w:bCs/>
                      <w:sz w:val="18"/>
                      <w:szCs w:val="18"/>
                    </w:rPr>
                    <w:t>是否设置专项</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85" w:type="dxa"/>
                  <w:bottom w:w="0" w:type="dxa"/>
                  <w:right w:w="85" w:type="dxa"/>
                </w:tblCellMar>
              </w:tblPrEx>
              <w:trPr>
                <w:trHeight w:val="90" w:hRule="atLeast"/>
                <w:jc w:val="center"/>
              </w:trPr>
              <w:tc>
                <w:tcPr>
                  <w:tcW w:w="1095" w:type="dxa"/>
                  <w:vAlign w:val="center"/>
                </w:tcPr>
                <w:p>
                  <w:pPr>
                    <w:jc w:val="center"/>
                    <w:rPr>
                      <w:rFonts w:ascii="Times New Roman" w:hAnsi="Times New Roman"/>
                      <w:bCs/>
                      <w:sz w:val="18"/>
                      <w:szCs w:val="18"/>
                    </w:rPr>
                  </w:pPr>
                  <w:r>
                    <w:rPr>
                      <w:rFonts w:ascii="Times New Roman" w:hAnsi="Times New Roman"/>
                      <w:bCs/>
                      <w:sz w:val="18"/>
                      <w:szCs w:val="18"/>
                    </w:rPr>
                    <w:t>大气</w:t>
                  </w:r>
                </w:p>
              </w:tc>
              <w:tc>
                <w:tcPr>
                  <w:tcW w:w="3179" w:type="dxa"/>
                  <w:tcBorders>
                    <w:right w:val="single" w:color="auto" w:sz="4" w:space="0"/>
                  </w:tcBorders>
                  <w:vAlign w:val="center"/>
                </w:tcPr>
                <w:p>
                  <w:pPr>
                    <w:rPr>
                      <w:rFonts w:ascii="Times New Roman" w:hAnsi="Times New Roman"/>
                      <w:bCs/>
                      <w:sz w:val="18"/>
                      <w:szCs w:val="18"/>
                    </w:rPr>
                  </w:pPr>
                  <w:r>
                    <w:rPr>
                      <w:rFonts w:ascii="Times New Roman" w:hAnsi="Times New Roman"/>
                      <w:bCs/>
                      <w:sz w:val="18"/>
                      <w:szCs w:val="18"/>
                    </w:rPr>
                    <w:t>排放废气含有毒有害污染物</w:t>
                  </w:r>
                  <w:r>
                    <w:rPr>
                      <w:rFonts w:ascii="Times New Roman" w:hAnsi="Times New Roman"/>
                      <w:bCs/>
                      <w:sz w:val="18"/>
                      <w:szCs w:val="18"/>
                      <w:vertAlign w:val="superscript"/>
                    </w:rPr>
                    <w:t>1</w:t>
                  </w:r>
                  <w:r>
                    <w:rPr>
                      <w:rFonts w:ascii="Times New Roman" w:hAnsi="Times New Roman"/>
                      <w:bCs/>
                      <w:sz w:val="18"/>
                      <w:szCs w:val="18"/>
                    </w:rPr>
                    <w:t>、二噁英、苯并[a]芘、氰化物、氯气且厂界外500米范围内有环境空气保护目标</w:t>
                  </w:r>
                  <w:r>
                    <w:rPr>
                      <w:rFonts w:ascii="Times New Roman" w:hAnsi="Times New Roman"/>
                      <w:bCs/>
                      <w:sz w:val="18"/>
                      <w:szCs w:val="18"/>
                      <w:vertAlign w:val="superscript"/>
                    </w:rPr>
                    <w:t>2</w:t>
                  </w:r>
                  <w:r>
                    <w:rPr>
                      <w:rFonts w:ascii="Times New Roman" w:hAnsi="Times New Roman"/>
                      <w:bCs/>
                      <w:sz w:val="18"/>
                      <w:szCs w:val="18"/>
                    </w:rPr>
                    <w:t>的建设项目</w:t>
                  </w:r>
                </w:p>
              </w:tc>
              <w:tc>
                <w:tcPr>
                  <w:tcW w:w="3073" w:type="dxa"/>
                  <w:tcBorders>
                    <w:left w:val="single" w:color="auto" w:sz="4" w:space="0"/>
                    <w:right w:val="single" w:color="auto" w:sz="4" w:space="0"/>
                  </w:tcBorders>
                  <w:vAlign w:val="center"/>
                </w:tcPr>
                <w:p>
                  <w:pPr>
                    <w:rPr>
                      <w:rFonts w:ascii="Times New Roman" w:hAnsi="Times New Roman"/>
                      <w:bCs/>
                      <w:sz w:val="18"/>
                      <w:szCs w:val="18"/>
                    </w:rPr>
                  </w:pPr>
                  <w:r>
                    <w:rPr>
                      <w:rFonts w:ascii="Times New Roman" w:hAnsi="Times New Roman"/>
                      <w:bCs/>
                      <w:sz w:val="18"/>
                      <w:szCs w:val="18"/>
                    </w:rPr>
                    <w:t>项目排放的废气污染物为颗粒物，不涉及含有毒有害污染物、二噁英、苯并[a]芘、氰化物、氯气等</w:t>
                  </w:r>
                </w:p>
              </w:tc>
              <w:tc>
                <w:tcPr>
                  <w:tcW w:w="888" w:type="dxa"/>
                  <w:tcBorders>
                    <w:left w:val="single" w:color="auto" w:sz="4" w:space="0"/>
                  </w:tcBorders>
                  <w:vAlign w:val="center"/>
                </w:tcPr>
                <w:p>
                  <w:pPr>
                    <w:jc w:val="center"/>
                    <w:rPr>
                      <w:rFonts w:ascii="Times New Roman" w:hAnsi="Times New Roman"/>
                      <w:bCs/>
                      <w:sz w:val="18"/>
                      <w:szCs w:val="18"/>
                    </w:rPr>
                  </w:pPr>
                  <w:r>
                    <w:rPr>
                      <w:rFonts w:ascii="Times New Roman" w:hAnsi="Times New Roman"/>
                      <w:bCs/>
                      <w:sz w:val="18"/>
                      <w:szCs w:val="18"/>
                    </w:rPr>
                    <w:t>否</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85" w:type="dxa"/>
                  <w:bottom w:w="0" w:type="dxa"/>
                  <w:right w:w="85" w:type="dxa"/>
                </w:tblCellMar>
              </w:tblPrEx>
              <w:trPr>
                <w:trHeight w:val="90" w:hRule="atLeast"/>
                <w:jc w:val="center"/>
              </w:trPr>
              <w:tc>
                <w:tcPr>
                  <w:tcW w:w="1095" w:type="dxa"/>
                  <w:vAlign w:val="center"/>
                </w:tcPr>
                <w:p>
                  <w:pPr>
                    <w:jc w:val="center"/>
                    <w:rPr>
                      <w:rFonts w:ascii="Times New Roman" w:hAnsi="Times New Roman"/>
                      <w:bCs/>
                      <w:sz w:val="18"/>
                      <w:szCs w:val="18"/>
                    </w:rPr>
                  </w:pPr>
                  <w:r>
                    <w:rPr>
                      <w:rFonts w:ascii="Times New Roman" w:hAnsi="Times New Roman"/>
                      <w:bCs/>
                      <w:sz w:val="18"/>
                      <w:szCs w:val="18"/>
                    </w:rPr>
                    <w:t>地表水</w:t>
                  </w:r>
                </w:p>
              </w:tc>
              <w:tc>
                <w:tcPr>
                  <w:tcW w:w="3179" w:type="dxa"/>
                  <w:tcBorders>
                    <w:right w:val="single" w:color="auto" w:sz="4" w:space="0"/>
                  </w:tcBorders>
                  <w:vAlign w:val="center"/>
                </w:tcPr>
                <w:p>
                  <w:pPr>
                    <w:rPr>
                      <w:rFonts w:ascii="Times New Roman" w:hAnsi="Times New Roman"/>
                      <w:bCs/>
                      <w:sz w:val="18"/>
                      <w:szCs w:val="18"/>
                    </w:rPr>
                  </w:pPr>
                  <w:r>
                    <w:rPr>
                      <w:rFonts w:ascii="Times New Roman" w:hAnsi="Times New Roman"/>
                      <w:bCs/>
                      <w:sz w:val="18"/>
                      <w:szCs w:val="18"/>
                    </w:rPr>
                    <w:t>新增工业废水直排建设项目(槽罐车外送污水处理厂的除外)；新增废水直排的污水集中处理厂</w:t>
                  </w:r>
                </w:p>
              </w:tc>
              <w:tc>
                <w:tcPr>
                  <w:tcW w:w="3073" w:type="dxa"/>
                  <w:tcBorders>
                    <w:left w:val="single" w:color="auto" w:sz="4" w:space="0"/>
                    <w:right w:val="single" w:color="auto" w:sz="4" w:space="0"/>
                  </w:tcBorders>
                  <w:vAlign w:val="center"/>
                </w:tcPr>
                <w:p>
                  <w:pPr>
                    <w:rPr>
                      <w:rFonts w:ascii="Times New Roman" w:hAnsi="Times New Roman"/>
                      <w:bCs/>
                      <w:sz w:val="18"/>
                      <w:szCs w:val="18"/>
                    </w:rPr>
                  </w:pPr>
                  <w:r>
                    <w:rPr>
                      <w:rFonts w:ascii="Times New Roman" w:hAnsi="Times New Roman"/>
                      <w:bCs/>
                      <w:sz w:val="18"/>
                      <w:szCs w:val="18"/>
                    </w:rPr>
                    <w:t>本项目生产废水经</w:t>
                  </w:r>
                  <w:r>
                    <w:rPr>
                      <w:rFonts w:hint="eastAsia" w:ascii="Times New Roman" w:hAnsi="Times New Roman"/>
                      <w:bCs/>
                      <w:sz w:val="18"/>
                      <w:szCs w:val="18"/>
                    </w:rPr>
                    <w:t>“隔油池+沉淀池”</w:t>
                  </w:r>
                  <w:r>
                    <w:rPr>
                      <w:rFonts w:ascii="Times New Roman" w:hAnsi="Times New Roman"/>
                      <w:bCs/>
                      <w:sz w:val="18"/>
                      <w:szCs w:val="18"/>
                    </w:rPr>
                    <w:t>处理后回用不外排，生活污水经地埋式生活污水处理设施处理后用于周边山林地</w:t>
                  </w:r>
                  <w:r>
                    <w:rPr>
                      <w:rFonts w:hint="eastAsia" w:ascii="Times New Roman" w:hAnsi="Times New Roman"/>
                      <w:bCs/>
                      <w:sz w:val="18"/>
                      <w:szCs w:val="18"/>
                    </w:rPr>
                    <w:t>灌溉</w:t>
                  </w:r>
                </w:p>
              </w:tc>
              <w:tc>
                <w:tcPr>
                  <w:tcW w:w="888" w:type="dxa"/>
                  <w:tcBorders>
                    <w:left w:val="single" w:color="auto" w:sz="4" w:space="0"/>
                  </w:tcBorders>
                  <w:vAlign w:val="center"/>
                </w:tcPr>
                <w:p>
                  <w:pPr>
                    <w:jc w:val="center"/>
                    <w:rPr>
                      <w:rFonts w:ascii="Times New Roman" w:hAnsi="Times New Roman"/>
                      <w:bCs/>
                      <w:sz w:val="18"/>
                      <w:szCs w:val="18"/>
                    </w:rPr>
                  </w:pPr>
                  <w:r>
                    <w:rPr>
                      <w:rFonts w:ascii="Times New Roman" w:hAnsi="Times New Roman"/>
                      <w:bCs/>
                      <w:sz w:val="18"/>
                      <w:szCs w:val="18"/>
                    </w:rPr>
                    <w:t>否</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PrEx>
              <w:trPr>
                <w:trHeight w:val="90" w:hRule="atLeast"/>
                <w:jc w:val="center"/>
              </w:trPr>
              <w:tc>
                <w:tcPr>
                  <w:tcW w:w="1095" w:type="dxa"/>
                  <w:vAlign w:val="center"/>
                </w:tcPr>
                <w:p>
                  <w:pPr>
                    <w:jc w:val="center"/>
                    <w:rPr>
                      <w:rFonts w:ascii="Times New Roman" w:hAnsi="Times New Roman"/>
                      <w:bCs/>
                      <w:sz w:val="18"/>
                      <w:szCs w:val="18"/>
                    </w:rPr>
                  </w:pPr>
                  <w:r>
                    <w:rPr>
                      <w:rFonts w:ascii="Times New Roman" w:hAnsi="Times New Roman"/>
                      <w:bCs/>
                      <w:sz w:val="18"/>
                      <w:szCs w:val="18"/>
                    </w:rPr>
                    <w:t>环境</w:t>
                  </w:r>
                </w:p>
                <w:p>
                  <w:pPr>
                    <w:jc w:val="center"/>
                    <w:rPr>
                      <w:rFonts w:ascii="Times New Roman" w:hAnsi="Times New Roman"/>
                      <w:bCs/>
                      <w:sz w:val="18"/>
                      <w:szCs w:val="18"/>
                    </w:rPr>
                  </w:pPr>
                  <w:r>
                    <w:rPr>
                      <w:rFonts w:ascii="Times New Roman" w:hAnsi="Times New Roman"/>
                      <w:bCs/>
                      <w:sz w:val="18"/>
                      <w:szCs w:val="18"/>
                    </w:rPr>
                    <w:t>风险</w:t>
                  </w:r>
                </w:p>
              </w:tc>
              <w:tc>
                <w:tcPr>
                  <w:tcW w:w="3179" w:type="dxa"/>
                  <w:tcBorders>
                    <w:right w:val="single" w:color="auto" w:sz="4" w:space="0"/>
                  </w:tcBorders>
                  <w:vAlign w:val="center"/>
                </w:tcPr>
                <w:p>
                  <w:pPr>
                    <w:rPr>
                      <w:rFonts w:ascii="Times New Roman" w:hAnsi="Times New Roman"/>
                      <w:bCs/>
                      <w:sz w:val="18"/>
                      <w:szCs w:val="18"/>
                    </w:rPr>
                  </w:pPr>
                  <w:r>
                    <w:rPr>
                      <w:rFonts w:ascii="Times New Roman" w:hAnsi="Times New Roman"/>
                      <w:bCs/>
                      <w:sz w:val="18"/>
                      <w:szCs w:val="18"/>
                    </w:rPr>
                    <w:t>有毒有害和易燃易爆危险物质存储量超过临界量的建设项目</w:t>
                  </w:r>
                </w:p>
              </w:tc>
              <w:tc>
                <w:tcPr>
                  <w:tcW w:w="3073" w:type="dxa"/>
                  <w:tcBorders>
                    <w:left w:val="single" w:color="auto" w:sz="4" w:space="0"/>
                    <w:right w:val="single" w:color="auto" w:sz="4" w:space="0"/>
                  </w:tcBorders>
                  <w:vAlign w:val="center"/>
                </w:tcPr>
                <w:p>
                  <w:pPr>
                    <w:rPr>
                      <w:rFonts w:ascii="Times New Roman" w:hAnsi="Times New Roman"/>
                      <w:bCs/>
                      <w:sz w:val="18"/>
                      <w:szCs w:val="18"/>
                    </w:rPr>
                  </w:pPr>
                  <w:r>
                    <w:rPr>
                      <w:rFonts w:ascii="Times New Roman" w:hAnsi="Times New Roman"/>
                      <w:bCs/>
                      <w:sz w:val="18"/>
                      <w:szCs w:val="18"/>
                    </w:rPr>
                    <w:t>项目不涉及有毒有害和易燃易爆环境风险物质</w:t>
                  </w:r>
                </w:p>
              </w:tc>
              <w:tc>
                <w:tcPr>
                  <w:tcW w:w="888" w:type="dxa"/>
                  <w:tcBorders>
                    <w:left w:val="single" w:color="auto" w:sz="4" w:space="0"/>
                  </w:tcBorders>
                  <w:vAlign w:val="center"/>
                </w:tcPr>
                <w:p>
                  <w:pPr>
                    <w:jc w:val="center"/>
                    <w:rPr>
                      <w:rFonts w:ascii="Times New Roman" w:hAnsi="Times New Roman"/>
                      <w:bCs/>
                      <w:sz w:val="18"/>
                      <w:szCs w:val="18"/>
                    </w:rPr>
                  </w:pPr>
                  <w:r>
                    <w:rPr>
                      <w:rFonts w:ascii="Times New Roman" w:hAnsi="Times New Roman"/>
                      <w:bCs/>
                      <w:sz w:val="18"/>
                      <w:szCs w:val="18"/>
                    </w:rPr>
                    <w:t>否</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85" w:type="dxa"/>
                  <w:bottom w:w="0" w:type="dxa"/>
                  <w:right w:w="85" w:type="dxa"/>
                </w:tblCellMar>
              </w:tblPrEx>
              <w:trPr>
                <w:trHeight w:val="90" w:hRule="atLeast"/>
                <w:jc w:val="center"/>
              </w:trPr>
              <w:tc>
                <w:tcPr>
                  <w:tcW w:w="1095" w:type="dxa"/>
                  <w:vAlign w:val="center"/>
                </w:tcPr>
                <w:p>
                  <w:pPr>
                    <w:jc w:val="center"/>
                    <w:rPr>
                      <w:rFonts w:ascii="Times New Roman" w:hAnsi="Times New Roman"/>
                      <w:bCs/>
                      <w:sz w:val="18"/>
                      <w:szCs w:val="18"/>
                    </w:rPr>
                  </w:pPr>
                  <w:r>
                    <w:rPr>
                      <w:rFonts w:ascii="Times New Roman" w:hAnsi="Times New Roman"/>
                      <w:bCs/>
                      <w:sz w:val="18"/>
                      <w:szCs w:val="18"/>
                    </w:rPr>
                    <w:t>生态</w:t>
                  </w:r>
                </w:p>
              </w:tc>
              <w:tc>
                <w:tcPr>
                  <w:tcW w:w="3179" w:type="dxa"/>
                  <w:tcBorders>
                    <w:right w:val="single" w:color="auto" w:sz="4" w:space="0"/>
                  </w:tcBorders>
                  <w:vAlign w:val="center"/>
                </w:tcPr>
                <w:p>
                  <w:pPr>
                    <w:rPr>
                      <w:rFonts w:ascii="Times New Roman" w:hAnsi="Times New Roman"/>
                      <w:bCs/>
                      <w:sz w:val="18"/>
                      <w:szCs w:val="18"/>
                    </w:rPr>
                  </w:pPr>
                  <w:r>
                    <w:rPr>
                      <w:rFonts w:ascii="Times New Roman" w:hAnsi="Times New Roman"/>
                      <w:bCs/>
                      <w:sz w:val="18"/>
                      <w:szCs w:val="18"/>
                    </w:rPr>
                    <w:t>取水口下游500米范围内有重要水生生物的自然产卵场、索饵场、越冬场和洄游通道的新增河道取水的污染类建设项目</w:t>
                  </w:r>
                </w:p>
              </w:tc>
              <w:tc>
                <w:tcPr>
                  <w:tcW w:w="3073" w:type="dxa"/>
                  <w:tcBorders>
                    <w:left w:val="single" w:color="auto" w:sz="4" w:space="0"/>
                    <w:right w:val="single" w:color="auto" w:sz="4" w:space="0"/>
                  </w:tcBorders>
                  <w:vAlign w:val="center"/>
                </w:tcPr>
                <w:p>
                  <w:pPr>
                    <w:rPr>
                      <w:rFonts w:ascii="Times New Roman" w:hAnsi="Times New Roman"/>
                      <w:bCs/>
                      <w:sz w:val="18"/>
                      <w:szCs w:val="18"/>
                    </w:rPr>
                  </w:pPr>
                  <w:r>
                    <w:rPr>
                      <w:rFonts w:ascii="Times New Roman" w:hAnsi="Times New Roman"/>
                      <w:bCs/>
                      <w:sz w:val="18"/>
                      <w:szCs w:val="18"/>
                    </w:rPr>
                    <w:t>项目用水</w:t>
                  </w:r>
                  <w:r>
                    <w:rPr>
                      <w:rFonts w:hint="eastAsia" w:ascii="Times New Roman" w:hAnsi="Times New Roman"/>
                      <w:bCs/>
                      <w:sz w:val="18"/>
                      <w:szCs w:val="18"/>
                    </w:rPr>
                    <w:t>取自山泉水，不属于</w:t>
                  </w:r>
                  <w:r>
                    <w:rPr>
                      <w:rFonts w:ascii="Times New Roman" w:hAnsi="Times New Roman"/>
                      <w:bCs/>
                      <w:sz w:val="18"/>
                      <w:szCs w:val="18"/>
                    </w:rPr>
                    <w:t>取水口下游500米范围内有重要水生生物的自然产卵场、索饵场、越冬场和洄游通道的新增河道取水的污染类建设项目</w:t>
                  </w:r>
                </w:p>
              </w:tc>
              <w:tc>
                <w:tcPr>
                  <w:tcW w:w="888" w:type="dxa"/>
                  <w:tcBorders>
                    <w:left w:val="single" w:color="auto" w:sz="4" w:space="0"/>
                  </w:tcBorders>
                  <w:vAlign w:val="center"/>
                </w:tcPr>
                <w:p>
                  <w:pPr>
                    <w:jc w:val="center"/>
                    <w:rPr>
                      <w:rFonts w:ascii="Times New Roman" w:hAnsi="Times New Roman"/>
                      <w:bCs/>
                      <w:sz w:val="18"/>
                      <w:szCs w:val="18"/>
                    </w:rPr>
                  </w:pPr>
                  <w:r>
                    <w:rPr>
                      <w:rFonts w:ascii="Times New Roman" w:hAnsi="Times New Roman"/>
                      <w:bCs/>
                      <w:sz w:val="18"/>
                      <w:szCs w:val="18"/>
                    </w:rPr>
                    <w:t>否</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85" w:type="dxa"/>
                  <w:bottom w:w="0" w:type="dxa"/>
                  <w:right w:w="85" w:type="dxa"/>
                </w:tblCellMar>
              </w:tblPrEx>
              <w:trPr>
                <w:trHeight w:val="90" w:hRule="atLeast"/>
                <w:jc w:val="center"/>
              </w:trPr>
              <w:tc>
                <w:tcPr>
                  <w:tcW w:w="1095" w:type="dxa"/>
                  <w:vAlign w:val="center"/>
                </w:tcPr>
                <w:p>
                  <w:pPr>
                    <w:jc w:val="center"/>
                    <w:rPr>
                      <w:rFonts w:ascii="Times New Roman" w:hAnsi="Times New Roman"/>
                      <w:bCs/>
                      <w:sz w:val="18"/>
                      <w:szCs w:val="18"/>
                    </w:rPr>
                  </w:pPr>
                  <w:r>
                    <w:rPr>
                      <w:rFonts w:ascii="Times New Roman" w:hAnsi="Times New Roman"/>
                      <w:bCs/>
                      <w:sz w:val="18"/>
                      <w:szCs w:val="18"/>
                    </w:rPr>
                    <w:t>海洋</w:t>
                  </w:r>
                </w:p>
              </w:tc>
              <w:tc>
                <w:tcPr>
                  <w:tcW w:w="3179" w:type="dxa"/>
                  <w:tcBorders>
                    <w:right w:val="single" w:color="auto" w:sz="4" w:space="0"/>
                  </w:tcBorders>
                  <w:vAlign w:val="center"/>
                </w:tcPr>
                <w:p>
                  <w:pPr>
                    <w:rPr>
                      <w:rFonts w:ascii="Times New Roman" w:hAnsi="Times New Roman"/>
                      <w:bCs/>
                      <w:sz w:val="18"/>
                      <w:szCs w:val="18"/>
                    </w:rPr>
                  </w:pPr>
                  <w:r>
                    <w:rPr>
                      <w:rFonts w:ascii="Times New Roman" w:hAnsi="Times New Roman"/>
                      <w:bCs/>
                      <w:sz w:val="18"/>
                      <w:szCs w:val="18"/>
                    </w:rPr>
                    <w:t>直接向海排放污染物的海洋工程建设项目</w:t>
                  </w:r>
                </w:p>
              </w:tc>
              <w:tc>
                <w:tcPr>
                  <w:tcW w:w="3073" w:type="dxa"/>
                  <w:tcBorders>
                    <w:left w:val="single" w:color="auto" w:sz="4" w:space="0"/>
                    <w:right w:val="single" w:color="auto" w:sz="4" w:space="0"/>
                  </w:tcBorders>
                  <w:vAlign w:val="center"/>
                </w:tcPr>
                <w:p>
                  <w:pPr>
                    <w:rPr>
                      <w:rFonts w:ascii="Times New Roman" w:hAnsi="Times New Roman"/>
                      <w:bCs/>
                      <w:sz w:val="18"/>
                      <w:szCs w:val="18"/>
                    </w:rPr>
                  </w:pPr>
                  <w:r>
                    <w:rPr>
                      <w:rFonts w:hint="eastAsia" w:ascii="Times New Roman" w:hAnsi="Times New Roman"/>
                      <w:bCs/>
                      <w:sz w:val="18"/>
                      <w:szCs w:val="18"/>
                    </w:rPr>
                    <w:t>不属于</w:t>
                  </w:r>
                  <w:r>
                    <w:rPr>
                      <w:rFonts w:ascii="Times New Roman" w:hAnsi="Times New Roman"/>
                      <w:bCs/>
                      <w:sz w:val="18"/>
                      <w:szCs w:val="18"/>
                    </w:rPr>
                    <w:t>直接向海排放污染物的海洋工程建设项目</w:t>
                  </w:r>
                </w:p>
              </w:tc>
              <w:tc>
                <w:tcPr>
                  <w:tcW w:w="888" w:type="dxa"/>
                  <w:tcBorders>
                    <w:left w:val="single" w:color="auto" w:sz="4" w:space="0"/>
                  </w:tcBorders>
                  <w:vAlign w:val="center"/>
                </w:tcPr>
                <w:p>
                  <w:pPr>
                    <w:jc w:val="center"/>
                    <w:rPr>
                      <w:rFonts w:ascii="Times New Roman" w:hAnsi="Times New Roman"/>
                      <w:bCs/>
                      <w:sz w:val="18"/>
                      <w:szCs w:val="18"/>
                    </w:rPr>
                  </w:pPr>
                  <w:r>
                    <w:rPr>
                      <w:rFonts w:ascii="Times New Roman" w:hAnsi="Times New Roman"/>
                      <w:bCs/>
                      <w:sz w:val="18"/>
                      <w:szCs w:val="18"/>
                    </w:rPr>
                    <w:t>否</w:t>
                  </w:r>
                </w:p>
              </w:tc>
            </w:tr>
          </w:tbl>
          <w:p>
            <w:pPr>
              <w:adjustRightInd w:val="0"/>
              <w:snapToGrid w:val="0"/>
              <w:rPr>
                <w:rFonts w:ascii="Times New Roman" w:hAnsi="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907" w:type="dxa"/>
            <w:vAlign w:val="center"/>
          </w:tcPr>
          <w:p>
            <w:pPr>
              <w:autoSpaceDE w:val="0"/>
              <w:autoSpaceDN w:val="0"/>
              <w:adjustRightInd w:val="0"/>
              <w:snapToGrid w:val="0"/>
              <w:jc w:val="center"/>
              <w:rPr>
                <w:rFonts w:ascii="Times New Roman" w:hAnsi="Times New Roman"/>
                <w:kern w:val="0"/>
                <w:szCs w:val="21"/>
              </w:rPr>
            </w:pPr>
            <w:r>
              <w:rPr>
                <w:rFonts w:ascii="Times New Roman" w:hAnsi="Times New Roman"/>
                <w:szCs w:val="21"/>
              </w:rPr>
              <w:t>规划情况</w:t>
            </w:r>
          </w:p>
        </w:tc>
        <w:tc>
          <w:tcPr>
            <w:tcW w:w="8451" w:type="dxa"/>
            <w:gridSpan w:val="3"/>
            <w:vAlign w:val="center"/>
          </w:tcPr>
          <w:p>
            <w:pPr>
              <w:pStyle w:val="46"/>
              <w:rPr>
                <w:color w:val="auto"/>
              </w:rPr>
            </w:pPr>
            <w:r>
              <w:rPr>
                <w:rFonts w:hint="eastAsia"/>
                <w:color w:val="auto"/>
              </w:rPr>
              <w:t>1、</w:t>
            </w:r>
            <w:r>
              <w:rPr>
                <w:color w:val="auto"/>
              </w:rPr>
              <w:t>《大田县国土空间总体规划（2021-2035年）草案公示稿）》</w:t>
            </w:r>
            <w:r>
              <w:rPr>
                <w:rFonts w:hint="eastAsia"/>
                <w:color w:val="auto"/>
              </w:rPr>
              <w:t>；</w:t>
            </w:r>
          </w:p>
          <w:p>
            <w:pPr>
              <w:pStyle w:val="46"/>
              <w:rPr>
                <w:color w:val="auto"/>
                <w:sz w:val="18"/>
                <w:szCs w:val="18"/>
              </w:rPr>
            </w:pPr>
            <w:r>
              <w:rPr>
                <w:rFonts w:hint="eastAsia"/>
                <w:color w:val="auto"/>
              </w:rPr>
              <w:t>2、《大田县武陵乡大石村村庄规划（2019-2035）》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907" w:type="dxa"/>
            <w:vAlign w:val="center"/>
          </w:tcPr>
          <w:p>
            <w:pPr>
              <w:adjustRightInd w:val="0"/>
              <w:snapToGrid w:val="0"/>
              <w:jc w:val="center"/>
              <w:rPr>
                <w:rFonts w:ascii="Times New Roman" w:hAnsi="Times New Roman"/>
                <w:szCs w:val="21"/>
              </w:rPr>
            </w:pPr>
            <w:r>
              <w:rPr>
                <w:rFonts w:ascii="Times New Roman" w:hAnsi="Times New Roman"/>
                <w:szCs w:val="21"/>
              </w:rPr>
              <w:t>规划环境影响</w:t>
            </w:r>
          </w:p>
          <w:p>
            <w:pPr>
              <w:adjustRightInd w:val="0"/>
              <w:snapToGrid w:val="0"/>
              <w:jc w:val="center"/>
              <w:rPr>
                <w:rFonts w:ascii="Times New Roman" w:hAnsi="Times New Roman"/>
                <w:kern w:val="0"/>
                <w:szCs w:val="21"/>
              </w:rPr>
            </w:pPr>
            <w:r>
              <w:rPr>
                <w:rFonts w:ascii="Times New Roman" w:hAnsi="Times New Roman"/>
                <w:szCs w:val="21"/>
              </w:rPr>
              <w:t>评价情况</w:t>
            </w:r>
          </w:p>
        </w:tc>
        <w:tc>
          <w:tcPr>
            <w:tcW w:w="8451" w:type="dxa"/>
            <w:gridSpan w:val="3"/>
            <w:vAlign w:val="center"/>
          </w:tcPr>
          <w:p>
            <w:pPr>
              <w:spacing w:line="400" w:lineRule="exact"/>
              <w:jc w:val="center"/>
              <w:rPr>
                <w:rFonts w:ascii="Times New Roman" w:hAnsi="Times New Roman"/>
                <w:kern w:val="0"/>
                <w:szCs w:val="21"/>
              </w:rPr>
            </w:pPr>
            <w:r>
              <w:rPr>
                <w:rFonts w:ascii="Times New Roman" w:hAnsi="Times New Roman"/>
                <w:kern w:val="0"/>
                <w:szCs w:val="21"/>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907" w:type="dxa"/>
            <w:vAlign w:val="center"/>
          </w:tcPr>
          <w:p>
            <w:pPr>
              <w:spacing w:line="400" w:lineRule="exact"/>
              <w:jc w:val="center"/>
              <w:rPr>
                <w:rFonts w:ascii="Times New Roman" w:hAnsi="Times New Roman"/>
                <w:kern w:val="0"/>
                <w:szCs w:val="21"/>
              </w:rPr>
            </w:pPr>
            <w:r>
              <w:rPr>
                <w:rFonts w:ascii="Times New Roman" w:hAnsi="Times New Roman"/>
                <w:kern w:val="0"/>
                <w:szCs w:val="21"/>
              </w:rPr>
              <w:t>规划及规划环境影响评价符合性分析</w:t>
            </w:r>
          </w:p>
        </w:tc>
        <w:tc>
          <w:tcPr>
            <w:tcW w:w="8451" w:type="dxa"/>
            <w:gridSpan w:val="3"/>
            <w:vAlign w:val="center"/>
          </w:tcPr>
          <w:p>
            <w:pPr>
              <w:pStyle w:val="6"/>
              <w:ind w:left="311"/>
              <w:rPr>
                <w:color w:val="auto"/>
              </w:rPr>
            </w:pPr>
            <w:r>
              <w:rPr>
                <w:color w:val="auto"/>
              </w:rPr>
              <w:t>1.</w:t>
            </w:r>
            <w:r>
              <w:rPr>
                <w:rFonts w:hint="eastAsia"/>
                <w:color w:val="auto"/>
              </w:rPr>
              <w:t>1规划符合性分析</w:t>
            </w:r>
          </w:p>
          <w:p>
            <w:pPr>
              <w:pStyle w:val="8"/>
              <w:numPr>
                <w:ilvl w:val="0"/>
                <w:numId w:val="0"/>
              </w:numPr>
            </w:pPr>
            <w:r>
              <w:rPr>
                <w:rFonts w:ascii="Times New Roman" w:hAnsi="Times New Roman"/>
              </w:rPr>
              <w:t>1.</w:t>
            </w:r>
            <w:r>
              <w:rPr>
                <w:rFonts w:hint="eastAsia" w:ascii="Times New Roman" w:hAnsi="Times New Roman"/>
              </w:rPr>
              <w:t>1</w:t>
            </w:r>
            <w:r>
              <w:rPr>
                <w:rFonts w:ascii="Times New Roman" w:hAnsi="Times New Roman"/>
              </w:rPr>
              <w:t>.1</w:t>
            </w:r>
            <w:r>
              <w:rPr>
                <w:rFonts w:hint="eastAsia" w:ascii="Times New Roman" w:hAnsi="Times New Roman"/>
                <w:kern w:val="21"/>
                <w:szCs w:val="24"/>
              </w:rPr>
              <w:t>与《大田县国土空间总体规划》（2</w:t>
            </w:r>
            <w:r>
              <w:rPr>
                <w:rFonts w:ascii="Times New Roman" w:hAnsi="Times New Roman"/>
                <w:kern w:val="21"/>
                <w:szCs w:val="24"/>
              </w:rPr>
              <w:t>021-2035</w:t>
            </w:r>
            <w:r>
              <w:rPr>
                <w:rFonts w:hint="eastAsia" w:ascii="Times New Roman" w:hAnsi="Times New Roman"/>
                <w:kern w:val="21"/>
                <w:szCs w:val="24"/>
              </w:rPr>
              <w:t>草案公示稿）符合性分析</w:t>
            </w:r>
          </w:p>
          <w:p>
            <w:pPr>
              <w:pStyle w:val="46"/>
              <w:spacing w:line="420" w:lineRule="atLeast"/>
              <w:rPr>
                <w:color w:val="auto"/>
              </w:rPr>
            </w:pPr>
            <w:r>
              <w:rPr>
                <w:rFonts w:hint="eastAsia"/>
                <w:color w:val="auto"/>
              </w:rPr>
              <w:t>项目位于三明市大田县武陵乡大石村，租用福建省大田县岩盛铸造有限公司（以下简称岩盛公司）部分闲置厂房，不新增建设用地。</w:t>
            </w:r>
            <w:r>
              <w:rPr>
                <w:rFonts w:hint="eastAsia"/>
                <w:color w:val="auto"/>
                <w:kern w:val="21"/>
              </w:rPr>
              <w:t>对照</w:t>
            </w:r>
            <w:r>
              <w:rPr>
                <w:rFonts w:hint="eastAsia"/>
                <w:color w:val="auto"/>
              </w:rPr>
              <w:t>《大田县国土空间总体规划》（2</w:t>
            </w:r>
            <w:r>
              <w:rPr>
                <w:color w:val="auto"/>
              </w:rPr>
              <w:t>021-2035</w:t>
            </w:r>
            <w:r>
              <w:rPr>
                <w:rFonts w:hint="eastAsia"/>
                <w:color w:val="auto"/>
              </w:rPr>
              <w:t>草案公示稿）中的大田县三条线控制规划图，项目用地不占用永久基本农田和生态保护红线。根据大田县自然资源局开具的《大田县武陵乡大石村村庄规划局部图》，项目用地位于城镇开发边界内，属于工业用地，不涉及永久基本农田和生态保护红线，符合大田县“三区三线”要求。因此，项目选址符合大田县国土空间总体规划管控要求。</w:t>
            </w:r>
          </w:p>
          <w:p>
            <w:pPr>
              <w:pStyle w:val="46"/>
              <w:spacing w:line="420" w:lineRule="atLeast"/>
              <w:rPr>
                <w:color w:val="auto"/>
              </w:rPr>
            </w:pPr>
            <w:r>
              <w:rPr>
                <w:rFonts w:hint="eastAsia"/>
                <w:color w:val="auto"/>
              </w:rPr>
              <w:t>大田县作为中国铸造产业集群试点县，坚持“创新驱动，绿色发展”。本项目属于废弃资源综合利用业，主要回收利用周边生产企业产生的废铁渣、铸造砂、钢渣等一般固体废物；本项目位于大田县武陵乡大石村的铸造集聚区，作为区域铸造产业的配套产业，有利于形成区域铸造循环经济产业链，实现区域产业协作和互利共赢。本项目符合大田县的产业发展定位。</w:t>
            </w:r>
          </w:p>
          <w:p>
            <w:pPr>
              <w:pStyle w:val="46"/>
              <w:spacing w:after="120" w:afterLines="50"/>
              <w:rPr>
                <w:color w:val="auto"/>
              </w:rPr>
            </w:pPr>
            <w:r>
              <w:rPr>
                <w:rFonts w:hint="eastAsia"/>
                <w:color w:val="auto"/>
              </w:rPr>
              <w:t>综上分析，本项目符合</w:t>
            </w:r>
            <w:r>
              <w:rPr>
                <w:color w:val="auto"/>
              </w:rPr>
              <w:t>《大田县国土空间总体规划（2021-2035年）》（草案）要求</w:t>
            </w:r>
            <w:r>
              <w:rPr>
                <w:rFonts w:hint="eastAsia"/>
                <w:color w:val="auto"/>
              </w:rPr>
              <w:t>。</w:t>
            </w:r>
          </w:p>
          <w:p>
            <w:pPr>
              <w:pStyle w:val="8"/>
              <w:keepNext/>
              <w:keepLines/>
              <w:pageBreakBefore w:val="0"/>
              <w:widowControl w:val="0"/>
              <w:numPr>
                <w:ilvl w:val="0"/>
                <w:numId w:val="0"/>
              </w:numPr>
              <w:kinsoku/>
              <w:wordWrap/>
              <w:overflowPunct/>
              <w:topLinePunct w:val="0"/>
              <w:autoSpaceDE/>
              <w:autoSpaceDN/>
              <w:bidi w:val="0"/>
              <w:adjustRightInd/>
              <w:snapToGrid/>
              <w:textAlignment w:val="auto"/>
              <w:rPr>
                <w:rFonts w:ascii="Times New Roman" w:hAnsi="Times New Roman"/>
              </w:rPr>
            </w:pPr>
            <w:r>
              <w:rPr>
                <w:rFonts w:ascii="Times New Roman" w:hAnsi="Times New Roman"/>
              </w:rPr>
              <w:t>1.</w:t>
            </w:r>
            <w:r>
              <w:rPr>
                <w:rFonts w:hint="eastAsia" w:ascii="Times New Roman" w:hAnsi="Times New Roman"/>
              </w:rPr>
              <w:t>1</w:t>
            </w:r>
            <w:r>
              <w:rPr>
                <w:rFonts w:ascii="Times New Roman" w:hAnsi="Times New Roman"/>
              </w:rPr>
              <w:t>.</w:t>
            </w:r>
            <w:r>
              <w:rPr>
                <w:rFonts w:hint="eastAsia" w:ascii="Times New Roman" w:hAnsi="Times New Roman"/>
              </w:rPr>
              <w:t>2与《大田县武陵乡大石村村庄规划（2019-2035）》符合性分析</w:t>
            </w:r>
          </w:p>
          <w:p>
            <w:pPr>
              <w:pStyle w:val="46"/>
              <w:spacing w:line="420" w:lineRule="atLeast"/>
              <w:rPr>
                <w:color w:val="auto"/>
              </w:rPr>
            </w:pPr>
            <w:r>
              <w:rPr>
                <w:rFonts w:hint="eastAsia"/>
                <w:color w:val="auto"/>
              </w:rPr>
              <w:t>项目厂址位于大田县武陵乡大石村的铸造集聚区，对照《大田县武陵乡大石村村庄规划（2019-2035）》，该项目用地范围位于大石村建设用地管制区中的城镇建设用地（见附图1</w:t>
            </w:r>
            <w:r>
              <w:rPr>
                <w:rFonts w:hint="eastAsia"/>
                <w:color w:val="auto"/>
                <w:lang w:val="en-US" w:eastAsia="zh-CN"/>
              </w:rPr>
              <w:t>3</w:t>
            </w:r>
            <w:r>
              <w:rPr>
                <w:rFonts w:hint="eastAsia"/>
                <w:color w:val="auto"/>
              </w:rPr>
              <w:t>）。根据大田县自然资源局开具的《大田县武陵乡大石村村庄规划局部图》（见附图1</w:t>
            </w:r>
            <w:r>
              <w:rPr>
                <w:rFonts w:hint="eastAsia"/>
                <w:color w:val="auto"/>
                <w:lang w:val="en-US" w:eastAsia="zh-CN"/>
              </w:rPr>
              <w:t>4</w:t>
            </w:r>
            <w:r>
              <w:rPr>
                <w:rFonts w:hint="eastAsia"/>
                <w:color w:val="auto"/>
              </w:rPr>
              <w:t>），项目用地位于城镇开发边界内，属于工业用地，不涉及永久基本农田和生态保护红线，地块为二类工业用地。因此，项目选址符合大石村村庄用地规划。</w:t>
            </w:r>
          </w:p>
          <w:p>
            <w:pPr>
              <w:pStyle w:val="46"/>
              <w:spacing w:after="120" w:afterLines="50"/>
              <w:rPr>
                <w:color w:val="auto"/>
              </w:rPr>
            </w:pPr>
            <w:r>
              <w:rPr>
                <w:rFonts w:hint="eastAsia"/>
                <w:color w:val="auto"/>
              </w:rPr>
              <w:t>综上分析，本项目选址符合《大田县武陵乡大石村村庄规划（2019-2035）》要求。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7" w:type="dxa"/>
            <w:vAlign w:val="center"/>
          </w:tcPr>
          <w:p>
            <w:pPr>
              <w:spacing w:line="400" w:lineRule="exact"/>
              <w:jc w:val="center"/>
              <w:rPr>
                <w:rFonts w:ascii="Times New Roman" w:hAnsi="Times New Roman"/>
                <w:kern w:val="0"/>
                <w:szCs w:val="21"/>
              </w:rPr>
            </w:pPr>
            <w:r>
              <w:rPr>
                <w:rFonts w:ascii="Times New Roman" w:hAnsi="Times New Roman"/>
                <w:kern w:val="0"/>
                <w:szCs w:val="21"/>
              </w:rPr>
              <w:t>其他符合性分析</w:t>
            </w:r>
          </w:p>
        </w:tc>
        <w:tc>
          <w:tcPr>
            <w:tcW w:w="8451" w:type="dxa"/>
            <w:gridSpan w:val="3"/>
            <w:vAlign w:val="center"/>
          </w:tcPr>
          <w:p>
            <w:pPr>
              <w:pStyle w:val="6"/>
              <w:ind w:left="311"/>
              <w:rPr>
                <w:color w:val="auto"/>
              </w:rPr>
            </w:pPr>
            <w:bookmarkStart w:id="3" w:name="_Toc83203071"/>
            <w:r>
              <w:rPr>
                <w:color w:val="auto"/>
              </w:rPr>
              <w:t>1.2其他符合性分析</w:t>
            </w:r>
            <w:bookmarkEnd w:id="3"/>
          </w:p>
          <w:p>
            <w:pPr>
              <w:pStyle w:val="8"/>
              <w:numPr>
                <w:ilvl w:val="0"/>
                <w:numId w:val="0"/>
              </w:numPr>
              <w:rPr>
                <w:rFonts w:ascii="Times New Roman" w:hAnsi="Times New Roman"/>
              </w:rPr>
            </w:pPr>
            <w:r>
              <w:rPr>
                <w:rFonts w:ascii="Times New Roman" w:hAnsi="Times New Roman"/>
              </w:rPr>
              <w:t>1.2.1三明市“三线一单”</w:t>
            </w:r>
            <w:r>
              <w:rPr>
                <w:rFonts w:hint="eastAsia" w:ascii="Times New Roman" w:hAnsi="Times New Roman"/>
              </w:rPr>
              <w:t>管控</w:t>
            </w:r>
            <w:r>
              <w:rPr>
                <w:rFonts w:ascii="Times New Roman" w:hAnsi="Times New Roman"/>
              </w:rPr>
              <w:t>要求符合性分析</w:t>
            </w:r>
          </w:p>
          <w:p>
            <w:pPr>
              <w:spacing w:line="440" w:lineRule="exact"/>
              <w:ind w:firstLine="480" w:firstLineChars="200"/>
              <w:rPr>
                <w:rFonts w:ascii="Times New Roman" w:hAnsi="Times New Roman"/>
                <w:kern w:val="0"/>
                <w:szCs w:val="21"/>
              </w:rPr>
            </w:pPr>
            <w:r>
              <w:rPr>
                <w:rFonts w:ascii="Times New Roman" w:hAnsi="Times New Roman"/>
                <w:kern w:val="0"/>
                <w:szCs w:val="21"/>
              </w:rPr>
              <w:t>项目建设符合《三明市人民政府关于印发三明市“三线一单”生态环境分区管控方案的通知》（明政〔2021〕4号）中的</w:t>
            </w:r>
            <w:r>
              <w:rPr>
                <w:rFonts w:hint="eastAsia" w:ascii="Times New Roman" w:hAnsi="Times New Roman"/>
                <w:kern w:val="0"/>
                <w:szCs w:val="21"/>
              </w:rPr>
              <w:t>管控</w:t>
            </w:r>
            <w:r>
              <w:rPr>
                <w:rFonts w:ascii="Times New Roman" w:hAnsi="Times New Roman"/>
                <w:kern w:val="0"/>
                <w:szCs w:val="21"/>
              </w:rPr>
              <w:t>要求，具体分析如下</w:t>
            </w:r>
            <w:r>
              <w:rPr>
                <w:rFonts w:hint="eastAsia" w:ascii="Times New Roman" w:hAnsi="Times New Roman"/>
                <w:kern w:val="0"/>
                <w:szCs w:val="21"/>
              </w:rPr>
              <w:t>：</w:t>
            </w:r>
          </w:p>
          <w:p>
            <w:pPr>
              <w:pStyle w:val="9"/>
              <w:numPr>
                <w:ilvl w:val="3"/>
                <w:numId w:val="0"/>
              </w:numPr>
              <w:spacing w:line="440" w:lineRule="exact"/>
              <w:rPr>
                <w:rFonts w:ascii="Times New Roman" w:hAnsi="Times New Roman"/>
              </w:rPr>
            </w:pPr>
            <w:r>
              <w:rPr>
                <w:rFonts w:ascii="Times New Roman" w:hAnsi="Times New Roman"/>
              </w:rPr>
              <w:t>1.2.1.1生态保护红线</w:t>
            </w:r>
          </w:p>
          <w:p>
            <w:pPr>
              <w:spacing w:line="440" w:lineRule="exact"/>
              <w:ind w:firstLine="480" w:firstLineChars="200"/>
              <w:rPr>
                <w:rFonts w:ascii="Times New Roman" w:hAnsi="Times New Roman"/>
                <w:szCs w:val="22"/>
              </w:rPr>
            </w:pPr>
            <w:r>
              <w:rPr>
                <w:rFonts w:ascii="Times New Roman" w:hAnsi="Times New Roman"/>
                <w:kern w:val="0"/>
                <w:szCs w:val="21"/>
              </w:rPr>
              <w:t>项目位于三明市大田县</w:t>
            </w:r>
            <w:r>
              <w:rPr>
                <w:rFonts w:hint="eastAsia" w:ascii="Times New Roman" w:hAnsi="Times New Roman"/>
                <w:kern w:val="0"/>
                <w:szCs w:val="21"/>
              </w:rPr>
              <w:t>武陵乡大石村</w:t>
            </w:r>
            <w:r>
              <w:rPr>
                <w:rFonts w:ascii="Times New Roman" w:hAnsi="Times New Roman"/>
                <w:kern w:val="0"/>
                <w:szCs w:val="21"/>
              </w:rPr>
              <w:t>，项目选址不涉及自然保护区、饮用水源保护区、风景名胜区、重要湿地、生态公益林、重要自然与人文景观、文物古迹及其他需要特别保护的区域，项目选址符合生态保护红线要求</w:t>
            </w:r>
            <w:r>
              <w:rPr>
                <w:rFonts w:ascii="Times New Roman" w:hAnsi="Times New Roman"/>
                <w:szCs w:val="22"/>
              </w:rPr>
              <w:t>。</w:t>
            </w:r>
          </w:p>
          <w:p>
            <w:pPr>
              <w:pStyle w:val="9"/>
              <w:numPr>
                <w:ilvl w:val="3"/>
                <w:numId w:val="0"/>
              </w:numPr>
              <w:spacing w:line="440" w:lineRule="exact"/>
              <w:rPr>
                <w:rFonts w:ascii="Times New Roman" w:hAnsi="Times New Roman"/>
              </w:rPr>
            </w:pPr>
            <w:r>
              <w:rPr>
                <w:rFonts w:ascii="Times New Roman" w:hAnsi="Times New Roman"/>
              </w:rPr>
              <w:t>1.2.1.2环境质量底线</w:t>
            </w:r>
          </w:p>
          <w:p>
            <w:pPr>
              <w:spacing w:line="440" w:lineRule="exact"/>
              <w:ind w:firstLine="480" w:firstLineChars="200"/>
              <w:rPr>
                <w:rFonts w:ascii="Times New Roman" w:hAnsi="Times New Roman"/>
                <w:kern w:val="0"/>
                <w:szCs w:val="21"/>
              </w:rPr>
            </w:pPr>
            <w:r>
              <w:rPr>
                <w:rFonts w:ascii="Times New Roman" w:hAnsi="Times New Roman"/>
                <w:kern w:val="0"/>
                <w:szCs w:val="21"/>
              </w:rPr>
              <w:t>本项目所在区域的环境质量底线为：环境空气质量目标为《环境空气质量标准》（GB3095-2012）二级标准；水环境质量目标为《地表水环境质量标准》（GB3838-2002）Ⅲ类水质标准；区域声环境质量目标为《声环境质量标准》（GB3096-2008）</w:t>
            </w:r>
            <w:r>
              <w:rPr>
                <w:rFonts w:hint="eastAsia" w:ascii="Times New Roman" w:hAnsi="Times New Roman"/>
                <w:kern w:val="0"/>
                <w:szCs w:val="21"/>
              </w:rPr>
              <w:t>2</w:t>
            </w:r>
            <w:r>
              <w:rPr>
                <w:rFonts w:ascii="Times New Roman" w:hAnsi="Times New Roman"/>
                <w:kern w:val="0"/>
                <w:szCs w:val="21"/>
              </w:rPr>
              <w:t>类标准。</w:t>
            </w:r>
          </w:p>
          <w:p>
            <w:pPr>
              <w:spacing w:line="440" w:lineRule="exact"/>
              <w:ind w:firstLine="480" w:firstLineChars="200"/>
              <w:rPr>
                <w:rFonts w:ascii="Times New Roman" w:hAnsi="Times New Roman"/>
                <w:szCs w:val="22"/>
              </w:rPr>
            </w:pPr>
            <w:r>
              <w:rPr>
                <w:rFonts w:ascii="Times New Roman" w:hAnsi="Times New Roman"/>
                <w:kern w:val="0"/>
                <w:szCs w:val="21"/>
              </w:rPr>
              <w:t>本项目</w:t>
            </w:r>
            <w:r>
              <w:rPr>
                <w:rFonts w:hint="eastAsia" w:ascii="Times New Roman" w:hAnsi="Times New Roman"/>
                <w:kern w:val="0"/>
                <w:szCs w:val="21"/>
              </w:rPr>
              <w:t>生产废水经“隔油池+沉淀池”处理后全部回用于生产，不外排。生活污水经地埋式生活污水处理设施处理后用于周边山林地灌溉，</w:t>
            </w:r>
            <w:r>
              <w:rPr>
                <w:rFonts w:ascii="Times New Roman" w:hAnsi="Times New Roman"/>
                <w:kern w:val="0"/>
                <w:szCs w:val="21"/>
              </w:rPr>
              <w:t>对区域水环境</w:t>
            </w:r>
            <w:r>
              <w:rPr>
                <w:rFonts w:hint="eastAsia" w:ascii="Times New Roman" w:hAnsi="Times New Roman"/>
                <w:kern w:val="0"/>
                <w:szCs w:val="21"/>
              </w:rPr>
              <w:t>影响小</w:t>
            </w:r>
            <w:r>
              <w:rPr>
                <w:rFonts w:ascii="Times New Roman" w:hAnsi="Times New Roman"/>
                <w:kern w:val="0"/>
                <w:szCs w:val="21"/>
              </w:rPr>
              <w:t>；生产废气</w:t>
            </w:r>
            <w:r>
              <w:rPr>
                <w:rFonts w:hint="eastAsia" w:ascii="Times New Roman" w:hAnsi="Times New Roman"/>
                <w:kern w:val="0"/>
                <w:szCs w:val="21"/>
              </w:rPr>
              <w:t>主要为堆场扬尘、破碎、筛分粉尘及车辆运输扬尘等，</w:t>
            </w:r>
            <w:r>
              <w:rPr>
                <w:rFonts w:ascii="Times New Roman" w:hAnsi="Times New Roman"/>
                <w:kern w:val="0"/>
                <w:szCs w:val="21"/>
              </w:rPr>
              <w:t>不涉及有毒有害大气污染物，在落实废气</w:t>
            </w:r>
            <w:r>
              <w:rPr>
                <w:rFonts w:hint="eastAsia" w:ascii="Times New Roman" w:hAnsi="Times New Roman"/>
                <w:kern w:val="0"/>
                <w:szCs w:val="21"/>
              </w:rPr>
              <w:t>污染</w:t>
            </w:r>
            <w:r>
              <w:rPr>
                <w:rFonts w:ascii="Times New Roman" w:hAnsi="Times New Roman"/>
                <w:kern w:val="0"/>
                <w:szCs w:val="21"/>
              </w:rPr>
              <w:t>控制措施、确保达标排放的前提下，对区域大气环境质量影响较小；采取低噪设备、隔声</w:t>
            </w:r>
            <w:r>
              <w:rPr>
                <w:rFonts w:hint="eastAsia" w:ascii="Times New Roman" w:hAnsi="Times New Roman"/>
                <w:kern w:val="0"/>
                <w:szCs w:val="21"/>
              </w:rPr>
              <w:t>减振</w:t>
            </w:r>
            <w:r>
              <w:rPr>
                <w:rFonts w:ascii="Times New Roman" w:hAnsi="Times New Roman"/>
                <w:kern w:val="0"/>
                <w:szCs w:val="21"/>
              </w:rPr>
              <w:t>等降噪措施后可实现厂界噪声达标排放；各项固体废物均可得到综合利用或妥善处置</w:t>
            </w:r>
            <w:r>
              <w:rPr>
                <w:rFonts w:ascii="Times New Roman" w:hAnsi="Times New Roman"/>
                <w:szCs w:val="22"/>
              </w:rPr>
              <w:t>。</w:t>
            </w:r>
            <w:r>
              <w:rPr>
                <w:rFonts w:ascii="Times New Roman" w:hAnsi="Times New Roman"/>
                <w:kern w:val="0"/>
                <w:szCs w:val="21"/>
              </w:rPr>
              <w:t>落实本环评提出的各项环保措施后，本项目各污染物均可达标排放，对区域环境质量</w:t>
            </w:r>
            <w:r>
              <w:rPr>
                <w:rFonts w:hint="eastAsia" w:ascii="Times New Roman" w:hAnsi="Times New Roman"/>
                <w:kern w:val="0"/>
                <w:szCs w:val="21"/>
              </w:rPr>
              <w:t>影响</w:t>
            </w:r>
            <w:r>
              <w:rPr>
                <w:rFonts w:ascii="Times New Roman" w:hAnsi="Times New Roman"/>
                <w:kern w:val="0"/>
                <w:szCs w:val="21"/>
              </w:rPr>
              <w:t>较小，不会对区域环境质量底线造成冲击。</w:t>
            </w:r>
          </w:p>
          <w:p>
            <w:pPr>
              <w:pStyle w:val="9"/>
              <w:numPr>
                <w:ilvl w:val="3"/>
                <w:numId w:val="0"/>
              </w:numPr>
              <w:spacing w:line="440" w:lineRule="exact"/>
              <w:rPr>
                <w:rFonts w:ascii="Times New Roman" w:hAnsi="Times New Roman"/>
              </w:rPr>
            </w:pPr>
            <w:r>
              <w:rPr>
                <w:rFonts w:ascii="Times New Roman" w:hAnsi="Times New Roman"/>
              </w:rPr>
              <w:t>1.2.1.3资源利用上线</w:t>
            </w:r>
          </w:p>
          <w:p>
            <w:pPr>
              <w:spacing w:line="440" w:lineRule="exact"/>
              <w:ind w:firstLine="480" w:firstLineChars="200"/>
              <w:rPr>
                <w:rFonts w:ascii="Times New Roman" w:hAnsi="Times New Roman"/>
              </w:rPr>
            </w:pPr>
            <w:r>
              <w:rPr>
                <w:rFonts w:ascii="Times New Roman" w:hAnsi="Times New Roman"/>
                <w:kern w:val="0"/>
                <w:szCs w:val="21"/>
              </w:rPr>
              <w:t>本项目用电由大田县</w:t>
            </w:r>
            <w:r>
              <w:rPr>
                <w:rFonts w:hint="eastAsia" w:ascii="Times New Roman" w:hAnsi="Times New Roman"/>
                <w:kern w:val="0"/>
                <w:szCs w:val="21"/>
              </w:rPr>
              <w:t>武陵乡</w:t>
            </w:r>
            <w:r>
              <w:rPr>
                <w:rFonts w:ascii="Times New Roman" w:hAnsi="Times New Roman"/>
                <w:kern w:val="0"/>
                <w:szCs w:val="21"/>
              </w:rPr>
              <w:t>供电系统提供，</w:t>
            </w:r>
            <w:r>
              <w:rPr>
                <w:rFonts w:ascii="Times New Roman" w:hAnsi="Times New Roman"/>
              </w:rPr>
              <w:t>年用电量约</w:t>
            </w:r>
            <w:r>
              <w:rPr>
                <w:rFonts w:hint="eastAsia" w:ascii="Times New Roman" w:hAnsi="Times New Roman"/>
              </w:rPr>
              <w:t>25</w:t>
            </w:r>
            <w:r>
              <w:rPr>
                <w:rFonts w:ascii="Times New Roman" w:hAnsi="Times New Roman"/>
              </w:rPr>
              <w:t>万kwh；</w:t>
            </w:r>
            <w:r>
              <w:rPr>
                <w:rFonts w:ascii="Times New Roman" w:hAnsi="Times New Roman"/>
                <w:kern w:val="0"/>
                <w:szCs w:val="21"/>
              </w:rPr>
              <w:t>用水取自</w:t>
            </w:r>
            <w:r>
              <w:rPr>
                <w:rFonts w:hint="eastAsia" w:ascii="Times New Roman" w:hAnsi="Times New Roman"/>
                <w:kern w:val="0"/>
                <w:szCs w:val="21"/>
              </w:rPr>
              <w:t>山泉水</w:t>
            </w:r>
            <w:r>
              <w:rPr>
                <w:rFonts w:ascii="Times New Roman" w:hAnsi="Times New Roman"/>
                <w:kern w:val="0"/>
                <w:szCs w:val="21"/>
              </w:rPr>
              <w:t>，年用水量约为</w:t>
            </w:r>
            <w:r>
              <w:rPr>
                <w:rFonts w:hint="eastAsia" w:ascii="Times New Roman" w:hAnsi="Times New Roman"/>
                <w:kern w:val="0"/>
                <w:szCs w:val="21"/>
              </w:rPr>
              <w:t>6078</w:t>
            </w:r>
            <w:r>
              <w:rPr>
                <w:rFonts w:ascii="Times New Roman" w:hAnsi="Times New Roman"/>
                <w:kern w:val="0"/>
                <w:szCs w:val="21"/>
              </w:rPr>
              <w:t>t。项目运行过程通过内部管理、设备选择、原辅材料的选用和管理、废物回收利用、污染治理等多方面采取合理可行的防治措施，以“节能、降耗、减污”为目标，有效的控制污染。项目用水用电量均较小，水、电等资源利用不会突破区域的资源利用上线</w:t>
            </w:r>
            <w:r>
              <w:rPr>
                <w:rFonts w:ascii="Times New Roman" w:hAnsi="Times New Roman"/>
                <w:szCs w:val="22"/>
              </w:rPr>
              <w:t>。</w:t>
            </w:r>
          </w:p>
          <w:p>
            <w:pPr>
              <w:pStyle w:val="9"/>
              <w:numPr>
                <w:ilvl w:val="3"/>
                <w:numId w:val="0"/>
              </w:numPr>
              <w:spacing w:line="440" w:lineRule="exact"/>
              <w:rPr>
                <w:rFonts w:ascii="Times New Roman" w:hAnsi="Times New Roman"/>
              </w:rPr>
            </w:pPr>
            <w:r>
              <w:rPr>
                <w:rFonts w:ascii="Times New Roman" w:hAnsi="Times New Roman"/>
              </w:rPr>
              <w:t>1.2.1.4生态环境准入清单</w:t>
            </w:r>
          </w:p>
          <w:p>
            <w:pPr>
              <w:numPr>
                <w:ilvl w:val="0"/>
                <w:numId w:val="5"/>
              </w:numPr>
              <w:spacing w:line="440" w:lineRule="exact"/>
              <w:ind w:firstLine="481" w:firstLineChars="200"/>
              <w:rPr>
                <w:rFonts w:ascii="Times New Roman" w:hAnsi="Times New Roman" w:eastAsiaTheme="minorEastAsia"/>
                <w:b/>
                <w:bCs/>
              </w:rPr>
            </w:pPr>
            <w:r>
              <w:rPr>
                <w:rFonts w:ascii="Times New Roman" w:hAnsi="Times New Roman" w:eastAsiaTheme="minorEastAsia"/>
                <w:b/>
                <w:bCs/>
              </w:rPr>
              <w:t>与三明市生态环境准入要求符合性分析</w:t>
            </w:r>
          </w:p>
          <w:p>
            <w:pPr>
              <w:spacing w:line="440" w:lineRule="exact"/>
              <w:ind w:firstLine="480" w:firstLineChars="200"/>
              <w:rPr>
                <w:rFonts w:ascii="Times New Roman" w:hAnsi="Times New Roman"/>
                <w:kern w:val="0"/>
                <w:szCs w:val="21"/>
              </w:rPr>
            </w:pPr>
            <w:r>
              <w:rPr>
                <w:rFonts w:ascii="Times New Roman" w:hAnsi="Times New Roman"/>
                <w:kern w:val="0"/>
                <w:szCs w:val="21"/>
              </w:rPr>
              <w:t>根据《三明市“三线一单”生态环境分区管控方案》（明政〔2021〕4号），本项目与三明市“三线一单”总体管控要求的符合性分析如下表所示：</w:t>
            </w:r>
          </w:p>
          <w:p>
            <w:pPr>
              <w:pStyle w:val="34"/>
              <w:spacing w:before="120"/>
              <w:ind w:firstLine="422"/>
              <w:rPr>
                <w:rFonts w:ascii="Times New Roman" w:hAnsi="Times New Roman"/>
                <w:b/>
                <w:bCs/>
                <w:sz w:val="21"/>
                <w:szCs w:val="21"/>
              </w:rPr>
            </w:pPr>
            <w:bookmarkStart w:id="4" w:name="_Ref100154861"/>
            <w:r>
              <w:rPr>
                <w:rFonts w:ascii="Times New Roman" w:hAnsi="Times New Roman"/>
                <w:b/>
                <w:bCs/>
                <w:sz w:val="21"/>
                <w:szCs w:val="21"/>
              </w:rPr>
              <w:t>表1.2-1 项目与三明市“三线一单”管控要求的符合性分析</w:t>
            </w:r>
            <w:bookmarkEnd w:id="4"/>
          </w:p>
          <w:tbl>
            <w:tblPr>
              <w:tblStyle w:val="25"/>
              <w:tblW w:w="8235"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
            <w:tblGrid>
              <w:gridCol w:w="276"/>
              <w:gridCol w:w="392"/>
              <w:gridCol w:w="5338"/>
              <w:gridCol w:w="1600"/>
              <w:gridCol w:w="629"/>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697" w:hRule="atLeast"/>
                <w:tblHeader/>
                <w:jc w:val="center"/>
              </w:trPr>
              <w:tc>
                <w:tcPr>
                  <w:tcW w:w="6006" w:type="dxa"/>
                  <w:gridSpan w:val="3"/>
                  <w:tcMar>
                    <w:left w:w="28" w:type="dxa"/>
                    <w:right w:w="28" w:type="dxa"/>
                  </w:tcMar>
                  <w:vAlign w:val="center"/>
                </w:tcPr>
                <w:p>
                  <w:pPr>
                    <w:spacing w:line="240" w:lineRule="exact"/>
                    <w:jc w:val="center"/>
                    <w:rPr>
                      <w:rFonts w:ascii="Times New Roman" w:hAnsi="Times New Roman" w:eastAsiaTheme="minorEastAsia"/>
                      <w:b/>
                      <w:bCs/>
                      <w:sz w:val="18"/>
                      <w:szCs w:val="18"/>
                    </w:rPr>
                  </w:pPr>
                  <w:r>
                    <w:rPr>
                      <w:rFonts w:ascii="Times New Roman" w:hAnsi="Times New Roman" w:eastAsiaTheme="minorEastAsia"/>
                      <w:b/>
                      <w:bCs/>
                      <w:sz w:val="18"/>
                      <w:szCs w:val="18"/>
                    </w:rPr>
                    <w:t>准入/管控要求</w:t>
                  </w:r>
                </w:p>
              </w:tc>
              <w:tc>
                <w:tcPr>
                  <w:tcW w:w="1600" w:type="dxa"/>
                  <w:tcMar>
                    <w:left w:w="28" w:type="dxa"/>
                    <w:right w:w="28" w:type="dxa"/>
                  </w:tcMar>
                  <w:vAlign w:val="center"/>
                </w:tcPr>
                <w:p>
                  <w:pPr>
                    <w:spacing w:line="240" w:lineRule="exact"/>
                    <w:jc w:val="center"/>
                    <w:rPr>
                      <w:rFonts w:ascii="Times New Roman" w:hAnsi="Times New Roman" w:eastAsiaTheme="minorEastAsia"/>
                      <w:b/>
                      <w:bCs/>
                      <w:sz w:val="18"/>
                      <w:szCs w:val="18"/>
                    </w:rPr>
                  </w:pPr>
                  <w:r>
                    <w:rPr>
                      <w:rFonts w:ascii="Times New Roman" w:hAnsi="Times New Roman" w:eastAsiaTheme="minorEastAsia"/>
                      <w:b/>
                      <w:bCs/>
                      <w:sz w:val="18"/>
                      <w:szCs w:val="18"/>
                    </w:rPr>
                    <w:t>本项目情况</w:t>
                  </w:r>
                </w:p>
              </w:tc>
              <w:tc>
                <w:tcPr>
                  <w:tcW w:w="629" w:type="dxa"/>
                  <w:tcMar>
                    <w:left w:w="28" w:type="dxa"/>
                    <w:right w:w="28" w:type="dxa"/>
                  </w:tcMar>
                  <w:vAlign w:val="center"/>
                </w:tcPr>
                <w:p>
                  <w:pPr>
                    <w:spacing w:line="240" w:lineRule="exact"/>
                    <w:jc w:val="center"/>
                    <w:rPr>
                      <w:rFonts w:ascii="Times New Roman" w:hAnsi="Times New Roman" w:eastAsiaTheme="minorEastAsia"/>
                      <w:b/>
                      <w:bCs/>
                      <w:sz w:val="18"/>
                      <w:szCs w:val="18"/>
                    </w:rPr>
                  </w:pPr>
                  <w:r>
                    <w:rPr>
                      <w:rFonts w:ascii="Times New Roman" w:hAnsi="Times New Roman" w:eastAsiaTheme="minorEastAsia"/>
                      <w:b/>
                      <w:bCs/>
                      <w:sz w:val="18"/>
                      <w:szCs w:val="18"/>
                    </w:rPr>
                    <w:t>符合性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4897" w:hRule="atLeast"/>
                <w:tblHeader/>
                <w:jc w:val="center"/>
              </w:trPr>
              <w:tc>
                <w:tcPr>
                  <w:tcW w:w="276" w:type="dxa"/>
                  <w:vMerge w:val="restart"/>
                  <w:tcMar>
                    <w:left w:w="28" w:type="dxa"/>
                    <w:right w:w="28" w:type="dxa"/>
                  </w:tcMar>
                  <w:vAlign w:val="center"/>
                </w:tcPr>
                <w:p>
                  <w:pPr>
                    <w:spacing w:line="240" w:lineRule="exact"/>
                    <w:jc w:val="center"/>
                    <w:rPr>
                      <w:rFonts w:ascii="Times New Roman" w:hAnsi="Times New Roman" w:eastAsiaTheme="minorEastAsia"/>
                      <w:spacing w:val="-2"/>
                      <w:sz w:val="18"/>
                      <w:szCs w:val="18"/>
                    </w:rPr>
                  </w:pPr>
                  <w:r>
                    <w:rPr>
                      <w:rFonts w:ascii="Times New Roman" w:hAnsi="Times New Roman" w:eastAsiaTheme="minorEastAsia"/>
                      <w:spacing w:val="-2"/>
                      <w:sz w:val="18"/>
                      <w:szCs w:val="18"/>
                    </w:rPr>
                    <w:t>三明市总体要求</w:t>
                  </w:r>
                </w:p>
              </w:tc>
              <w:tc>
                <w:tcPr>
                  <w:tcW w:w="392" w:type="dxa"/>
                  <w:vAlign w:val="center"/>
                </w:tcPr>
                <w:p>
                  <w:pPr>
                    <w:spacing w:line="240" w:lineRule="exact"/>
                    <w:jc w:val="center"/>
                    <w:rPr>
                      <w:rFonts w:ascii="Times New Roman" w:hAnsi="Times New Roman" w:eastAsiaTheme="minorEastAsia"/>
                      <w:spacing w:val="-2"/>
                      <w:sz w:val="18"/>
                      <w:szCs w:val="18"/>
                    </w:rPr>
                  </w:pPr>
                  <w:r>
                    <w:rPr>
                      <w:rFonts w:ascii="Times New Roman" w:hAnsi="Times New Roman" w:eastAsiaTheme="minorEastAsia"/>
                      <w:spacing w:val="-2"/>
                      <w:sz w:val="18"/>
                      <w:szCs w:val="18"/>
                    </w:rPr>
                    <w:t>空间布局约束</w:t>
                  </w:r>
                </w:p>
              </w:tc>
              <w:tc>
                <w:tcPr>
                  <w:tcW w:w="5338" w:type="dxa"/>
                  <w:tcBorders>
                    <w:right w:val="single" w:color="auto" w:sz="2" w:space="0"/>
                  </w:tcBorders>
                  <w:tcMar>
                    <w:left w:w="28" w:type="dxa"/>
                    <w:right w:w="28" w:type="dxa"/>
                  </w:tcMar>
                  <w:vAlign w:val="center"/>
                </w:tcPr>
                <w:p>
                  <w:pPr>
                    <w:adjustRightInd w:val="0"/>
                    <w:snapToGrid w:val="0"/>
                    <w:spacing w:line="240" w:lineRule="exact"/>
                    <w:rPr>
                      <w:rFonts w:ascii="Times New Roman" w:hAnsi="Times New Roman"/>
                      <w:sz w:val="18"/>
                      <w:szCs w:val="18"/>
                    </w:rPr>
                  </w:pPr>
                  <w:r>
                    <w:rPr>
                      <w:rFonts w:ascii="Times New Roman" w:hAnsi="Times New Roman"/>
                      <w:sz w:val="18"/>
                      <w:szCs w:val="18"/>
                    </w:rPr>
                    <w:t>1.氟化工产业应集中布局在三明市的吉口、黄砂、明溪、清流等符合产业布局的园区，在上述园区之外不再新建氟化工项目，园区之外现有氟化工项目不再扩大规模。</w:t>
                  </w:r>
                </w:p>
                <w:p>
                  <w:pPr>
                    <w:adjustRightInd w:val="0"/>
                    <w:snapToGrid w:val="0"/>
                    <w:spacing w:line="240" w:lineRule="exact"/>
                    <w:rPr>
                      <w:rFonts w:ascii="Times New Roman" w:hAnsi="Times New Roman"/>
                      <w:bCs/>
                      <w:sz w:val="18"/>
                      <w:szCs w:val="18"/>
                    </w:rPr>
                  </w:pPr>
                  <w:r>
                    <w:rPr>
                      <w:rFonts w:ascii="Times New Roman" w:hAnsi="Times New Roman"/>
                      <w:sz w:val="18"/>
                      <w:szCs w:val="18"/>
                    </w:rPr>
                    <w:t>2.全市流域范围禁止新、扩建</w:t>
                  </w:r>
                  <w:r>
                    <w:rPr>
                      <w:rFonts w:ascii="Times New Roman" w:hAnsi="Times New Roman"/>
                      <w:bCs/>
                      <w:sz w:val="18"/>
                      <w:szCs w:val="18"/>
                    </w:rPr>
                    <w:t>制革项目，严控新（扩）建植物制浆、印染项目。</w:t>
                  </w:r>
                </w:p>
                <w:p>
                  <w:pPr>
                    <w:adjustRightInd w:val="0"/>
                    <w:snapToGrid w:val="0"/>
                    <w:spacing w:line="240" w:lineRule="exact"/>
                    <w:rPr>
                      <w:rFonts w:ascii="Times New Roman" w:hAnsi="Times New Roman"/>
                      <w:sz w:val="18"/>
                      <w:szCs w:val="18"/>
                    </w:rPr>
                  </w:pPr>
                  <w:r>
                    <w:rPr>
                      <w:rFonts w:ascii="Times New Roman" w:hAnsi="Times New Roman"/>
                      <w:sz w:val="18"/>
                      <w:szCs w:val="18"/>
                    </w:rPr>
                    <w:t>3.推进工业园区标准化创建，加快园区雨污水管系统、污水集中处理设施建设改造。高新技术开发区要严控高污染、高耗水、高排放企业入驻。省级以下工业园区要加快完善污水集中处理设施，实现污水集中处理，达标排放；尚未入驻企业的要同步规划建设污水集中处理设施，确保入驻工业企业投产前同步建成运行污水集中处理设施。</w:t>
                  </w:r>
                </w:p>
                <w:p>
                  <w:pPr>
                    <w:spacing w:line="240" w:lineRule="exact"/>
                    <w:rPr>
                      <w:rFonts w:ascii="Times New Roman" w:hAnsi="Times New Roman" w:eastAsiaTheme="minorEastAsia"/>
                      <w:spacing w:val="-2"/>
                      <w:sz w:val="18"/>
                      <w:szCs w:val="18"/>
                    </w:rPr>
                  </w:pPr>
                  <w:r>
                    <w:rPr>
                      <w:rFonts w:ascii="Times New Roman" w:hAnsi="Times New Roman"/>
                      <w:sz w:val="18"/>
                      <w:szCs w:val="18"/>
                    </w:rPr>
                    <w:t>4.严格控制氟化工行业低水平扩张，三明吉口循环经济产业园（除拟建的三化 5 万吨氢氟酸生产项目外）、黄砂新材料循环经济产业园、明溪县工业集中区、清流县氟新材料产业园原则上不再新建氢氟酸（企业下游深加工产品配套自用、电子级除外）、初级氟盐等产品项目；禁止建设非自用氯氟烃项目。清流县氟新材料产业园不再新增非原料自用的硫酸生产装置。</w:t>
                  </w:r>
                </w:p>
              </w:tc>
              <w:tc>
                <w:tcPr>
                  <w:tcW w:w="1600" w:type="dxa"/>
                  <w:tcMar>
                    <w:left w:w="28" w:type="dxa"/>
                    <w:right w:w="28" w:type="dxa"/>
                  </w:tcMar>
                  <w:vAlign w:val="center"/>
                </w:tcPr>
                <w:p>
                  <w:pPr>
                    <w:spacing w:line="240" w:lineRule="exact"/>
                    <w:rPr>
                      <w:rFonts w:ascii="Times New Roman" w:hAnsi="Times New Roman" w:eastAsiaTheme="minorEastAsia"/>
                      <w:sz w:val="18"/>
                      <w:szCs w:val="18"/>
                    </w:rPr>
                  </w:pPr>
                  <w:r>
                    <w:rPr>
                      <w:rFonts w:ascii="Times New Roman" w:hAnsi="Times New Roman"/>
                      <w:sz w:val="18"/>
                      <w:szCs w:val="18"/>
                    </w:rPr>
                    <w:t>本项目为</w:t>
                  </w:r>
                  <w:r>
                    <w:rPr>
                      <w:rFonts w:hint="eastAsia" w:ascii="Times New Roman" w:hAnsi="Times New Roman"/>
                      <w:sz w:val="18"/>
                      <w:szCs w:val="18"/>
                    </w:rPr>
                    <w:t>废弃资源综合利用项目</w:t>
                  </w:r>
                  <w:r>
                    <w:rPr>
                      <w:rFonts w:ascii="Times New Roman" w:hAnsi="Times New Roman"/>
                      <w:sz w:val="18"/>
                      <w:szCs w:val="18"/>
                    </w:rPr>
                    <w:t>，</w:t>
                  </w:r>
                  <w:r>
                    <w:rPr>
                      <w:rFonts w:hint="eastAsia" w:ascii="Times New Roman" w:hAnsi="Times New Roman"/>
                      <w:sz w:val="18"/>
                      <w:szCs w:val="18"/>
                    </w:rPr>
                    <w:t>不属于氟化工产业，不属于制革、制浆、印染项目；项目位于铸造集聚区，生产废水经“隔油池+沉淀池”处理后全部回用不外排</w:t>
                  </w:r>
                </w:p>
              </w:tc>
              <w:tc>
                <w:tcPr>
                  <w:tcW w:w="629" w:type="dxa"/>
                  <w:tcMar>
                    <w:left w:w="28" w:type="dxa"/>
                    <w:right w:w="28" w:type="dxa"/>
                  </w:tcMar>
                  <w:vAlign w:val="center"/>
                </w:tcPr>
                <w:p>
                  <w:pPr>
                    <w:spacing w:line="240" w:lineRule="exact"/>
                    <w:jc w:val="center"/>
                    <w:rPr>
                      <w:rFonts w:ascii="Times New Roman" w:hAnsi="Times New Roman" w:eastAsiaTheme="minorEastAsia"/>
                      <w:sz w:val="18"/>
                      <w:szCs w:val="18"/>
                    </w:rPr>
                  </w:pPr>
                  <w:r>
                    <w:rPr>
                      <w:rFonts w:ascii="Times New Roman" w:hAnsi="Times New Roman" w:eastAsiaTheme="minorEastAsia"/>
                      <w:sz w:val="18"/>
                      <w:szCs w:val="18"/>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517" w:hRule="atLeast"/>
                <w:tblHeader/>
                <w:jc w:val="center"/>
              </w:trPr>
              <w:tc>
                <w:tcPr>
                  <w:tcW w:w="276" w:type="dxa"/>
                  <w:vMerge w:val="continue"/>
                  <w:tcMar>
                    <w:left w:w="28" w:type="dxa"/>
                    <w:right w:w="28" w:type="dxa"/>
                  </w:tcMar>
                  <w:vAlign w:val="center"/>
                </w:tcPr>
                <w:p>
                  <w:pPr>
                    <w:spacing w:line="240" w:lineRule="exact"/>
                    <w:jc w:val="center"/>
                    <w:rPr>
                      <w:rFonts w:ascii="Times New Roman" w:hAnsi="Times New Roman" w:eastAsiaTheme="minorEastAsia"/>
                      <w:spacing w:val="-2"/>
                      <w:sz w:val="18"/>
                      <w:szCs w:val="18"/>
                    </w:rPr>
                  </w:pPr>
                </w:p>
              </w:tc>
              <w:tc>
                <w:tcPr>
                  <w:tcW w:w="5730" w:type="dxa"/>
                  <w:gridSpan w:val="2"/>
                  <w:tcBorders>
                    <w:right w:val="single" w:color="auto" w:sz="2" w:space="0"/>
                  </w:tcBorders>
                  <w:vAlign w:val="center"/>
                </w:tcPr>
                <w:p>
                  <w:pPr>
                    <w:spacing w:line="240" w:lineRule="exact"/>
                    <w:jc w:val="center"/>
                    <w:rPr>
                      <w:rFonts w:ascii="Times New Roman" w:hAnsi="Times New Roman" w:eastAsiaTheme="minorEastAsia"/>
                      <w:b/>
                      <w:bCs/>
                      <w:sz w:val="18"/>
                      <w:szCs w:val="18"/>
                    </w:rPr>
                  </w:pPr>
                  <w:r>
                    <w:rPr>
                      <w:rFonts w:ascii="Times New Roman" w:hAnsi="Times New Roman" w:eastAsiaTheme="minorEastAsia"/>
                      <w:b/>
                      <w:bCs/>
                      <w:sz w:val="18"/>
                      <w:szCs w:val="18"/>
                    </w:rPr>
                    <w:t>准入/管控要求</w:t>
                  </w:r>
                </w:p>
              </w:tc>
              <w:tc>
                <w:tcPr>
                  <w:tcW w:w="1600" w:type="dxa"/>
                  <w:tcMar>
                    <w:left w:w="28" w:type="dxa"/>
                    <w:right w:w="28" w:type="dxa"/>
                  </w:tcMar>
                  <w:vAlign w:val="center"/>
                </w:tcPr>
                <w:p>
                  <w:pPr>
                    <w:spacing w:line="240" w:lineRule="exact"/>
                    <w:jc w:val="center"/>
                    <w:rPr>
                      <w:rFonts w:ascii="Times New Roman" w:hAnsi="Times New Roman" w:eastAsiaTheme="minorEastAsia"/>
                      <w:b/>
                      <w:bCs/>
                      <w:sz w:val="18"/>
                      <w:szCs w:val="18"/>
                    </w:rPr>
                  </w:pPr>
                  <w:r>
                    <w:rPr>
                      <w:rFonts w:ascii="Times New Roman" w:hAnsi="Times New Roman" w:eastAsiaTheme="minorEastAsia"/>
                      <w:b/>
                      <w:bCs/>
                      <w:sz w:val="18"/>
                      <w:szCs w:val="18"/>
                    </w:rPr>
                    <w:t>本项目情况</w:t>
                  </w:r>
                </w:p>
              </w:tc>
              <w:tc>
                <w:tcPr>
                  <w:tcW w:w="629" w:type="dxa"/>
                  <w:tcMar>
                    <w:left w:w="28" w:type="dxa"/>
                    <w:right w:w="28" w:type="dxa"/>
                  </w:tcMar>
                  <w:vAlign w:val="center"/>
                </w:tcPr>
                <w:p>
                  <w:pPr>
                    <w:spacing w:line="240" w:lineRule="exact"/>
                    <w:jc w:val="center"/>
                    <w:rPr>
                      <w:rFonts w:ascii="Times New Roman" w:hAnsi="Times New Roman" w:eastAsiaTheme="minorEastAsia"/>
                      <w:b/>
                      <w:bCs/>
                      <w:sz w:val="18"/>
                      <w:szCs w:val="18"/>
                    </w:rPr>
                  </w:pPr>
                  <w:r>
                    <w:rPr>
                      <w:rFonts w:ascii="Times New Roman" w:hAnsi="Times New Roman" w:eastAsiaTheme="minorEastAsia"/>
                      <w:b/>
                      <w:bCs/>
                      <w:sz w:val="18"/>
                      <w:szCs w:val="18"/>
                    </w:rPr>
                    <w:t>符合性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3633" w:hRule="atLeast"/>
                <w:tblHeader/>
                <w:jc w:val="center"/>
              </w:trPr>
              <w:tc>
                <w:tcPr>
                  <w:tcW w:w="276" w:type="dxa"/>
                  <w:vMerge w:val="continue"/>
                  <w:tcMar>
                    <w:left w:w="28" w:type="dxa"/>
                    <w:right w:w="28" w:type="dxa"/>
                  </w:tcMar>
                  <w:vAlign w:val="center"/>
                </w:tcPr>
                <w:p>
                  <w:pPr>
                    <w:spacing w:line="240" w:lineRule="exact"/>
                    <w:jc w:val="center"/>
                    <w:rPr>
                      <w:rFonts w:ascii="Times New Roman" w:hAnsi="Times New Roman" w:eastAsiaTheme="minorEastAsia"/>
                      <w:spacing w:val="-2"/>
                      <w:sz w:val="18"/>
                      <w:szCs w:val="18"/>
                    </w:rPr>
                  </w:pPr>
                </w:p>
              </w:tc>
              <w:tc>
                <w:tcPr>
                  <w:tcW w:w="392" w:type="dxa"/>
                  <w:vAlign w:val="center"/>
                </w:tcPr>
                <w:p>
                  <w:pPr>
                    <w:spacing w:line="240" w:lineRule="exact"/>
                    <w:jc w:val="center"/>
                    <w:rPr>
                      <w:rFonts w:ascii="Times New Roman" w:hAnsi="Times New Roman" w:eastAsiaTheme="minorEastAsia"/>
                      <w:spacing w:val="-2"/>
                      <w:sz w:val="18"/>
                      <w:szCs w:val="18"/>
                    </w:rPr>
                  </w:pPr>
                  <w:r>
                    <w:rPr>
                      <w:rFonts w:ascii="Times New Roman" w:hAnsi="Times New Roman" w:eastAsiaTheme="minorEastAsia"/>
                      <w:spacing w:val="-2"/>
                      <w:sz w:val="18"/>
                      <w:szCs w:val="18"/>
                    </w:rPr>
                    <w:t>污染物排放管控</w:t>
                  </w:r>
                </w:p>
              </w:tc>
              <w:tc>
                <w:tcPr>
                  <w:tcW w:w="5338" w:type="dxa"/>
                  <w:tcBorders>
                    <w:right w:val="single" w:color="auto" w:sz="2" w:space="0"/>
                  </w:tcBorders>
                  <w:tcMar>
                    <w:left w:w="28" w:type="dxa"/>
                    <w:right w:w="28" w:type="dxa"/>
                  </w:tcMar>
                  <w:vAlign w:val="center"/>
                </w:tcPr>
                <w:p>
                  <w:pPr>
                    <w:adjustRightInd w:val="0"/>
                    <w:snapToGrid w:val="0"/>
                    <w:spacing w:line="240" w:lineRule="exact"/>
                    <w:rPr>
                      <w:rFonts w:ascii="Times New Roman" w:hAnsi="Times New Roman"/>
                      <w:sz w:val="18"/>
                      <w:szCs w:val="18"/>
                    </w:rPr>
                  </w:pPr>
                  <w:r>
                    <w:rPr>
                      <w:rFonts w:ascii="Times New Roman" w:hAnsi="Times New Roman"/>
                      <w:sz w:val="18"/>
                      <w:szCs w:val="18"/>
                    </w:rPr>
                    <w:t>1.涉新增 VOCs 排放项目，VOCs 排放实行区域内等量替代。</w:t>
                  </w:r>
                </w:p>
                <w:p>
                  <w:pPr>
                    <w:adjustRightInd w:val="0"/>
                    <w:snapToGrid w:val="0"/>
                    <w:spacing w:line="240" w:lineRule="exact"/>
                    <w:rPr>
                      <w:rFonts w:ascii="Times New Roman" w:hAnsi="Times New Roman"/>
                      <w:sz w:val="18"/>
                      <w:szCs w:val="18"/>
                    </w:rPr>
                  </w:pPr>
                  <w:r>
                    <w:rPr>
                      <w:rFonts w:ascii="Times New Roman" w:hAnsi="Times New Roman"/>
                      <w:sz w:val="18"/>
                      <w:szCs w:val="18"/>
                    </w:rPr>
                    <w:t>2.严格控制新建、改建、扩建钢铁、水泥、平板玻璃、有色金属冶炼、化工等工业项目。新建钢铁、火电、水泥、有色项目应当执行大气污染物特别排放限值。重点控制区新建化工、石化及燃煤锅炉项目应当执行大气污染物特别排放限值。</w:t>
                  </w:r>
                </w:p>
                <w:p>
                  <w:pPr>
                    <w:adjustRightInd w:val="0"/>
                    <w:snapToGrid w:val="0"/>
                    <w:spacing w:line="240" w:lineRule="exact"/>
                    <w:rPr>
                      <w:rFonts w:ascii="Times New Roman" w:hAnsi="Times New Roman"/>
                      <w:sz w:val="18"/>
                      <w:szCs w:val="18"/>
                    </w:rPr>
                  </w:pPr>
                  <w:r>
                    <w:rPr>
                      <w:rFonts w:ascii="Times New Roman" w:hAnsi="Times New Roman"/>
                      <w:sz w:val="18"/>
                      <w:szCs w:val="18"/>
                    </w:rPr>
                    <w:t>3.氟化工、印染、电镀等行业要实行水污染物特别排放限值。东牙溪水库、金湖汇水区域城镇污水处理设施全面达到一级 A 排放标准。</w:t>
                  </w:r>
                </w:p>
                <w:p>
                  <w:pPr>
                    <w:spacing w:line="240" w:lineRule="exact"/>
                    <w:rPr>
                      <w:rFonts w:ascii="Times New Roman" w:hAnsi="Times New Roman" w:eastAsiaTheme="minorEastAsia"/>
                      <w:spacing w:val="-2"/>
                      <w:sz w:val="18"/>
                      <w:szCs w:val="18"/>
                    </w:rPr>
                  </w:pPr>
                  <w:r>
                    <w:rPr>
                      <w:rFonts w:ascii="Times New Roman" w:hAnsi="Times New Roman"/>
                      <w:sz w:val="18"/>
                      <w:szCs w:val="18"/>
                    </w:rPr>
                    <w:t>4.按照《福建省生态环境厅关于铅锌矿产资源开发活动集中区域执行重点污染物特别排放限值的通告》，在三明市铅锌矿产资源开发活动集中区域（尤溪县、大田县）实行重点污染物特别排放限值。新、改扩建涉重金属重点行业建设项目必须遵循重点重金属污染物排放“减量置换”或“等量置换”的原则，原则上应在本区域内有明确具体的重金属污染物排放总量来源。</w:t>
                  </w:r>
                </w:p>
              </w:tc>
              <w:tc>
                <w:tcPr>
                  <w:tcW w:w="1600" w:type="dxa"/>
                  <w:tcMar>
                    <w:left w:w="28" w:type="dxa"/>
                    <w:right w:w="28" w:type="dxa"/>
                  </w:tcMar>
                  <w:vAlign w:val="center"/>
                </w:tcPr>
                <w:p>
                  <w:pPr>
                    <w:spacing w:line="240" w:lineRule="exact"/>
                    <w:rPr>
                      <w:rFonts w:ascii="Times New Roman" w:hAnsi="Times New Roman" w:eastAsiaTheme="minorEastAsia"/>
                      <w:sz w:val="18"/>
                      <w:szCs w:val="18"/>
                    </w:rPr>
                  </w:pPr>
                  <w:r>
                    <w:rPr>
                      <w:rFonts w:ascii="Times New Roman" w:hAnsi="Times New Roman"/>
                      <w:sz w:val="18"/>
                      <w:szCs w:val="18"/>
                    </w:rPr>
                    <w:t>项目不涉及VOCs排放；项目不属于钢铁、水泥、平板玻璃、有色金属冶炼、化工、氟化工、印染、电镀等工业项目；不属于铅锌矿产资源开发</w:t>
                  </w:r>
                </w:p>
              </w:tc>
              <w:tc>
                <w:tcPr>
                  <w:tcW w:w="629" w:type="dxa"/>
                  <w:tcMar>
                    <w:left w:w="28" w:type="dxa"/>
                    <w:right w:w="28" w:type="dxa"/>
                  </w:tcMar>
                  <w:vAlign w:val="center"/>
                </w:tcPr>
                <w:p>
                  <w:pPr>
                    <w:spacing w:line="240" w:lineRule="exact"/>
                    <w:jc w:val="center"/>
                    <w:rPr>
                      <w:rFonts w:ascii="Times New Roman" w:hAnsi="Times New Roman" w:eastAsiaTheme="minorEastAsia"/>
                      <w:sz w:val="18"/>
                      <w:szCs w:val="18"/>
                    </w:rPr>
                  </w:pPr>
                  <w:r>
                    <w:rPr>
                      <w:rFonts w:ascii="Times New Roman" w:hAnsi="Times New Roman" w:eastAsiaTheme="minorEastAsia"/>
                      <w:sz w:val="18"/>
                      <w:szCs w:val="18"/>
                    </w:rPr>
                    <w:t>符合</w:t>
                  </w:r>
                </w:p>
              </w:tc>
            </w:tr>
          </w:tbl>
          <w:p>
            <w:pPr>
              <w:numPr>
                <w:ilvl w:val="0"/>
                <w:numId w:val="5"/>
              </w:numPr>
              <w:spacing w:line="440" w:lineRule="exact"/>
              <w:ind w:firstLine="481" w:firstLineChars="200"/>
              <w:rPr>
                <w:rFonts w:ascii="Times New Roman" w:hAnsi="Times New Roman"/>
                <w:kern w:val="0"/>
                <w:szCs w:val="21"/>
              </w:rPr>
            </w:pPr>
            <w:r>
              <w:rPr>
                <w:rFonts w:ascii="Times New Roman" w:hAnsi="Times New Roman" w:eastAsiaTheme="minorEastAsia"/>
                <w:b/>
                <w:bCs/>
              </w:rPr>
              <w:t>与</w:t>
            </w:r>
            <w:r>
              <w:rPr>
                <w:rFonts w:hint="eastAsia" w:ascii="Times New Roman" w:hAnsi="Times New Roman" w:eastAsiaTheme="minorEastAsia"/>
                <w:b/>
                <w:bCs/>
              </w:rPr>
              <w:t>大田县</w:t>
            </w:r>
            <w:r>
              <w:rPr>
                <w:rFonts w:ascii="Times New Roman" w:hAnsi="Times New Roman" w:eastAsiaTheme="minorEastAsia"/>
                <w:b/>
                <w:bCs/>
              </w:rPr>
              <w:t>生态环境准入</w:t>
            </w:r>
            <w:r>
              <w:rPr>
                <w:rFonts w:hint="eastAsia" w:ascii="Times New Roman" w:hAnsi="Times New Roman" w:eastAsiaTheme="minorEastAsia"/>
                <w:b/>
                <w:bCs/>
              </w:rPr>
              <w:t>要求</w:t>
            </w:r>
            <w:r>
              <w:rPr>
                <w:rFonts w:ascii="Times New Roman" w:hAnsi="Times New Roman" w:eastAsiaTheme="minorEastAsia"/>
                <w:b/>
                <w:bCs/>
              </w:rPr>
              <w:t>符合性分析</w:t>
            </w:r>
          </w:p>
          <w:p>
            <w:pPr>
              <w:spacing w:line="440" w:lineRule="exact"/>
              <w:ind w:firstLine="480" w:firstLineChars="200"/>
              <w:rPr>
                <w:rFonts w:ascii="Times New Roman" w:hAnsi="Times New Roman"/>
                <w:szCs w:val="28"/>
              </w:rPr>
            </w:pPr>
            <w:r>
              <w:t>对照《三明市“三线一单”生态环境分区管控方案》附件9大田县生态环境准入清单，</w:t>
            </w:r>
            <w:r>
              <w:rPr>
                <w:rFonts w:hint="eastAsia"/>
              </w:rPr>
              <w:t>本项目</w:t>
            </w:r>
            <w:r>
              <w:t>位于福建省三明市大田县</w:t>
            </w:r>
            <w:r>
              <w:rPr>
                <w:rFonts w:hint="eastAsia"/>
              </w:rPr>
              <w:t>武陵乡大石村</w:t>
            </w:r>
            <w:r>
              <w:t>，为“</w:t>
            </w:r>
            <w:r>
              <w:rPr>
                <w:rFonts w:hint="eastAsia"/>
              </w:rPr>
              <w:t>大田县重点管控单元1</w:t>
            </w:r>
            <w:r>
              <w:t>”，</w:t>
            </w:r>
            <w:r>
              <w:rPr>
                <w:rFonts w:hint="eastAsia"/>
              </w:rPr>
              <w:t>见附图</w:t>
            </w:r>
            <w:r>
              <w:rPr>
                <w:rFonts w:hint="eastAsia"/>
                <w:lang w:val="en-US" w:eastAsia="zh-CN"/>
              </w:rPr>
              <w:t>2</w:t>
            </w:r>
            <w:r>
              <w:rPr>
                <w:rFonts w:hint="eastAsia"/>
              </w:rPr>
              <w:t>。</w:t>
            </w:r>
            <w:r>
              <w:t>项目符合</w:t>
            </w:r>
            <w:r>
              <w:rPr>
                <w:rFonts w:hint="eastAsia"/>
              </w:rPr>
              <w:t>大田县</w:t>
            </w:r>
            <w:r>
              <w:t>生态环境准入</w:t>
            </w:r>
            <w:r>
              <w:rPr>
                <w:rFonts w:hint="eastAsia"/>
              </w:rPr>
              <w:t>要求</w:t>
            </w:r>
            <w:r>
              <w:t>，</w:t>
            </w:r>
            <w:r>
              <w:rPr>
                <w:rFonts w:hint="eastAsia"/>
              </w:rPr>
              <w:t>符</w:t>
            </w:r>
            <w:r>
              <w:rPr>
                <w:rFonts w:hint="eastAsia"/>
                <w:szCs w:val="28"/>
              </w:rPr>
              <w:t>合性分析见</w:t>
            </w:r>
            <w:r>
              <w:rPr>
                <w:szCs w:val="28"/>
              </w:rPr>
              <w:t>表1.2-2</w:t>
            </w:r>
            <w:r>
              <w:rPr>
                <w:rFonts w:ascii="Times New Roman" w:hAnsi="Times New Roman"/>
                <w:szCs w:val="28"/>
              </w:rPr>
              <w:t>。</w:t>
            </w:r>
          </w:p>
          <w:p>
            <w:pPr>
              <w:pStyle w:val="34"/>
              <w:spacing w:before="120"/>
              <w:ind w:firstLine="422"/>
              <w:rPr>
                <w:rFonts w:ascii="Times New Roman" w:hAnsi="Times New Roman"/>
                <w:b/>
                <w:bCs/>
                <w:sz w:val="21"/>
                <w:szCs w:val="21"/>
              </w:rPr>
            </w:pPr>
            <w:r>
              <w:rPr>
                <w:rFonts w:ascii="Times New Roman" w:hAnsi="Times New Roman"/>
                <w:b/>
                <w:bCs/>
                <w:sz w:val="21"/>
                <w:szCs w:val="21"/>
              </w:rPr>
              <w:t>表1.2-2 大田县</w:t>
            </w:r>
            <w:r>
              <w:rPr>
                <w:rFonts w:hint="eastAsia" w:ascii="Times New Roman" w:hAnsi="Times New Roman"/>
                <w:b/>
                <w:bCs/>
                <w:sz w:val="21"/>
                <w:szCs w:val="21"/>
              </w:rPr>
              <w:t>生态环境准入</w:t>
            </w:r>
            <w:r>
              <w:rPr>
                <w:rFonts w:ascii="Times New Roman" w:hAnsi="Times New Roman"/>
                <w:b/>
                <w:bCs/>
                <w:sz w:val="21"/>
                <w:szCs w:val="21"/>
              </w:rPr>
              <w:t>要求符合性分析</w:t>
            </w:r>
          </w:p>
          <w:tbl>
            <w:tblPr>
              <w:tblStyle w:val="26"/>
              <w:tblW w:w="0" w:type="auto"/>
              <w:tblInd w:w="5" w:type="dxa"/>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99"/>
              <w:gridCol w:w="700"/>
              <w:gridCol w:w="1000"/>
              <w:gridCol w:w="3179"/>
              <w:gridCol w:w="1831"/>
              <w:gridCol w:w="620"/>
            </w:tblGrid>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99" w:type="dxa"/>
                  <w:tcBorders>
                    <w:tl2br w:val="nil"/>
                    <w:tr2bl w:val="nil"/>
                  </w:tcBorders>
                  <w:vAlign w:val="center"/>
                </w:tcPr>
                <w:p>
                  <w:pPr>
                    <w:spacing w:line="320" w:lineRule="exact"/>
                    <w:jc w:val="center"/>
                    <w:rPr>
                      <w:rFonts w:ascii="Times New Roman" w:hAnsi="Times New Roman" w:eastAsiaTheme="minorEastAsia"/>
                      <w:b/>
                      <w:bCs/>
                      <w:spacing w:val="-2"/>
                      <w:sz w:val="18"/>
                      <w:szCs w:val="18"/>
                    </w:rPr>
                  </w:pPr>
                  <w:r>
                    <w:rPr>
                      <w:rFonts w:ascii="Times New Roman" w:hAnsi="Times New Roman" w:eastAsiaTheme="minorEastAsia"/>
                      <w:b/>
                      <w:bCs/>
                      <w:spacing w:val="-2"/>
                      <w:sz w:val="18"/>
                      <w:szCs w:val="18"/>
                    </w:rPr>
                    <w:t>管控单元类别</w:t>
                  </w:r>
                </w:p>
              </w:tc>
              <w:tc>
                <w:tcPr>
                  <w:tcW w:w="700" w:type="dxa"/>
                  <w:tcBorders>
                    <w:tl2br w:val="nil"/>
                    <w:tr2bl w:val="nil"/>
                  </w:tcBorders>
                  <w:vAlign w:val="center"/>
                </w:tcPr>
                <w:p>
                  <w:pPr>
                    <w:spacing w:line="320" w:lineRule="exact"/>
                    <w:jc w:val="center"/>
                    <w:rPr>
                      <w:rFonts w:ascii="Times New Roman" w:hAnsi="Times New Roman" w:eastAsiaTheme="minorEastAsia"/>
                      <w:b/>
                      <w:bCs/>
                      <w:spacing w:val="-2"/>
                      <w:sz w:val="18"/>
                      <w:szCs w:val="18"/>
                    </w:rPr>
                  </w:pPr>
                  <w:r>
                    <w:rPr>
                      <w:rFonts w:ascii="Times New Roman" w:hAnsi="Times New Roman" w:eastAsiaTheme="minorEastAsia"/>
                      <w:b/>
                      <w:bCs/>
                      <w:spacing w:val="-2"/>
                      <w:sz w:val="18"/>
                      <w:szCs w:val="18"/>
                    </w:rPr>
                    <w:t>管控单元编码</w:t>
                  </w:r>
                </w:p>
              </w:tc>
              <w:tc>
                <w:tcPr>
                  <w:tcW w:w="4179" w:type="dxa"/>
                  <w:gridSpan w:val="2"/>
                  <w:tcBorders>
                    <w:tl2br w:val="nil"/>
                    <w:tr2bl w:val="nil"/>
                  </w:tcBorders>
                  <w:vAlign w:val="center"/>
                </w:tcPr>
                <w:p>
                  <w:pPr>
                    <w:spacing w:line="320" w:lineRule="exact"/>
                    <w:jc w:val="center"/>
                    <w:rPr>
                      <w:rFonts w:ascii="Times New Roman" w:hAnsi="Times New Roman" w:eastAsiaTheme="minorEastAsia"/>
                      <w:b/>
                      <w:bCs/>
                      <w:spacing w:val="-2"/>
                      <w:sz w:val="18"/>
                      <w:szCs w:val="18"/>
                    </w:rPr>
                  </w:pPr>
                  <w:r>
                    <w:rPr>
                      <w:rFonts w:ascii="Times New Roman" w:hAnsi="Times New Roman" w:eastAsiaTheme="minorEastAsia"/>
                      <w:b/>
                      <w:bCs/>
                      <w:spacing w:val="-2"/>
                      <w:sz w:val="18"/>
                      <w:szCs w:val="18"/>
                    </w:rPr>
                    <w:t>管控要求</w:t>
                  </w:r>
                </w:p>
              </w:tc>
              <w:tc>
                <w:tcPr>
                  <w:tcW w:w="1831" w:type="dxa"/>
                  <w:tcBorders>
                    <w:tl2br w:val="nil"/>
                    <w:tr2bl w:val="nil"/>
                  </w:tcBorders>
                  <w:vAlign w:val="center"/>
                </w:tcPr>
                <w:p>
                  <w:pPr>
                    <w:spacing w:line="320" w:lineRule="exact"/>
                    <w:jc w:val="center"/>
                    <w:rPr>
                      <w:rFonts w:ascii="Times New Roman" w:hAnsi="Times New Roman" w:eastAsiaTheme="minorEastAsia"/>
                      <w:b/>
                      <w:bCs/>
                      <w:spacing w:val="-2"/>
                      <w:sz w:val="18"/>
                      <w:szCs w:val="18"/>
                    </w:rPr>
                  </w:pPr>
                  <w:r>
                    <w:rPr>
                      <w:rFonts w:ascii="Times New Roman" w:hAnsi="Times New Roman" w:eastAsiaTheme="minorEastAsia"/>
                      <w:b/>
                      <w:bCs/>
                      <w:spacing w:val="-2"/>
                      <w:sz w:val="18"/>
                      <w:szCs w:val="18"/>
                    </w:rPr>
                    <w:t>本项目情况</w:t>
                  </w:r>
                </w:p>
              </w:tc>
              <w:tc>
                <w:tcPr>
                  <w:tcW w:w="620" w:type="dxa"/>
                  <w:tcBorders>
                    <w:tl2br w:val="nil"/>
                    <w:tr2bl w:val="nil"/>
                  </w:tcBorders>
                  <w:vAlign w:val="center"/>
                </w:tcPr>
                <w:p>
                  <w:pPr>
                    <w:spacing w:line="320" w:lineRule="exact"/>
                    <w:jc w:val="center"/>
                    <w:rPr>
                      <w:rFonts w:ascii="Times New Roman" w:hAnsi="Times New Roman" w:eastAsiaTheme="minorEastAsia"/>
                      <w:b/>
                      <w:bCs/>
                      <w:spacing w:val="-2"/>
                      <w:sz w:val="18"/>
                      <w:szCs w:val="18"/>
                    </w:rPr>
                  </w:pPr>
                  <w:r>
                    <w:rPr>
                      <w:rFonts w:ascii="Times New Roman" w:hAnsi="Times New Roman" w:eastAsiaTheme="minorEastAsia"/>
                      <w:b/>
                      <w:bCs/>
                      <w:spacing w:val="-2"/>
                      <w:sz w:val="18"/>
                      <w:szCs w:val="18"/>
                    </w:rPr>
                    <w:t>符合性</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390" w:hRule="atLeast"/>
              </w:trPr>
              <w:tc>
                <w:tcPr>
                  <w:tcW w:w="699" w:type="dxa"/>
                  <w:vMerge w:val="restart"/>
                  <w:tcBorders>
                    <w:tl2br w:val="nil"/>
                    <w:tr2bl w:val="nil"/>
                  </w:tcBorders>
                  <w:vAlign w:val="center"/>
                </w:tcPr>
                <w:p>
                  <w:pPr>
                    <w:spacing w:line="320" w:lineRule="exact"/>
                    <w:rPr>
                      <w:rFonts w:ascii="Times New Roman" w:hAnsi="Times New Roman"/>
                      <w:kern w:val="0"/>
                      <w:sz w:val="18"/>
                      <w:szCs w:val="18"/>
                      <w:shd w:val="clear" w:color="auto" w:fill="FFFFFF"/>
                    </w:rPr>
                  </w:pPr>
                  <w:r>
                    <w:rPr>
                      <w:rFonts w:ascii="Times New Roman" w:hAnsi="Times New Roman"/>
                      <w:kern w:val="0"/>
                      <w:sz w:val="18"/>
                      <w:szCs w:val="18"/>
                      <w:shd w:val="clear" w:color="auto" w:fill="FFFFFF"/>
                    </w:rPr>
                    <w:t>大田县重点管控单元1</w:t>
                  </w:r>
                </w:p>
              </w:tc>
              <w:tc>
                <w:tcPr>
                  <w:tcW w:w="700" w:type="dxa"/>
                  <w:vMerge w:val="restart"/>
                  <w:tcBorders>
                    <w:tl2br w:val="nil"/>
                    <w:tr2bl w:val="nil"/>
                  </w:tcBorders>
                  <w:vAlign w:val="center"/>
                </w:tcPr>
                <w:p>
                  <w:pPr>
                    <w:spacing w:line="320" w:lineRule="exact"/>
                    <w:rPr>
                      <w:rFonts w:ascii="Times New Roman" w:hAnsi="Times New Roman"/>
                      <w:kern w:val="0"/>
                      <w:sz w:val="18"/>
                      <w:szCs w:val="18"/>
                      <w:shd w:val="clear" w:color="auto" w:fill="FFFFFF"/>
                    </w:rPr>
                  </w:pPr>
                  <w:r>
                    <w:rPr>
                      <w:rFonts w:ascii="Times New Roman" w:hAnsi="Times New Roman"/>
                      <w:kern w:val="0"/>
                      <w:sz w:val="18"/>
                      <w:szCs w:val="18"/>
                      <w:shd w:val="clear" w:color="auto" w:fill="FFFFFF"/>
                    </w:rPr>
                    <w:t>ZH35042520004</w:t>
                  </w:r>
                </w:p>
              </w:tc>
              <w:tc>
                <w:tcPr>
                  <w:tcW w:w="1000" w:type="dxa"/>
                  <w:tcBorders>
                    <w:tl2br w:val="nil"/>
                    <w:tr2bl w:val="nil"/>
                  </w:tcBorders>
                  <w:vAlign w:val="center"/>
                </w:tcPr>
                <w:p>
                  <w:pPr>
                    <w:spacing w:line="320" w:lineRule="exact"/>
                    <w:rPr>
                      <w:rFonts w:ascii="Times New Roman" w:hAnsi="Times New Roman"/>
                      <w:b/>
                      <w:bCs/>
                      <w:sz w:val="18"/>
                      <w:szCs w:val="18"/>
                    </w:rPr>
                  </w:pPr>
                  <w:r>
                    <w:rPr>
                      <w:rFonts w:ascii="Times New Roman" w:hAnsi="Times New Roman"/>
                      <w:kern w:val="0"/>
                      <w:sz w:val="18"/>
                      <w:szCs w:val="18"/>
                      <w:shd w:val="clear" w:color="auto" w:fill="FFFFFF"/>
                    </w:rPr>
                    <w:t>空间布局约束</w:t>
                  </w:r>
                </w:p>
              </w:tc>
              <w:tc>
                <w:tcPr>
                  <w:tcW w:w="3179" w:type="dxa"/>
                  <w:tcBorders>
                    <w:tl2br w:val="nil"/>
                    <w:tr2bl w:val="nil"/>
                  </w:tcBorders>
                  <w:vAlign w:val="center"/>
                </w:tcPr>
                <w:p>
                  <w:pPr>
                    <w:pStyle w:val="23"/>
                    <w:shd w:val="clear" w:color="auto" w:fill="FFFFFF"/>
                    <w:spacing w:before="0" w:beforeAutospacing="0" w:after="0" w:afterAutospacing="0" w:line="21" w:lineRule="atLeast"/>
                    <w:jc w:val="both"/>
                    <w:rPr>
                      <w:rFonts w:ascii="Times New Roman" w:hAnsi="Times New Roman"/>
                      <w:sz w:val="18"/>
                      <w:szCs w:val="18"/>
                      <w:shd w:val="clear" w:color="auto" w:fill="FFFFFF"/>
                    </w:rPr>
                  </w:pPr>
                  <w:r>
                    <w:rPr>
                      <w:rFonts w:ascii="Times New Roman" w:hAnsi="Times New Roman"/>
                      <w:sz w:val="18"/>
                      <w:szCs w:val="18"/>
                      <w:shd w:val="clear" w:color="auto" w:fill="FFFFFF"/>
                    </w:rPr>
                    <w:t>1.严禁在人口聚集区新建涉及化学品和危险废物排放的项目，城市建成区内现有污染较重的企业应有序搬迁改造或依法关闭。2.严格限制建设生产和使用高VOCs含量的溶剂涂料、油墨、胶黏剂等项目。3.禁止开发利用未经评估和无害化处理的列入建设用地污染地块名录及开发利用负面清单的土地。</w:t>
                  </w:r>
                </w:p>
              </w:tc>
              <w:tc>
                <w:tcPr>
                  <w:tcW w:w="1831" w:type="dxa"/>
                  <w:tcBorders>
                    <w:tl2br w:val="nil"/>
                    <w:tr2bl w:val="nil"/>
                  </w:tcBorders>
                  <w:vAlign w:val="center"/>
                </w:tcPr>
                <w:p>
                  <w:pPr>
                    <w:pStyle w:val="23"/>
                    <w:shd w:val="clear" w:color="auto" w:fill="FFFFFF"/>
                    <w:spacing w:before="0" w:beforeAutospacing="0" w:after="0" w:afterAutospacing="0" w:line="21" w:lineRule="atLeast"/>
                    <w:jc w:val="both"/>
                    <w:rPr>
                      <w:rFonts w:ascii="Times New Roman" w:hAnsi="Times New Roman"/>
                      <w:sz w:val="18"/>
                      <w:szCs w:val="18"/>
                      <w:shd w:val="clear" w:color="auto" w:fill="FFFFFF"/>
                    </w:rPr>
                  </w:pPr>
                  <w:r>
                    <w:rPr>
                      <w:rFonts w:ascii="Times New Roman" w:hAnsi="Times New Roman"/>
                      <w:sz w:val="18"/>
                      <w:szCs w:val="18"/>
                      <w:shd w:val="clear" w:color="auto" w:fill="FFFFFF"/>
                    </w:rPr>
                    <w:t>1、本项目选址位于大田县武陵乡大石村铸造聚集区，不涉及化学品和危险废物排放；</w:t>
                  </w:r>
                </w:p>
                <w:p>
                  <w:pPr>
                    <w:pStyle w:val="23"/>
                    <w:shd w:val="clear" w:color="auto" w:fill="FFFFFF"/>
                    <w:spacing w:before="0" w:beforeAutospacing="0" w:after="0" w:afterAutospacing="0" w:line="21" w:lineRule="atLeast"/>
                    <w:jc w:val="both"/>
                    <w:rPr>
                      <w:rFonts w:ascii="Times New Roman" w:hAnsi="Times New Roman"/>
                      <w:sz w:val="18"/>
                      <w:szCs w:val="18"/>
                      <w:shd w:val="clear" w:color="auto" w:fill="FFFFFF"/>
                    </w:rPr>
                  </w:pPr>
                  <w:r>
                    <w:rPr>
                      <w:rFonts w:ascii="Times New Roman" w:hAnsi="Times New Roman"/>
                      <w:sz w:val="18"/>
                      <w:szCs w:val="18"/>
                      <w:shd w:val="clear" w:color="auto" w:fill="FFFFFF"/>
                    </w:rPr>
                    <w:t>2、本项目不涉及使用VOCs的溶剂涂料等；</w:t>
                  </w:r>
                </w:p>
                <w:p>
                  <w:pPr>
                    <w:pStyle w:val="23"/>
                    <w:shd w:val="clear" w:color="auto" w:fill="FFFFFF"/>
                    <w:spacing w:before="0" w:beforeAutospacing="0" w:after="0" w:afterAutospacing="0" w:line="21" w:lineRule="atLeast"/>
                    <w:jc w:val="both"/>
                    <w:rPr>
                      <w:rFonts w:ascii="Times New Roman" w:hAnsi="Times New Roman"/>
                      <w:sz w:val="18"/>
                      <w:szCs w:val="18"/>
                      <w:shd w:val="clear" w:color="auto" w:fill="FFFFFF"/>
                    </w:rPr>
                  </w:pPr>
                  <w:r>
                    <w:rPr>
                      <w:rFonts w:ascii="Times New Roman" w:hAnsi="Times New Roman"/>
                      <w:sz w:val="18"/>
                      <w:szCs w:val="18"/>
                      <w:shd w:val="clear" w:color="auto" w:fill="FFFFFF"/>
                    </w:rPr>
                    <w:t>3、不项目地块不属于列入建设用地污染地块名录及开发利用负面清单的土地。</w:t>
                  </w:r>
                </w:p>
              </w:tc>
              <w:tc>
                <w:tcPr>
                  <w:tcW w:w="620" w:type="dxa"/>
                  <w:tcBorders>
                    <w:tl2br w:val="nil"/>
                    <w:tr2bl w:val="nil"/>
                  </w:tcBorders>
                  <w:vAlign w:val="center"/>
                </w:tcPr>
                <w:p>
                  <w:pPr>
                    <w:pStyle w:val="23"/>
                    <w:shd w:val="clear" w:color="auto" w:fill="FFFFFF"/>
                    <w:spacing w:before="0" w:beforeAutospacing="0" w:after="0" w:afterAutospacing="0" w:line="21" w:lineRule="atLeast"/>
                    <w:jc w:val="both"/>
                    <w:rPr>
                      <w:rFonts w:ascii="Times New Roman" w:hAnsi="Times New Roman"/>
                      <w:sz w:val="18"/>
                      <w:szCs w:val="18"/>
                      <w:shd w:val="clear" w:color="auto" w:fill="FFFFFF"/>
                    </w:rPr>
                  </w:pPr>
                  <w:r>
                    <w:rPr>
                      <w:rFonts w:ascii="Times New Roman" w:hAnsi="Times New Roman"/>
                      <w:sz w:val="18"/>
                      <w:szCs w:val="18"/>
                      <w:shd w:val="clear" w:color="auto" w:fill="FFFFFF"/>
                    </w:rPr>
                    <w:t>符合</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872" w:hRule="atLeast"/>
              </w:trPr>
              <w:tc>
                <w:tcPr>
                  <w:tcW w:w="699" w:type="dxa"/>
                  <w:vMerge w:val="continue"/>
                  <w:tcBorders>
                    <w:tl2br w:val="nil"/>
                    <w:tr2bl w:val="nil"/>
                  </w:tcBorders>
                  <w:vAlign w:val="center"/>
                </w:tcPr>
                <w:p>
                  <w:pPr>
                    <w:spacing w:line="320" w:lineRule="exact"/>
                    <w:rPr>
                      <w:rFonts w:ascii="Times New Roman" w:hAnsi="Times New Roman"/>
                      <w:kern w:val="0"/>
                      <w:sz w:val="18"/>
                      <w:szCs w:val="18"/>
                      <w:shd w:val="clear" w:color="auto" w:fill="FFFFFF"/>
                    </w:rPr>
                  </w:pPr>
                </w:p>
              </w:tc>
              <w:tc>
                <w:tcPr>
                  <w:tcW w:w="700" w:type="dxa"/>
                  <w:vMerge w:val="continue"/>
                  <w:tcBorders>
                    <w:tl2br w:val="nil"/>
                    <w:tr2bl w:val="nil"/>
                  </w:tcBorders>
                  <w:vAlign w:val="center"/>
                </w:tcPr>
                <w:p>
                  <w:pPr>
                    <w:spacing w:line="320" w:lineRule="exact"/>
                    <w:rPr>
                      <w:rFonts w:ascii="Times New Roman" w:hAnsi="Times New Roman"/>
                      <w:kern w:val="0"/>
                      <w:sz w:val="18"/>
                      <w:szCs w:val="18"/>
                      <w:shd w:val="clear" w:color="auto" w:fill="FFFFFF"/>
                    </w:rPr>
                  </w:pPr>
                </w:p>
              </w:tc>
              <w:tc>
                <w:tcPr>
                  <w:tcW w:w="1000" w:type="dxa"/>
                  <w:tcBorders>
                    <w:tl2br w:val="nil"/>
                    <w:tr2bl w:val="nil"/>
                  </w:tcBorders>
                  <w:vAlign w:val="center"/>
                </w:tcPr>
                <w:p>
                  <w:pPr>
                    <w:pStyle w:val="34"/>
                    <w:spacing w:before="120"/>
                    <w:rPr>
                      <w:rFonts w:ascii="Times New Roman" w:hAnsi="Times New Roman"/>
                      <w:b/>
                      <w:bCs/>
                      <w:sz w:val="18"/>
                      <w:szCs w:val="18"/>
                    </w:rPr>
                  </w:pPr>
                  <w:r>
                    <w:rPr>
                      <w:rFonts w:ascii="Times New Roman" w:hAnsi="Times New Roman" w:eastAsia="宋体"/>
                      <w:sz w:val="18"/>
                      <w:szCs w:val="18"/>
                      <w:shd w:val="clear" w:color="auto" w:fill="FFFFFF"/>
                    </w:rPr>
                    <w:t>污染物排放管控</w:t>
                  </w:r>
                </w:p>
              </w:tc>
              <w:tc>
                <w:tcPr>
                  <w:tcW w:w="3179" w:type="dxa"/>
                  <w:tcBorders>
                    <w:tl2br w:val="nil"/>
                    <w:tr2bl w:val="nil"/>
                  </w:tcBorders>
                  <w:vAlign w:val="center"/>
                </w:tcPr>
                <w:p>
                  <w:pPr>
                    <w:pStyle w:val="23"/>
                    <w:shd w:val="clear" w:color="auto" w:fill="FFFFFF"/>
                    <w:spacing w:before="0" w:beforeAutospacing="0" w:after="0" w:afterAutospacing="0" w:line="21" w:lineRule="atLeast"/>
                    <w:jc w:val="both"/>
                    <w:rPr>
                      <w:rFonts w:ascii="Times New Roman" w:hAnsi="Times New Roman"/>
                      <w:sz w:val="18"/>
                      <w:szCs w:val="18"/>
                      <w:shd w:val="clear" w:color="auto" w:fill="FFFFFF"/>
                    </w:rPr>
                  </w:pPr>
                  <w:r>
                    <w:rPr>
                      <w:rFonts w:ascii="Times New Roman" w:hAnsi="Times New Roman"/>
                      <w:sz w:val="18"/>
                      <w:szCs w:val="18"/>
                      <w:shd w:val="clear" w:color="auto" w:fill="FFFFFF"/>
                    </w:rPr>
                    <w:t>新建、改建、扩建项目，新增污染物排放按照福建省排污权有偿使用和交易相关文件执行。新建涉VOCs项目，VOCs排放按照福建省相关政策要求落实。</w:t>
                  </w:r>
                </w:p>
              </w:tc>
              <w:tc>
                <w:tcPr>
                  <w:tcW w:w="1831" w:type="dxa"/>
                  <w:tcBorders>
                    <w:tl2br w:val="nil"/>
                    <w:tr2bl w:val="nil"/>
                  </w:tcBorders>
                  <w:vAlign w:val="center"/>
                </w:tcPr>
                <w:p>
                  <w:pPr>
                    <w:pStyle w:val="23"/>
                    <w:shd w:val="clear" w:color="auto" w:fill="FFFFFF"/>
                    <w:spacing w:before="0" w:beforeAutospacing="0" w:after="0" w:afterAutospacing="0" w:line="21" w:lineRule="atLeast"/>
                    <w:jc w:val="both"/>
                    <w:rPr>
                      <w:rFonts w:ascii="Times New Roman" w:hAnsi="Times New Roman"/>
                      <w:sz w:val="18"/>
                      <w:szCs w:val="18"/>
                      <w:shd w:val="clear" w:color="auto" w:fill="FFFFFF"/>
                    </w:rPr>
                  </w:pPr>
                  <w:r>
                    <w:rPr>
                      <w:rFonts w:ascii="Times New Roman" w:hAnsi="Times New Roman"/>
                      <w:sz w:val="18"/>
                      <w:szCs w:val="18"/>
                      <w:shd w:val="clear" w:color="auto" w:fill="FFFFFF"/>
                    </w:rPr>
                    <w:t>本项目不涉及VOCs的排放。</w:t>
                  </w:r>
                </w:p>
              </w:tc>
              <w:tc>
                <w:tcPr>
                  <w:tcW w:w="620" w:type="dxa"/>
                  <w:tcBorders>
                    <w:tl2br w:val="nil"/>
                    <w:tr2bl w:val="nil"/>
                  </w:tcBorders>
                  <w:vAlign w:val="center"/>
                </w:tcPr>
                <w:p>
                  <w:pPr>
                    <w:pStyle w:val="23"/>
                    <w:shd w:val="clear" w:color="auto" w:fill="FFFFFF"/>
                    <w:spacing w:before="0" w:beforeAutospacing="0" w:after="0" w:afterAutospacing="0" w:line="21" w:lineRule="atLeast"/>
                    <w:jc w:val="both"/>
                    <w:rPr>
                      <w:rFonts w:ascii="Times New Roman" w:hAnsi="Times New Roman"/>
                      <w:sz w:val="18"/>
                      <w:szCs w:val="18"/>
                      <w:shd w:val="clear" w:color="auto" w:fill="FFFFFF"/>
                    </w:rPr>
                  </w:pPr>
                  <w:r>
                    <w:rPr>
                      <w:rFonts w:ascii="Times New Roman" w:hAnsi="Times New Roman"/>
                      <w:sz w:val="18"/>
                      <w:szCs w:val="18"/>
                      <w:shd w:val="clear" w:color="auto" w:fill="FFFFFF"/>
                    </w:rPr>
                    <w:t>符合</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699" w:type="dxa"/>
                  <w:vMerge w:val="continue"/>
                  <w:tcBorders>
                    <w:tl2br w:val="nil"/>
                    <w:tr2bl w:val="nil"/>
                  </w:tcBorders>
                  <w:vAlign w:val="center"/>
                </w:tcPr>
                <w:p>
                  <w:pPr>
                    <w:spacing w:line="320" w:lineRule="exact"/>
                    <w:rPr>
                      <w:rFonts w:ascii="Times New Roman" w:hAnsi="Times New Roman"/>
                      <w:kern w:val="0"/>
                      <w:sz w:val="18"/>
                      <w:szCs w:val="18"/>
                      <w:shd w:val="clear" w:color="auto" w:fill="FFFFFF"/>
                    </w:rPr>
                  </w:pPr>
                </w:p>
              </w:tc>
              <w:tc>
                <w:tcPr>
                  <w:tcW w:w="700" w:type="dxa"/>
                  <w:vMerge w:val="continue"/>
                  <w:tcBorders>
                    <w:tl2br w:val="nil"/>
                    <w:tr2bl w:val="nil"/>
                  </w:tcBorders>
                  <w:vAlign w:val="center"/>
                </w:tcPr>
                <w:p>
                  <w:pPr>
                    <w:spacing w:line="320" w:lineRule="exact"/>
                    <w:rPr>
                      <w:rFonts w:ascii="Times New Roman" w:hAnsi="Times New Roman"/>
                      <w:kern w:val="0"/>
                      <w:sz w:val="18"/>
                      <w:szCs w:val="18"/>
                      <w:shd w:val="clear" w:color="auto" w:fill="FFFFFF"/>
                    </w:rPr>
                  </w:pPr>
                </w:p>
              </w:tc>
              <w:tc>
                <w:tcPr>
                  <w:tcW w:w="4179" w:type="dxa"/>
                  <w:gridSpan w:val="2"/>
                  <w:tcBorders>
                    <w:tl2br w:val="nil"/>
                    <w:tr2bl w:val="nil"/>
                  </w:tcBorders>
                  <w:vAlign w:val="center"/>
                </w:tcPr>
                <w:p>
                  <w:pPr>
                    <w:spacing w:line="320" w:lineRule="exact"/>
                    <w:jc w:val="center"/>
                    <w:rPr>
                      <w:rFonts w:ascii="Times New Roman" w:hAnsi="Times New Roman" w:eastAsiaTheme="minorEastAsia"/>
                      <w:b/>
                      <w:bCs/>
                      <w:spacing w:val="-2"/>
                      <w:sz w:val="18"/>
                      <w:szCs w:val="18"/>
                    </w:rPr>
                  </w:pPr>
                  <w:r>
                    <w:rPr>
                      <w:rFonts w:ascii="Times New Roman" w:hAnsi="Times New Roman" w:eastAsiaTheme="minorEastAsia"/>
                      <w:b/>
                      <w:bCs/>
                      <w:spacing w:val="-2"/>
                      <w:sz w:val="18"/>
                      <w:szCs w:val="18"/>
                    </w:rPr>
                    <w:t>管控要求</w:t>
                  </w:r>
                </w:p>
              </w:tc>
              <w:tc>
                <w:tcPr>
                  <w:tcW w:w="1831" w:type="dxa"/>
                  <w:tcBorders>
                    <w:tl2br w:val="nil"/>
                    <w:tr2bl w:val="nil"/>
                  </w:tcBorders>
                  <w:vAlign w:val="center"/>
                </w:tcPr>
                <w:p>
                  <w:pPr>
                    <w:spacing w:line="320" w:lineRule="exact"/>
                    <w:jc w:val="center"/>
                    <w:rPr>
                      <w:rFonts w:ascii="Times New Roman" w:hAnsi="Times New Roman" w:eastAsiaTheme="minorEastAsia"/>
                      <w:b/>
                      <w:bCs/>
                      <w:spacing w:val="-2"/>
                      <w:sz w:val="18"/>
                      <w:szCs w:val="18"/>
                    </w:rPr>
                  </w:pPr>
                  <w:r>
                    <w:rPr>
                      <w:rFonts w:ascii="Times New Roman" w:hAnsi="Times New Roman" w:eastAsiaTheme="minorEastAsia"/>
                      <w:b/>
                      <w:bCs/>
                      <w:spacing w:val="-2"/>
                      <w:sz w:val="18"/>
                      <w:szCs w:val="18"/>
                    </w:rPr>
                    <w:t>本项目情况</w:t>
                  </w:r>
                </w:p>
              </w:tc>
              <w:tc>
                <w:tcPr>
                  <w:tcW w:w="620" w:type="dxa"/>
                  <w:tcBorders>
                    <w:tl2br w:val="nil"/>
                    <w:tr2bl w:val="nil"/>
                  </w:tcBorders>
                  <w:vAlign w:val="center"/>
                </w:tcPr>
                <w:p>
                  <w:pPr>
                    <w:spacing w:line="320" w:lineRule="exact"/>
                    <w:jc w:val="center"/>
                    <w:rPr>
                      <w:rFonts w:ascii="Times New Roman" w:hAnsi="Times New Roman" w:eastAsiaTheme="minorEastAsia"/>
                      <w:b/>
                      <w:bCs/>
                      <w:spacing w:val="-2"/>
                      <w:sz w:val="18"/>
                      <w:szCs w:val="18"/>
                    </w:rPr>
                  </w:pPr>
                  <w:r>
                    <w:rPr>
                      <w:rFonts w:ascii="Times New Roman" w:hAnsi="Times New Roman" w:eastAsiaTheme="minorEastAsia"/>
                      <w:b/>
                      <w:bCs/>
                      <w:spacing w:val="-2"/>
                      <w:sz w:val="18"/>
                      <w:szCs w:val="18"/>
                    </w:rPr>
                    <w:t>符合性</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390" w:hRule="atLeast"/>
              </w:trPr>
              <w:tc>
                <w:tcPr>
                  <w:tcW w:w="699" w:type="dxa"/>
                  <w:vMerge w:val="continue"/>
                  <w:tcBorders>
                    <w:tl2br w:val="nil"/>
                    <w:tr2bl w:val="nil"/>
                  </w:tcBorders>
                  <w:vAlign w:val="center"/>
                </w:tcPr>
                <w:p>
                  <w:pPr>
                    <w:spacing w:line="320" w:lineRule="exact"/>
                    <w:rPr>
                      <w:rFonts w:ascii="Times New Roman" w:hAnsi="Times New Roman"/>
                      <w:kern w:val="0"/>
                      <w:sz w:val="18"/>
                      <w:szCs w:val="18"/>
                      <w:shd w:val="clear" w:color="auto" w:fill="FFFFFF"/>
                    </w:rPr>
                  </w:pPr>
                </w:p>
              </w:tc>
              <w:tc>
                <w:tcPr>
                  <w:tcW w:w="700" w:type="dxa"/>
                  <w:vMerge w:val="continue"/>
                  <w:tcBorders>
                    <w:tl2br w:val="nil"/>
                    <w:tr2bl w:val="nil"/>
                  </w:tcBorders>
                  <w:vAlign w:val="center"/>
                </w:tcPr>
                <w:p>
                  <w:pPr>
                    <w:spacing w:line="320" w:lineRule="exact"/>
                    <w:rPr>
                      <w:rFonts w:ascii="Times New Roman" w:hAnsi="Times New Roman"/>
                      <w:kern w:val="0"/>
                      <w:sz w:val="18"/>
                      <w:szCs w:val="18"/>
                      <w:shd w:val="clear" w:color="auto" w:fill="FFFFFF"/>
                    </w:rPr>
                  </w:pPr>
                </w:p>
              </w:tc>
              <w:tc>
                <w:tcPr>
                  <w:tcW w:w="1000" w:type="dxa"/>
                  <w:tcBorders>
                    <w:tl2br w:val="nil"/>
                    <w:tr2bl w:val="nil"/>
                  </w:tcBorders>
                  <w:vAlign w:val="center"/>
                </w:tcPr>
                <w:p>
                  <w:pPr>
                    <w:pStyle w:val="34"/>
                    <w:spacing w:before="120"/>
                    <w:rPr>
                      <w:rFonts w:ascii="Times New Roman" w:hAnsi="Times New Roman" w:eastAsia="宋体"/>
                      <w:sz w:val="18"/>
                      <w:szCs w:val="18"/>
                      <w:shd w:val="clear" w:color="auto" w:fill="FFFFFF"/>
                    </w:rPr>
                  </w:pPr>
                  <w:r>
                    <w:rPr>
                      <w:rFonts w:ascii="Times New Roman" w:hAnsi="Times New Roman" w:eastAsia="宋体"/>
                      <w:sz w:val="18"/>
                      <w:szCs w:val="18"/>
                      <w:shd w:val="clear" w:color="auto" w:fill="FFFFFF"/>
                    </w:rPr>
                    <w:t>环境风险防控</w:t>
                  </w:r>
                </w:p>
              </w:tc>
              <w:tc>
                <w:tcPr>
                  <w:tcW w:w="3179" w:type="dxa"/>
                  <w:tcBorders>
                    <w:tl2br w:val="nil"/>
                    <w:tr2bl w:val="nil"/>
                  </w:tcBorders>
                  <w:vAlign w:val="center"/>
                </w:tcPr>
                <w:p>
                  <w:pPr>
                    <w:pStyle w:val="23"/>
                    <w:shd w:val="clear" w:color="auto" w:fill="FFFFFF"/>
                    <w:spacing w:before="0" w:beforeAutospacing="0" w:after="0" w:afterAutospacing="0" w:line="21" w:lineRule="atLeast"/>
                    <w:jc w:val="both"/>
                    <w:rPr>
                      <w:rFonts w:ascii="Times New Roman" w:hAnsi="Times New Roman"/>
                      <w:sz w:val="18"/>
                      <w:szCs w:val="18"/>
                      <w:shd w:val="clear" w:color="auto" w:fill="FFFFFF"/>
                    </w:rPr>
                  </w:pPr>
                  <w:r>
                    <w:rPr>
                      <w:rFonts w:ascii="Times New Roman" w:hAnsi="Times New Roman"/>
                      <w:sz w:val="18"/>
                      <w:szCs w:val="18"/>
                      <w:shd w:val="clear" w:color="auto" w:fill="FFFFFF"/>
                    </w:rPr>
                    <w:t>土壤污染重点监管单位拆除设施、设备或者建筑物、构筑物的，应当制定包括应急措施在内的土壤污染防治工作方案，报地方人民政府生态环境、工业和信息化主管部门备案并实施；土壤污染重点监管单位生产经营用地的用途变更或者在其土地使用权收回、转让前，应当由土地使用权人按照规定进行土壤污染状况调查；土壤污染责任人负责实施土壤污染风险管控和修复。</w:t>
                  </w:r>
                </w:p>
              </w:tc>
              <w:tc>
                <w:tcPr>
                  <w:tcW w:w="1831" w:type="dxa"/>
                  <w:tcBorders>
                    <w:tl2br w:val="nil"/>
                    <w:tr2bl w:val="nil"/>
                  </w:tcBorders>
                  <w:vAlign w:val="center"/>
                </w:tcPr>
                <w:p>
                  <w:pPr>
                    <w:pStyle w:val="23"/>
                    <w:shd w:val="clear" w:color="auto" w:fill="FFFFFF"/>
                    <w:spacing w:before="0" w:beforeAutospacing="0" w:after="0" w:afterAutospacing="0" w:line="21" w:lineRule="atLeast"/>
                    <w:jc w:val="both"/>
                    <w:rPr>
                      <w:rFonts w:hint="eastAsia" w:ascii="Times New Roman" w:hAnsi="Times New Roman" w:eastAsia="宋体"/>
                      <w:sz w:val="18"/>
                      <w:szCs w:val="18"/>
                      <w:shd w:val="clear" w:color="auto" w:fill="FFFFFF"/>
                      <w:lang w:val="en-US" w:eastAsia="zh-CN"/>
                    </w:rPr>
                  </w:pPr>
                  <w:r>
                    <w:rPr>
                      <w:rFonts w:ascii="Times New Roman" w:hAnsi="Times New Roman"/>
                      <w:sz w:val="18"/>
                      <w:szCs w:val="18"/>
                      <w:shd w:val="clear" w:color="auto" w:fill="FFFFFF"/>
                    </w:rPr>
                    <w:t>本项目不属于土壤污染重点监管单位。</w:t>
                  </w:r>
                </w:p>
              </w:tc>
              <w:tc>
                <w:tcPr>
                  <w:tcW w:w="620" w:type="dxa"/>
                  <w:tcBorders>
                    <w:tl2br w:val="nil"/>
                    <w:tr2bl w:val="nil"/>
                  </w:tcBorders>
                  <w:vAlign w:val="center"/>
                </w:tcPr>
                <w:p>
                  <w:pPr>
                    <w:pStyle w:val="23"/>
                    <w:shd w:val="clear" w:color="auto" w:fill="FFFFFF"/>
                    <w:spacing w:before="0" w:beforeAutospacing="0" w:after="0" w:afterAutospacing="0" w:line="21" w:lineRule="atLeast"/>
                    <w:jc w:val="both"/>
                    <w:rPr>
                      <w:rFonts w:ascii="Times New Roman" w:hAnsi="Times New Roman"/>
                      <w:sz w:val="18"/>
                      <w:szCs w:val="18"/>
                      <w:shd w:val="clear" w:color="auto" w:fill="FFFFFF"/>
                    </w:rPr>
                  </w:pPr>
                  <w:r>
                    <w:rPr>
                      <w:rFonts w:ascii="Times New Roman" w:hAnsi="Times New Roman"/>
                      <w:sz w:val="18"/>
                      <w:szCs w:val="18"/>
                      <w:shd w:val="clear" w:color="auto" w:fill="FFFFFF"/>
                    </w:rPr>
                    <w:t>符合</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699" w:type="dxa"/>
                  <w:vMerge w:val="continue"/>
                  <w:tcBorders>
                    <w:tl2br w:val="nil"/>
                    <w:tr2bl w:val="nil"/>
                  </w:tcBorders>
                  <w:vAlign w:val="center"/>
                </w:tcPr>
                <w:p>
                  <w:pPr>
                    <w:spacing w:line="320" w:lineRule="exact"/>
                    <w:rPr>
                      <w:rFonts w:ascii="Times New Roman" w:hAnsi="Times New Roman"/>
                      <w:kern w:val="0"/>
                      <w:sz w:val="18"/>
                      <w:szCs w:val="18"/>
                      <w:shd w:val="clear" w:color="auto" w:fill="FFFFFF"/>
                    </w:rPr>
                  </w:pPr>
                </w:p>
              </w:tc>
              <w:tc>
                <w:tcPr>
                  <w:tcW w:w="700" w:type="dxa"/>
                  <w:vMerge w:val="continue"/>
                  <w:tcBorders>
                    <w:tl2br w:val="nil"/>
                    <w:tr2bl w:val="nil"/>
                  </w:tcBorders>
                  <w:vAlign w:val="center"/>
                </w:tcPr>
                <w:p>
                  <w:pPr>
                    <w:spacing w:line="320" w:lineRule="exact"/>
                    <w:rPr>
                      <w:rFonts w:ascii="Times New Roman" w:hAnsi="Times New Roman"/>
                      <w:kern w:val="0"/>
                      <w:sz w:val="18"/>
                      <w:szCs w:val="18"/>
                      <w:shd w:val="clear" w:color="auto" w:fill="FFFFFF"/>
                    </w:rPr>
                  </w:pPr>
                </w:p>
              </w:tc>
              <w:tc>
                <w:tcPr>
                  <w:tcW w:w="1000" w:type="dxa"/>
                  <w:tcBorders>
                    <w:tl2br w:val="nil"/>
                    <w:tr2bl w:val="nil"/>
                  </w:tcBorders>
                  <w:vAlign w:val="center"/>
                </w:tcPr>
                <w:p>
                  <w:pPr>
                    <w:pStyle w:val="34"/>
                    <w:spacing w:before="120"/>
                    <w:rPr>
                      <w:rFonts w:ascii="Times New Roman" w:hAnsi="Times New Roman" w:eastAsia="宋体"/>
                      <w:sz w:val="18"/>
                      <w:szCs w:val="18"/>
                      <w:shd w:val="clear" w:color="auto" w:fill="FFFFFF"/>
                    </w:rPr>
                  </w:pPr>
                  <w:r>
                    <w:rPr>
                      <w:rFonts w:ascii="Times New Roman" w:hAnsi="Times New Roman" w:eastAsia="宋体"/>
                      <w:sz w:val="18"/>
                      <w:szCs w:val="18"/>
                      <w:shd w:val="clear" w:color="auto" w:fill="FFFFFF"/>
                    </w:rPr>
                    <w:t>资源开发效率要求</w:t>
                  </w:r>
                </w:p>
              </w:tc>
              <w:tc>
                <w:tcPr>
                  <w:tcW w:w="3179" w:type="dxa"/>
                  <w:tcBorders>
                    <w:tl2br w:val="nil"/>
                    <w:tr2bl w:val="nil"/>
                  </w:tcBorders>
                  <w:vAlign w:val="center"/>
                </w:tcPr>
                <w:p>
                  <w:pPr>
                    <w:pStyle w:val="23"/>
                    <w:shd w:val="clear" w:color="auto" w:fill="FFFFFF"/>
                    <w:spacing w:before="0" w:beforeAutospacing="0" w:after="0" w:afterAutospacing="0" w:line="21" w:lineRule="atLeast"/>
                    <w:jc w:val="center"/>
                    <w:rPr>
                      <w:rFonts w:ascii="Times New Roman" w:hAnsi="Times New Roman"/>
                      <w:sz w:val="18"/>
                      <w:szCs w:val="18"/>
                      <w:shd w:val="clear" w:color="auto" w:fill="FFFFFF"/>
                    </w:rPr>
                  </w:pPr>
                  <w:r>
                    <w:rPr>
                      <w:rFonts w:ascii="Times New Roman" w:hAnsi="Times New Roman"/>
                      <w:sz w:val="18"/>
                      <w:szCs w:val="18"/>
                      <w:shd w:val="clear" w:color="auto" w:fill="FFFFFF"/>
                    </w:rPr>
                    <w:t>无</w:t>
                  </w:r>
                </w:p>
              </w:tc>
              <w:tc>
                <w:tcPr>
                  <w:tcW w:w="1831" w:type="dxa"/>
                  <w:tcBorders>
                    <w:tl2br w:val="nil"/>
                    <w:tr2bl w:val="nil"/>
                  </w:tcBorders>
                  <w:vAlign w:val="center"/>
                </w:tcPr>
                <w:p>
                  <w:pPr>
                    <w:pStyle w:val="23"/>
                    <w:shd w:val="clear" w:color="auto" w:fill="FFFFFF"/>
                    <w:spacing w:before="0" w:beforeAutospacing="0" w:after="0" w:afterAutospacing="0" w:line="21" w:lineRule="atLeast"/>
                    <w:jc w:val="center"/>
                    <w:rPr>
                      <w:rFonts w:ascii="Times New Roman" w:hAnsi="Times New Roman"/>
                      <w:sz w:val="18"/>
                      <w:szCs w:val="18"/>
                      <w:shd w:val="clear" w:color="auto" w:fill="FFFFFF"/>
                    </w:rPr>
                  </w:pPr>
                  <w:r>
                    <w:rPr>
                      <w:rFonts w:ascii="Times New Roman" w:hAnsi="Times New Roman"/>
                      <w:sz w:val="18"/>
                      <w:szCs w:val="18"/>
                      <w:shd w:val="clear" w:color="auto" w:fill="FFFFFF"/>
                    </w:rPr>
                    <w:t>/</w:t>
                  </w:r>
                </w:p>
              </w:tc>
              <w:tc>
                <w:tcPr>
                  <w:tcW w:w="620" w:type="dxa"/>
                  <w:tcBorders>
                    <w:tl2br w:val="nil"/>
                    <w:tr2bl w:val="nil"/>
                  </w:tcBorders>
                  <w:vAlign w:val="center"/>
                </w:tcPr>
                <w:p>
                  <w:pPr>
                    <w:pStyle w:val="23"/>
                    <w:shd w:val="clear" w:color="auto" w:fill="FFFFFF"/>
                    <w:spacing w:before="0" w:beforeAutospacing="0" w:after="0" w:afterAutospacing="0" w:line="21" w:lineRule="atLeast"/>
                    <w:jc w:val="center"/>
                    <w:rPr>
                      <w:rFonts w:ascii="Times New Roman" w:hAnsi="Times New Roman"/>
                      <w:sz w:val="18"/>
                      <w:szCs w:val="18"/>
                      <w:shd w:val="clear" w:color="auto" w:fill="FFFFFF"/>
                    </w:rPr>
                  </w:pPr>
                  <w:r>
                    <w:rPr>
                      <w:rFonts w:hint="eastAsia" w:ascii="Times New Roman" w:hAnsi="Times New Roman"/>
                      <w:sz w:val="18"/>
                      <w:szCs w:val="18"/>
                      <w:shd w:val="clear" w:color="auto" w:fill="FFFFFF"/>
                    </w:rPr>
                    <w:t>/</w:t>
                  </w:r>
                </w:p>
              </w:tc>
            </w:tr>
          </w:tbl>
          <w:p>
            <w:pPr>
              <w:spacing w:line="440" w:lineRule="exact"/>
              <w:ind w:firstLine="480" w:firstLineChars="200"/>
              <w:rPr>
                <w:rFonts w:ascii="Times New Roman" w:hAnsi="Times New Roman"/>
                <w:kern w:val="0"/>
                <w:szCs w:val="21"/>
              </w:rPr>
            </w:pPr>
            <w:r>
              <w:rPr>
                <w:rFonts w:ascii="Times New Roman" w:hAnsi="Times New Roman"/>
                <w:kern w:val="0"/>
                <w:szCs w:val="21"/>
              </w:rPr>
              <w:t>综上，项目选址和建设符合“三线一单”</w:t>
            </w:r>
            <w:r>
              <w:rPr>
                <w:rFonts w:hint="eastAsia" w:ascii="Times New Roman" w:hAnsi="Times New Roman"/>
                <w:kern w:val="0"/>
                <w:szCs w:val="21"/>
              </w:rPr>
              <w:t>管控</w:t>
            </w:r>
            <w:r>
              <w:rPr>
                <w:rFonts w:ascii="Times New Roman" w:hAnsi="Times New Roman"/>
                <w:kern w:val="0"/>
                <w:szCs w:val="21"/>
              </w:rPr>
              <w:t>要求。</w:t>
            </w:r>
          </w:p>
          <w:p>
            <w:pPr>
              <w:pStyle w:val="8"/>
              <w:numPr>
                <w:ilvl w:val="0"/>
                <w:numId w:val="0"/>
              </w:numPr>
              <w:spacing w:line="440" w:lineRule="exact"/>
              <w:rPr>
                <w:rFonts w:ascii="Times New Roman" w:hAnsi="Times New Roman"/>
              </w:rPr>
            </w:pPr>
            <w:r>
              <w:rPr>
                <w:rFonts w:ascii="Times New Roman" w:hAnsi="Times New Roman"/>
              </w:rPr>
              <w:t>1.2.2产业政策符合性分析</w:t>
            </w:r>
          </w:p>
          <w:p>
            <w:pPr>
              <w:pStyle w:val="46"/>
              <w:rPr>
                <w:color w:val="auto"/>
              </w:rPr>
            </w:pPr>
            <w:r>
              <w:rPr>
                <w:color w:val="auto"/>
              </w:rPr>
              <w:t>本项目</w:t>
            </w:r>
            <w:r>
              <w:rPr>
                <w:rFonts w:hint="eastAsia"/>
                <w:color w:val="auto"/>
              </w:rPr>
              <w:t>属于废弃资源综合利用项目，</w:t>
            </w:r>
            <w:r>
              <w:rPr>
                <w:color w:val="auto"/>
              </w:rPr>
              <w:t>主要</w:t>
            </w:r>
            <w:r>
              <w:rPr>
                <w:rFonts w:hint="eastAsia"/>
                <w:color w:val="auto"/>
              </w:rPr>
              <w:t>对铸铁渣、铸造砂、转炉渣、钢渣等固体废物进行球磨、破碎、筛分、球磨、磁选后回收利用</w:t>
            </w:r>
            <w:r>
              <w:rPr>
                <w:color w:val="auto"/>
              </w:rPr>
              <w:t>，对照国家《产业结构调整指导目录（</w:t>
            </w:r>
            <w:r>
              <w:rPr>
                <w:rFonts w:hint="eastAsia"/>
                <w:color w:val="auto"/>
              </w:rPr>
              <w:t>2024</w:t>
            </w:r>
            <w:r>
              <w:rPr>
                <w:color w:val="auto"/>
              </w:rPr>
              <w:t>年本）》，项目所采用的设备、工艺和生产规模均不在淘汰类、限制类之列，</w:t>
            </w:r>
            <w:r>
              <w:rPr>
                <w:rFonts w:hint="eastAsia"/>
                <w:color w:val="auto"/>
              </w:rPr>
              <w:t>属于鼓励类（第四十二项环境保护与资源节约综合利用、8废弃物循环利用（冶炼渣），</w:t>
            </w:r>
            <w:r>
              <w:rPr>
                <w:color w:val="auto"/>
              </w:rPr>
              <w:t>符合国家当前产业政策。另外，项目</w:t>
            </w:r>
            <w:r>
              <w:rPr>
                <w:rFonts w:hint="eastAsia"/>
                <w:color w:val="auto"/>
              </w:rPr>
              <w:t>取得</w:t>
            </w:r>
            <w:r>
              <w:rPr>
                <w:color w:val="auto"/>
              </w:rPr>
              <w:t>了</w:t>
            </w:r>
            <w:r>
              <w:rPr>
                <w:color w:val="auto"/>
                <w:szCs w:val="21"/>
              </w:rPr>
              <w:t>大田县</w:t>
            </w:r>
            <w:r>
              <w:rPr>
                <w:rFonts w:hint="eastAsia"/>
                <w:color w:val="auto"/>
                <w:szCs w:val="21"/>
              </w:rPr>
              <w:t>发展和改革局</w:t>
            </w:r>
            <w:r>
              <w:rPr>
                <w:color w:val="auto"/>
              </w:rPr>
              <w:t>备案（</w:t>
            </w:r>
            <w:r>
              <w:rPr>
                <w:color w:val="auto"/>
                <w:szCs w:val="21"/>
              </w:rPr>
              <w:t>闽</w:t>
            </w:r>
            <w:r>
              <w:rPr>
                <w:rFonts w:hint="eastAsia"/>
                <w:color w:val="auto"/>
                <w:szCs w:val="21"/>
              </w:rPr>
              <w:t>发改备</w:t>
            </w:r>
            <w:r>
              <w:rPr>
                <w:color w:val="auto"/>
                <w:szCs w:val="21"/>
              </w:rPr>
              <w:t>[202</w:t>
            </w:r>
            <w:r>
              <w:rPr>
                <w:rFonts w:hint="eastAsia"/>
                <w:color w:val="auto"/>
                <w:szCs w:val="21"/>
              </w:rPr>
              <w:t>3</w:t>
            </w:r>
            <w:r>
              <w:rPr>
                <w:color w:val="auto"/>
                <w:szCs w:val="21"/>
              </w:rPr>
              <w:t>]G1200</w:t>
            </w:r>
            <w:r>
              <w:rPr>
                <w:rFonts w:hint="eastAsia"/>
                <w:color w:val="auto"/>
                <w:szCs w:val="21"/>
              </w:rPr>
              <w:t>7</w:t>
            </w:r>
            <w:r>
              <w:rPr>
                <w:color w:val="auto"/>
                <w:szCs w:val="21"/>
              </w:rPr>
              <w:t>0号</w:t>
            </w:r>
            <w:r>
              <w:rPr>
                <w:color w:val="auto"/>
              </w:rPr>
              <w:t>）</w:t>
            </w:r>
            <w:r>
              <w:rPr>
                <w:rFonts w:hint="eastAsia"/>
                <w:color w:val="auto"/>
              </w:rPr>
              <w:t>。</w:t>
            </w:r>
          </w:p>
          <w:p>
            <w:pPr>
              <w:pStyle w:val="46"/>
              <w:rPr>
                <w:color w:val="auto"/>
              </w:rPr>
            </w:pPr>
            <w:r>
              <w:rPr>
                <w:rFonts w:hint="eastAsia"/>
                <w:color w:val="auto"/>
              </w:rPr>
              <w:t>因此，</w:t>
            </w:r>
            <w:r>
              <w:rPr>
                <w:color w:val="auto"/>
              </w:rPr>
              <w:t>项目建设符合国家和地方相关产业的政策要求。</w:t>
            </w:r>
          </w:p>
          <w:p>
            <w:pPr>
              <w:pStyle w:val="8"/>
              <w:numPr>
                <w:ilvl w:val="0"/>
                <w:numId w:val="0"/>
              </w:numPr>
              <w:spacing w:line="440" w:lineRule="exact"/>
              <w:rPr>
                <w:rFonts w:ascii="Times New Roman" w:hAnsi="Times New Roman"/>
              </w:rPr>
            </w:pPr>
            <w:r>
              <w:rPr>
                <w:rFonts w:ascii="Times New Roman" w:hAnsi="Times New Roman"/>
              </w:rPr>
              <w:t>1.2.</w:t>
            </w:r>
            <w:r>
              <w:rPr>
                <w:rFonts w:hint="eastAsia" w:ascii="Times New Roman" w:hAnsi="Times New Roman"/>
              </w:rPr>
              <w:t>3环保</w:t>
            </w:r>
            <w:r>
              <w:rPr>
                <w:rFonts w:ascii="Times New Roman" w:hAnsi="Times New Roman"/>
              </w:rPr>
              <w:t>政策符合性分析</w:t>
            </w:r>
          </w:p>
          <w:p>
            <w:pPr>
              <w:pStyle w:val="9"/>
              <w:numPr>
                <w:ilvl w:val="3"/>
                <w:numId w:val="0"/>
              </w:numPr>
              <w:spacing w:line="440" w:lineRule="exact"/>
              <w:rPr>
                <w:rFonts w:ascii="Times New Roman" w:hAnsi="Times New Roman"/>
              </w:rPr>
            </w:pPr>
            <w:r>
              <w:rPr>
                <w:rFonts w:ascii="Times New Roman" w:hAnsi="Times New Roman"/>
              </w:rPr>
              <w:t>1.2.</w:t>
            </w:r>
            <w:r>
              <w:rPr>
                <w:rFonts w:hint="eastAsia" w:ascii="Times New Roman" w:hAnsi="Times New Roman"/>
              </w:rPr>
              <w:t>3</w:t>
            </w:r>
            <w:r>
              <w:rPr>
                <w:rFonts w:ascii="Times New Roman" w:hAnsi="Times New Roman"/>
              </w:rPr>
              <w:t>.1与</w:t>
            </w:r>
            <w:r>
              <w:rPr>
                <w:rFonts w:hint="eastAsia" w:ascii="Times New Roman" w:hAnsi="Times New Roman"/>
              </w:rPr>
              <w:t>三明市大气污染防治行动计划实施细则</w:t>
            </w:r>
            <w:r>
              <w:rPr>
                <w:rFonts w:ascii="Times New Roman" w:hAnsi="Times New Roman"/>
              </w:rPr>
              <w:t>符合性分析</w:t>
            </w:r>
          </w:p>
          <w:p>
            <w:pPr>
              <w:spacing w:line="440" w:lineRule="exact"/>
              <w:ind w:firstLine="480" w:firstLineChars="200"/>
              <w:rPr>
                <w:rFonts w:ascii="Times New Roman" w:hAnsi="Times New Roman"/>
              </w:rPr>
            </w:pPr>
            <w:r>
              <w:rPr>
                <w:rFonts w:hint="eastAsia" w:ascii="Times New Roman" w:hAnsi="Times New Roman"/>
              </w:rPr>
              <w:t>对照《三明市大气污染防治行动计划实施细则》（明政办[2014]67号），项目符合《三明市大气污染防治行动计划实施细则》相关要求，符合性分析具体见下表：</w:t>
            </w:r>
          </w:p>
          <w:p>
            <w:pPr>
              <w:pStyle w:val="2"/>
            </w:pPr>
          </w:p>
          <w:p>
            <w:pPr>
              <w:pStyle w:val="3"/>
              <w:ind w:right="-120" w:firstLine="240"/>
              <w:rPr>
                <w:rFonts w:ascii="Times New Roman" w:hAnsi="Times New Roman"/>
              </w:rPr>
            </w:pPr>
          </w:p>
          <w:p>
            <w:pPr>
              <w:rPr>
                <w:rFonts w:ascii="Times New Roman" w:hAnsi="Times New Roman"/>
              </w:rPr>
            </w:pPr>
          </w:p>
          <w:p>
            <w:pPr>
              <w:pStyle w:val="2"/>
            </w:pPr>
          </w:p>
          <w:p>
            <w:pPr>
              <w:pStyle w:val="3"/>
              <w:ind w:right="-120" w:firstLine="240"/>
              <w:rPr>
                <w:rFonts w:ascii="Times New Roman" w:hAnsi="Times New Roman"/>
              </w:rPr>
            </w:pPr>
          </w:p>
          <w:p>
            <w:pPr>
              <w:rPr>
                <w:rFonts w:ascii="Times New Roman" w:hAnsi="Times New Roman"/>
              </w:rPr>
            </w:pPr>
          </w:p>
          <w:p>
            <w:pPr>
              <w:pStyle w:val="2"/>
            </w:pPr>
          </w:p>
          <w:p>
            <w:pPr>
              <w:pStyle w:val="3"/>
              <w:ind w:right="-120" w:firstLine="240"/>
              <w:rPr>
                <w:rFonts w:ascii="Times New Roman" w:hAnsi="Times New Roman"/>
              </w:rPr>
            </w:pPr>
          </w:p>
          <w:p/>
          <w:p>
            <w:pPr>
              <w:pStyle w:val="34"/>
              <w:spacing w:before="120"/>
              <w:ind w:firstLine="422"/>
              <w:rPr>
                <w:rFonts w:ascii="Times New Roman" w:hAnsi="Times New Roman"/>
                <w:b/>
                <w:bCs/>
                <w:sz w:val="21"/>
                <w:szCs w:val="21"/>
              </w:rPr>
            </w:pPr>
            <w:r>
              <w:rPr>
                <w:rFonts w:ascii="Times New Roman" w:hAnsi="Times New Roman"/>
                <w:b/>
                <w:bCs/>
                <w:sz w:val="21"/>
                <w:szCs w:val="21"/>
              </w:rPr>
              <w:t>表1.</w:t>
            </w:r>
            <w:r>
              <w:rPr>
                <w:rFonts w:hint="eastAsia" w:ascii="Times New Roman" w:hAnsi="Times New Roman"/>
                <w:b/>
                <w:bCs/>
                <w:sz w:val="21"/>
                <w:szCs w:val="21"/>
              </w:rPr>
              <w:t>2</w:t>
            </w:r>
            <w:r>
              <w:rPr>
                <w:rFonts w:ascii="Times New Roman" w:hAnsi="Times New Roman"/>
                <w:b/>
                <w:bCs/>
                <w:sz w:val="21"/>
                <w:szCs w:val="21"/>
              </w:rPr>
              <w:t>-</w:t>
            </w:r>
            <w:r>
              <w:rPr>
                <w:rFonts w:hint="eastAsia" w:ascii="Times New Roman" w:hAnsi="Times New Roman"/>
                <w:b/>
                <w:bCs/>
                <w:sz w:val="21"/>
                <w:szCs w:val="21"/>
              </w:rPr>
              <w:t>3</w:t>
            </w:r>
            <w:r>
              <w:rPr>
                <w:rFonts w:ascii="Times New Roman" w:hAnsi="Times New Roman"/>
                <w:b/>
                <w:bCs/>
                <w:sz w:val="21"/>
                <w:szCs w:val="21"/>
              </w:rPr>
              <w:t xml:space="preserve"> </w:t>
            </w:r>
            <w:r>
              <w:rPr>
                <w:rFonts w:hint="eastAsia" w:ascii="Times New Roman" w:hAnsi="Times New Roman"/>
                <w:b/>
                <w:bCs/>
                <w:sz w:val="21"/>
                <w:szCs w:val="21"/>
              </w:rPr>
              <w:t>与三明市大气污染防治行动计划实施细则符合性分析</w:t>
            </w:r>
          </w:p>
          <w:tbl>
            <w:tblPr>
              <w:tblStyle w:val="26"/>
              <w:tblW w:w="8228"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48"/>
              <w:gridCol w:w="5532"/>
              <w:gridCol w:w="1251"/>
              <w:gridCol w:w="79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blHeader/>
              </w:trPr>
              <w:tc>
                <w:tcPr>
                  <w:tcW w:w="6180" w:type="dxa"/>
                  <w:gridSpan w:val="2"/>
                  <w:tcBorders>
                    <w:tl2br w:val="nil"/>
                    <w:tr2bl w:val="nil"/>
                  </w:tcBorders>
                  <w:vAlign w:val="center"/>
                </w:tcPr>
                <w:p>
                  <w:pPr>
                    <w:jc w:val="center"/>
                    <w:rPr>
                      <w:sz w:val="18"/>
                      <w:szCs w:val="18"/>
                    </w:rPr>
                  </w:pPr>
                  <w:r>
                    <w:rPr>
                      <w:rFonts w:hint="eastAsia"/>
                      <w:sz w:val="18"/>
                      <w:szCs w:val="18"/>
                    </w:rPr>
                    <w:t>相关要求</w:t>
                  </w:r>
                </w:p>
              </w:tc>
              <w:tc>
                <w:tcPr>
                  <w:tcW w:w="1251" w:type="dxa"/>
                  <w:tcBorders>
                    <w:tl2br w:val="nil"/>
                    <w:tr2bl w:val="nil"/>
                  </w:tcBorders>
                  <w:vAlign w:val="center"/>
                </w:tcPr>
                <w:p>
                  <w:pPr>
                    <w:jc w:val="center"/>
                    <w:rPr>
                      <w:sz w:val="18"/>
                      <w:szCs w:val="18"/>
                    </w:rPr>
                  </w:pPr>
                  <w:r>
                    <w:rPr>
                      <w:rFonts w:hint="eastAsia"/>
                      <w:sz w:val="18"/>
                      <w:szCs w:val="18"/>
                    </w:rPr>
                    <w:t>本项目</w:t>
                  </w:r>
                </w:p>
              </w:tc>
              <w:tc>
                <w:tcPr>
                  <w:tcW w:w="797" w:type="dxa"/>
                  <w:tcBorders>
                    <w:tl2br w:val="nil"/>
                    <w:tr2bl w:val="nil"/>
                  </w:tcBorders>
                  <w:vAlign w:val="center"/>
                </w:tcPr>
                <w:p>
                  <w:pPr>
                    <w:jc w:val="center"/>
                    <w:rPr>
                      <w:sz w:val="18"/>
                      <w:szCs w:val="18"/>
                    </w:rPr>
                  </w:pPr>
                  <w:r>
                    <w:rPr>
                      <w:rFonts w:hint="eastAsia"/>
                      <w:sz w:val="18"/>
                      <w:szCs w:val="18"/>
                    </w:rPr>
                    <w:t>符合性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blHeader/>
              </w:trPr>
              <w:tc>
                <w:tcPr>
                  <w:tcW w:w="648" w:type="dxa"/>
                  <w:vMerge w:val="restart"/>
                  <w:tcBorders>
                    <w:tl2br w:val="nil"/>
                    <w:tr2bl w:val="nil"/>
                  </w:tcBorders>
                  <w:vAlign w:val="center"/>
                </w:tcPr>
                <w:p>
                  <w:pPr>
                    <w:rPr>
                      <w:sz w:val="18"/>
                      <w:szCs w:val="18"/>
                    </w:rPr>
                  </w:pPr>
                  <w:r>
                    <w:rPr>
                      <w:rFonts w:hint="eastAsia"/>
                      <w:sz w:val="18"/>
                      <w:szCs w:val="18"/>
                    </w:rPr>
                    <w:t>加强工业企业大气污染综合治理</w:t>
                  </w:r>
                </w:p>
              </w:tc>
              <w:tc>
                <w:tcPr>
                  <w:tcW w:w="5532" w:type="dxa"/>
                  <w:tcBorders>
                    <w:tl2br w:val="nil"/>
                    <w:tr2bl w:val="nil"/>
                  </w:tcBorders>
                </w:tcPr>
                <w:p>
                  <w:pPr>
                    <w:rPr>
                      <w:sz w:val="18"/>
                      <w:szCs w:val="18"/>
                    </w:rPr>
                  </w:pPr>
                  <w:r>
                    <w:rPr>
                      <w:rFonts w:hint="eastAsia"/>
                      <w:sz w:val="18"/>
                      <w:szCs w:val="18"/>
                    </w:rPr>
                    <w:t>全面整治城市燃煤小锅炉。加快推进集中供热、“煤改气”、“煤改电”等清洁能源替代工程建设。到2017年，除必要保留外，各县（市、区）建成区基本淘汰每小时10蒸吨及以下的燃煤锅炉，禁止新建每小时20蒸吨以下的燃煤锅炉；其他地区原则上不再新建每小时10蒸吨以下的燃煤锅炉。</w:t>
                  </w:r>
                </w:p>
              </w:tc>
              <w:tc>
                <w:tcPr>
                  <w:tcW w:w="1251" w:type="dxa"/>
                  <w:tcBorders>
                    <w:tl2br w:val="nil"/>
                    <w:tr2bl w:val="nil"/>
                  </w:tcBorders>
                  <w:vAlign w:val="center"/>
                </w:tcPr>
                <w:p>
                  <w:pPr>
                    <w:rPr>
                      <w:sz w:val="18"/>
                      <w:szCs w:val="18"/>
                    </w:rPr>
                  </w:pPr>
                  <w:r>
                    <w:rPr>
                      <w:rFonts w:hint="eastAsia"/>
                      <w:sz w:val="18"/>
                      <w:szCs w:val="18"/>
                    </w:rPr>
                    <w:t>本项目使用的能源为电能，不涉及燃煤</w:t>
                  </w:r>
                </w:p>
              </w:tc>
              <w:tc>
                <w:tcPr>
                  <w:tcW w:w="797" w:type="dxa"/>
                  <w:tcBorders>
                    <w:tl2br w:val="nil"/>
                    <w:tr2bl w:val="nil"/>
                  </w:tcBorders>
                  <w:vAlign w:val="center"/>
                </w:tcPr>
                <w:p>
                  <w:pPr>
                    <w:rPr>
                      <w:sz w:val="18"/>
                      <w:szCs w:val="18"/>
                    </w:rPr>
                  </w:pPr>
                  <w:r>
                    <w:rPr>
                      <w:rFonts w:hint="eastAsia"/>
                      <w:sz w:val="18"/>
                      <w:szCs w:val="18"/>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blHeader/>
              </w:trPr>
              <w:tc>
                <w:tcPr>
                  <w:tcW w:w="648" w:type="dxa"/>
                  <w:vMerge w:val="continue"/>
                  <w:tcBorders>
                    <w:tl2br w:val="nil"/>
                    <w:tr2bl w:val="nil"/>
                  </w:tcBorders>
                  <w:vAlign w:val="center"/>
                </w:tcPr>
                <w:p>
                  <w:pPr>
                    <w:rPr>
                      <w:sz w:val="18"/>
                      <w:szCs w:val="18"/>
                    </w:rPr>
                  </w:pPr>
                </w:p>
              </w:tc>
              <w:tc>
                <w:tcPr>
                  <w:tcW w:w="5532" w:type="dxa"/>
                  <w:tcBorders>
                    <w:tl2br w:val="nil"/>
                    <w:tr2bl w:val="nil"/>
                  </w:tcBorders>
                </w:tcPr>
                <w:p>
                  <w:pPr>
                    <w:rPr>
                      <w:sz w:val="18"/>
                      <w:szCs w:val="18"/>
                    </w:rPr>
                  </w:pPr>
                  <w:r>
                    <w:rPr>
                      <w:rFonts w:hint="eastAsia"/>
                      <w:sz w:val="18"/>
                      <w:szCs w:val="18"/>
                    </w:rPr>
                    <w:t>淘汰分散型工业燃煤炉窑。在化工、印染、造纸、制革、制药等产业集聚区，通过集中建设热电联产机组或大型集中供热设施或实施清洁燃料替代工程，逐步淘汰分散燃煤炉窑。到2015年，基本淘汰燃煤炉窑集中区和工业园区内燃煤炉窑，确实无法淘汰的，必须按规范建设投运除尘、脱硫和脱硝设施，确保污染物稳定达标排放。新建建筑陶瓷业项目原则上使用天然气。尤溪、大田合成革集控区“煤改气”工程2015年全面完成。</w:t>
                  </w:r>
                </w:p>
              </w:tc>
              <w:tc>
                <w:tcPr>
                  <w:tcW w:w="1251" w:type="dxa"/>
                  <w:tcBorders>
                    <w:tl2br w:val="nil"/>
                    <w:tr2bl w:val="nil"/>
                  </w:tcBorders>
                  <w:vAlign w:val="center"/>
                </w:tcPr>
                <w:p>
                  <w:pPr>
                    <w:rPr>
                      <w:sz w:val="18"/>
                      <w:szCs w:val="18"/>
                    </w:rPr>
                  </w:pPr>
                  <w:r>
                    <w:rPr>
                      <w:rFonts w:hint="eastAsia"/>
                      <w:sz w:val="18"/>
                      <w:szCs w:val="18"/>
                    </w:rPr>
                    <w:t>本项目不涉及工业燃煤炉窑</w:t>
                  </w:r>
                </w:p>
              </w:tc>
              <w:tc>
                <w:tcPr>
                  <w:tcW w:w="797" w:type="dxa"/>
                  <w:tcBorders>
                    <w:tl2br w:val="nil"/>
                    <w:tr2bl w:val="nil"/>
                  </w:tcBorders>
                  <w:vAlign w:val="center"/>
                </w:tcPr>
                <w:p>
                  <w:pPr>
                    <w:rPr>
                      <w:sz w:val="18"/>
                      <w:szCs w:val="18"/>
                    </w:rPr>
                  </w:pPr>
                  <w:r>
                    <w:rPr>
                      <w:rFonts w:hint="eastAsia"/>
                      <w:sz w:val="18"/>
                      <w:szCs w:val="18"/>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blHeader/>
              </w:trPr>
              <w:tc>
                <w:tcPr>
                  <w:tcW w:w="648" w:type="dxa"/>
                  <w:vMerge w:val="continue"/>
                  <w:tcBorders>
                    <w:tl2br w:val="nil"/>
                    <w:tr2bl w:val="nil"/>
                  </w:tcBorders>
                  <w:vAlign w:val="center"/>
                </w:tcPr>
                <w:p>
                  <w:pPr>
                    <w:rPr>
                      <w:sz w:val="18"/>
                      <w:szCs w:val="18"/>
                    </w:rPr>
                  </w:pPr>
                </w:p>
              </w:tc>
              <w:tc>
                <w:tcPr>
                  <w:tcW w:w="5532" w:type="dxa"/>
                  <w:tcBorders>
                    <w:tl2br w:val="nil"/>
                    <w:tr2bl w:val="nil"/>
                  </w:tcBorders>
                </w:tcPr>
                <w:p>
                  <w:pPr>
                    <w:rPr>
                      <w:sz w:val="18"/>
                      <w:szCs w:val="18"/>
                    </w:rPr>
                  </w:pPr>
                  <w:r>
                    <w:rPr>
                      <w:rFonts w:hint="eastAsia"/>
                      <w:sz w:val="18"/>
                      <w:szCs w:val="18"/>
                    </w:rPr>
                    <w:t>深化二氧化硫污染治理。加强燃煤电厂（热电厂、企业自备电站）脱硫设施运行管理。采用循环流化床炉内脱硫的，应加快实施炉外脱硫技改；公用燃煤电厂综合脱硫效率应达到95%以上，其他采用湿法脱硫的燃煤电厂（热电厂、企业自备电站）综合脱硫效率应达到85%以上；钢铁烧结机、球团竖炉应全部建成投运脱硫设施或实施提效技改，综合脱硫效率达到80%以上；玻璃生产线、有色冶炼窑炉应进一步规范脱硫设施运行，综合脱硫效率达到80%以上。</w:t>
                  </w:r>
                </w:p>
              </w:tc>
              <w:tc>
                <w:tcPr>
                  <w:tcW w:w="1251" w:type="dxa"/>
                  <w:tcBorders>
                    <w:tl2br w:val="nil"/>
                    <w:tr2bl w:val="nil"/>
                  </w:tcBorders>
                  <w:vAlign w:val="center"/>
                </w:tcPr>
                <w:p>
                  <w:pPr>
                    <w:rPr>
                      <w:sz w:val="18"/>
                      <w:szCs w:val="18"/>
                    </w:rPr>
                  </w:pPr>
                  <w:r>
                    <w:rPr>
                      <w:rFonts w:hint="eastAsia"/>
                      <w:sz w:val="18"/>
                      <w:szCs w:val="18"/>
                    </w:rPr>
                    <w:t>本项目不涉及二氧化硫</w:t>
                  </w:r>
                </w:p>
              </w:tc>
              <w:tc>
                <w:tcPr>
                  <w:tcW w:w="797" w:type="dxa"/>
                  <w:tcBorders>
                    <w:tl2br w:val="nil"/>
                    <w:tr2bl w:val="nil"/>
                  </w:tcBorders>
                  <w:vAlign w:val="center"/>
                </w:tcPr>
                <w:p>
                  <w:pPr>
                    <w:rPr>
                      <w:sz w:val="18"/>
                      <w:szCs w:val="18"/>
                    </w:rPr>
                  </w:pPr>
                  <w:r>
                    <w:rPr>
                      <w:rFonts w:hint="eastAsia"/>
                      <w:sz w:val="18"/>
                      <w:szCs w:val="18"/>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blHeader/>
              </w:trPr>
              <w:tc>
                <w:tcPr>
                  <w:tcW w:w="648" w:type="dxa"/>
                  <w:vMerge w:val="continue"/>
                  <w:tcBorders>
                    <w:tl2br w:val="nil"/>
                    <w:tr2bl w:val="nil"/>
                  </w:tcBorders>
                  <w:vAlign w:val="center"/>
                </w:tcPr>
                <w:p>
                  <w:pPr>
                    <w:rPr>
                      <w:sz w:val="18"/>
                      <w:szCs w:val="18"/>
                    </w:rPr>
                  </w:pPr>
                </w:p>
              </w:tc>
              <w:tc>
                <w:tcPr>
                  <w:tcW w:w="5532" w:type="dxa"/>
                  <w:tcBorders>
                    <w:tl2br w:val="nil"/>
                    <w:tr2bl w:val="nil"/>
                  </w:tcBorders>
                </w:tcPr>
                <w:p>
                  <w:pPr>
                    <w:rPr>
                      <w:sz w:val="18"/>
                      <w:szCs w:val="18"/>
                    </w:rPr>
                  </w:pPr>
                  <w:r>
                    <w:rPr>
                      <w:rFonts w:hint="eastAsia"/>
                      <w:sz w:val="18"/>
                      <w:szCs w:val="18"/>
                    </w:rPr>
                    <w:t>持续开展氮氧化物污染防治。已投运脱硝设施的燃煤电厂应进一步提高脱硝效率和投运率，综合脱硝效率达到70%以上，氮氧化物稳定达标排放；尚未全部建成脱硝设施的，要按规定时限建成投运。循环流化床电厂、热电厂、企业自备电站必须确保氮氧化物稳定达标排放；无法稳定达标的，必须实施低氮燃烧改造或建设脱硝设施。新型干法水泥生产线应严格执行《水泥工业大气污染物排放标准》（DB35/1311—2013），确保稳定达标排放。其中4000吨/日规模及以上的，综合脱硝效率应达到60%以上；4000吨/日规模以下的，综合脱硝效率应达到50%以上。玻璃企业生产线应规范运行管理，综合脱硝效率达到70%以上，氮氧化物排放确保达到《平板玻璃工业大气污染物排放标准》（GB26453—2011）要求。</w:t>
                  </w:r>
                </w:p>
              </w:tc>
              <w:tc>
                <w:tcPr>
                  <w:tcW w:w="1251" w:type="dxa"/>
                  <w:tcBorders>
                    <w:tl2br w:val="nil"/>
                    <w:tr2bl w:val="nil"/>
                  </w:tcBorders>
                </w:tcPr>
                <w:p>
                  <w:pPr>
                    <w:rPr>
                      <w:sz w:val="18"/>
                      <w:szCs w:val="18"/>
                    </w:rPr>
                  </w:pPr>
                  <w:r>
                    <w:rPr>
                      <w:rFonts w:hint="eastAsia"/>
                      <w:sz w:val="18"/>
                      <w:szCs w:val="18"/>
                    </w:rPr>
                    <w:t>本项目不涉及氮氧化物</w:t>
                  </w:r>
                </w:p>
              </w:tc>
              <w:tc>
                <w:tcPr>
                  <w:tcW w:w="797" w:type="dxa"/>
                  <w:tcBorders>
                    <w:tl2br w:val="nil"/>
                    <w:tr2bl w:val="nil"/>
                  </w:tcBorders>
                  <w:vAlign w:val="center"/>
                </w:tcPr>
                <w:p>
                  <w:pPr>
                    <w:rPr>
                      <w:sz w:val="18"/>
                      <w:szCs w:val="18"/>
                    </w:rPr>
                  </w:pPr>
                  <w:r>
                    <w:rPr>
                      <w:rFonts w:hint="eastAsia"/>
                      <w:sz w:val="18"/>
                      <w:szCs w:val="18"/>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blHeader/>
              </w:trPr>
              <w:tc>
                <w:tcPr>
                  <w:tcW w:w="648" w:type="dxa"/>
                  <w:vMerge w:val="continue"/>
                  <w:tcBorders>
                    <w:tl2br w:val="nil"/>
                    <w:tr2bl w:val="nil"/>
                  </w:tcBorders>
                  <w:vAlign w:val="center"/>
                </w:tcPr>
                <w:p>
                  <w:pPr>
                    <w:rPr>
                      <w:sz w:val="18"/>
                      <w:szCs w:val="18"/>
                    </w:rPr>
                  </w:pPr>
                </w:p>
              </w:tc>
              <w:tc>
                <w:tcPr>
                  <w:tcW w:w="5532" w:type="dxa"/>
                  <w:tcBorders>
                    <w:tl2br w:val="nil"/>
                    <w:tr2bl w:val="nil"/>
                  </w:tcBorders>
                </w:tcPr>
                <w:p>
                  <w:pPr>
                    <w:rPr>
                      <w:sz w:val="18"/>
                      <w:szCs w:val="18"/>
                    </w:rPr>
                  </w:pPr>
                  <w:r>
                    <w:rPr>
                      <w:rFonts w:hint="eastAsia"/>
                      <w:sz w:val="18"/>
                      <w:szCs w:val="18"/>
                    </w:rPr>
                    <w:t>强化工业烟粉尘治理。燃煤发电机组严格执行《火电厂大气污染物排放标准》（GB13223—2011），配套高效除尘设施；水泥窑及窑磨一体机、水泥企业破碎机、磨机、包装机、烘干机、烘干磨、煤磨机、冷却机、水泥仓及其他通风设备、现役烧结（球团）设备机头、燃煤工业锅炉、工业炉窑均应安装高效除尘设备，确保颗粒物达标排放</w:t>
                  </w:r>
                </w:p>
              </w:tc>
              <w:tc>
                <w:tcPr>
                  <w:tcW w:w="1251" w:type="dxa"/>
                  <w:tcBorders>
                    <w:tl2br w:val="nil"/>
                    <w:tr2bl w:val="nil"/>
                  </w:tcBorders>
                </w:tcPr>
                <w:p>
                  <w:pPr>
                    <w:rPr>
                      <w:sz w:val="18"/>
                      <w:szCs w:val="18"/>
                    </w:rPr>
                  </w:pPr>
                  <w:r>
                    <w:rPr>
                      <w:rFonts w:hint="eastAsia"/>
                      <w:sz w:val="18"/>
                      <w:szCs w:val="18"/>
                    </w:rPr>
                    <w:t>本项目堆场采用喷雾抑尘、原料卸料过程采取洒水抑尘、破碎筛分过程采取水喷淋抑尘，可确保颗粒物达标排放</w:t>
                  </w:r>
                </w:p>
              </w:tc>
              <w:tc>
                <w:tcPr>
                  <w:tcW w:w="797" w:type="dxa"/>
                  <w:tcBorders>
                    <w:tl2br w:val="nil"/>
                    <w:tr2bl w:val="nil"/>
                  </w:tcBorders>
                  <w:vAlign w:val="center"/>
                </w:tcPr>
                <w:p>
                  <w:pPr>
                    <w:rPr>
                      <w:sz w:val="18"/>
                      <w:szCs w:val="18"/>
                    </w:rPr>
                  </w:pPr>
                  <w:r>
                    <w:rPr>
                      <w:rFonts w:hint="eastAsia"/>
                      <w:sz w:val="18"/>
                      <w:szCs w:val="18"/>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blHeader/>
              </w:trPr>
              <w:tc>
                <w:tcPr>
                  <w:tcW w:w="648" w:type="dxa"/>
                  <w:vMerge w:val="continue"/>
                  <w:tcBorders>
                    <w:tl2br w:val="nil"/>
                    <w:tr2bl w:val="nil"/>
                  </w:tcBorders>
                  <w:vAlign w:val="center"/>
                </w:tcPr>
                <w:p>
                  <w:pPr>
                    <w:rPr>
                      <w:sz w:val="18"/>
                      <w:szCs w:val="18"/>
                    </w:rPr>
                  </w:pPr>
                </w:p>
              </w:tc>
              <w:tc>
                <w:tcPr>
                  <w:tcW w:w="5532" w:type="dxa"/>
                  <w:tcBorders>
                    <w:tl2br w:val="nil"/>
                    <w:tr2bl w:val="nil"/>
                  </w:tcBorders>
                </w:tcPr>
                <w:p>
                  <w:pPr>
                    <w:rPr>
                      <w:sz w:val="18"/>
                      <w:szCs w:val="18"/>
                    </w:rPr>
                  </w:pPr>
                  <w:r>
                    <w:rPr>
                      <w:rFonts w:hint="eastAsia"/>
                      <w:sz w:val="18"/>
                      <w:szCs w:val="18"/>
                    </w:rPr>
                    <w:t>推进挥发性有机物综合治理。按照国家和省的部署，在包装印刷、表面涂装、有机化工等行业实施挥发性有机物综合整治；限时完成加油站、储油库、油罐车的油气回收治理；推广使用水性涂料，鼓励生产、销售和使用低毒、低挥发性有机溶剂。</w:t>
                  </w:r>
                </w:p>
              </w:tc>
              <w:tc>
                <w:tcPr>
                  <w:tcW w:w="1251" w:type="dxa"/>
                  <w:tcBorders>
                    <w:tl2br w:val="nil"/>
                    <w:tr2bl w:val="nil"/>
                  </w:tcBorders>
                </w:tcPr>
                <w:p>
                  <w:pPr>
                    <w:rPr>
                      <w:sz w:val="18"/>
                      <w:szCs w:val="18"/>
                    </w:rPr>
                  </w:pPr>
                  <w:r>
                    <w:rPr>
                      <w:rFonts w:hint="eastAsia"/>
                      <w:sz w:val="18"/>
                      <w:szCs w:val="18"/>
                    </w:rPr>
                    <w:t>本项目不涉及挥发性有机物</w:t>
                  </w:r>
                </w:p>
              </w:tc>
              <w:tc>
                <w:tcPr>
                  <w:tcW w:w="797" w:type="dxa"/>
                  <w:tcBorders>
                    <w:tl2br w:val="nil"/>
                    <w:tr2bl w:val="nil"/>
                  </w:tcBorders>
                  <w:vAlign w:val="center"/>
                </w:tcPr>
                <w:p>
                  <w:pPr>
                    <w:rPr>
                      <w:sz w:val="18"/>
                      <w:szCs w:val="18"/>
                    </w:rPr>
                  </w:pPr>
                  <w:r>
                    <w:rPr>
                      <w:rFonts w:hint="eastAsia"/>
                      <w:sz w:val="18"/>
                      <w:szCs w:val="18"/>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blHeader/>
              </w:trPr>
              <w:tc>
                <w:tcPr>
                  <w:tcW w:w="648" w:type="dxa"/>
                  <w:vMerge w:val="restart"/>
                  <w:tcBorders>
                    <w:tl2br w:val="nil"/>
                    <w:tr2bl w:val="nil"/>
                  </w:tcBorders>
                  <w:vAlign w:val="center"/>
                </w:tcPr>
                <w:p>
                  <w:pPr>
                    <w:rPr>
                      <w:sz w:val="18"/>
                      <w:szCs w:val="18"/>
                    </w:rPr>
                  </w:pPr>
                  <w:r>
                    <w:rPr>
                      <w:rFonts w:hint="eastAsia"/>
                      <w:sz w:val="18"/>
                      <w:szCs w:val="18"/>
                    </w:rPr>
                    <w:t>深化面源污染治理</w:t>
                  </w:r>
                </w:p>
              </w:tc>
              <w:tc>
                <w:tcPr>
                  <w:tcW w:w="5532" w:type="dxa"/>
                  <w:tcBorders>
                    <w:tl2br w:val="nil"/>
                    <w:tr2bl w:val="nil"/>
                  </w:tcBorders>
                </w:tcPr>
                <w:p>
                  <w:pPr>
                    <w:rPr>
                      <w:sz w:val="18"/>
                      <w:szCs w:val="18"/>
                    </w:rPr>
                  </w:pPr>
                  <w:r>
                    <w:rPr>
                      <w:rFonts w:hint="eastAsia"/>
                      <w:sz w:val="18"/>
                      <w:szCs w:val="18"/>
                    </w:rPr>
                    <w:t>强化施工扬尘监管。住房和城乡建设部门要加强房屋建筑和市政基础设施工程施工现场扬尘监管，积极推进绿色施工。施工现场应全封闭设置围挡，严禁敞开式作业，并采取防止扬尘措施，施工现场道路及材料加工区应进行地面硬化。</w:t>
                  </w:r>
                </w:p>
              </w:tc>
              <w:tc>
                <w:tcPr>
                  <w:tcW w:w="1251" w:type="dxa"/>
                  <w:tcBorders>
                    <w:tl2br w:val="nil"/>
                    <w:tr2bl w:val="nil"/>
                  </w:tcBorders>
                </w:tcPr>
                <w:p>
                  <w:pPr>
                    <w:rPr>
                      <w:sz w:val="18"/>
                      <w:szCs w:val="18"/>
                    </w:rPr>
                  </w:pPr>
                  <w:r>
                    <w:rPr>
                      <w:rFonts w:hint="eastAsia"/>
                      <w:sz w:val="18"/>
                      <w:szCs w:val="18"/>
                    </w:rPr>
                    <w:t>本项目施工过程中采取围挡、洒水降尘等防治措施及管理措施</w:t>
                  </w:r>
                </w:p>
              </w:tc>
              <w:tc>
                <w:tcPr>
                  <w:tcW w:w="797" w:type="dxa"/>
                  <w:tcBorders>
                    <w:tl2br w:val="nil"/>
                    <w:tr2bl w:val="nil"/>
                  </w:tcBorders>
                  <w:vAlign w:val="center"/>
                </w:tcPr>
                <w:p>
                  <w:pPr>
                    <w:rPr>
                      <w:sz w:val="18"/>
                      <w:szCs w:val="18"/>
                    </w:rPr>
                  </w:pPr>
                  <w:r>
                    <w:rPr>
                      <w:rFonts w:hint="eastAsia"/>
                      <w:sz w:val="18"/>
                      <w:szCs w:val="18"/>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blHeader/>
              </w:trPr>
              <w:tc>
                <w:tcPr>
                  <w:tcW w:w="648" w:type="dxa"/>
                  <w:vMerge w:val="continue"/>
                  <w:tcBorders>
                    <w:tl2br w:val="nil"/>
                    <w:tr2bl w:val="nil"/>
                  </w:tcBorders>
                </w:tcPr>
                <w:p>
                  <w:pPr>
                    <w:rPr>
                      <w:sz w:val="18"/>
                      <w:szCs w:val="18"/>
                    </w:rPr>
                  </w:pPr>
                </w:p>
              </w:tc>
              <w:tc>
                <w:tcPr>
                  <w:tcW w:w="5532" w:type="dxa"/>
                  <w:tcBorders>
                    <w:tl2br w:val="nil"/>
                    <w:tr2bl w:val="nil"/>
                  </w:tcBorders>
                </w:tcPr>
                <w:p>
                  <w:pPr>
                    <w:rPr>
                      <w:sz w:val="18"/>
                      <w:szCs w:val="18"/>
                    </w:rPr>
                  </w:pPr>
                  <w:r>
                    <w:rPr>
                      <w:rFonts w:hint="eastAsia"/>
                      <w:sz w:val="18"/>
                      <w:szCs w:val="18"/>
                    </w:rPr>
                    <w:t>推进堆场扬尘综合治理。加强煤堆、料堆监督管理，所有露天堆放的煤堆、料堆场2015年底前全部采取覆盖或建设自动喷淋装置等防风抑尘设施，电厂的煤堆、料堆应安装视频监控设施，并与城市扬尘视频监控平台联网。</w:t>
                  </w:r>
                </w:p>
              </w:tc>
              <w:tc>
                <w:tcPr>
                  <w:tcW w:w="1251" w:type="dxa"/>
                  <w:tcBorders>
                    <w:tl2br w:val="nil"/>
                    <w:tr2bl w:val="nil"/>
                  </w:tcBorders>
                </w:tcPr>
                <w:p>
                  <w:pPr>
                    <w:rPr>
                      <w:sz w:val="18"/>
                      <w:szCs w:val="18"/>
                    </w:rPr>
                  </w:pPr>
                  <w:r>
                    <w:rPr>
                      <w:rFonts w:hint="eastAsia"/>
                      <w:sz w:val="18"/>
                      <w:szCs w:val="18"/>
                    </w:rPr>
                    <w:t>本项目原料堆场采取喷雾抑尘</w:t>
                  </w:r>
                </w:p>
              </w:tc>
              <w:tc>
                <w:tcPr>
                  <w:tcW w:w="797" w:type="dxa"/>
                  <w:tcBorders>
                    <w:tl2br w:val="nil"/>
                    <w:tr2bl w:val="nil"/>
                  </w:tcBorders>
                  <w:vAlign w:val="center"/>
                </w:tcPr>
                <w:p>
                  <w:pPr>
                    <w:rPr>
                      <w:sz w:val="18"/>
                      <w:szCs w:val="18"/>
                    </w:rPr>
                  </w:pPr>
                  <w:r>
                    <w:rPr>
                      <w:rFonts w:hint="eastAsia"/>
                      <w:sz w:val="18"/>
                      <w:szCs w:val="18"/>
                    </w:rPr>
                    <w:t>符合</w:t>
                  </w:r>
                </w:p>
              </w:tc>
            </w:tr>
          </w:tbl>
          <w:p>
            <w:pPr>
              <w:pStyle w:val="9"/>
              <w:numPr>
                <w:ilvl w:val="3"/>
                <w:numId w:val="0"/>
              </w:numPr>
              <w:spacing w:line="440" w:lineRule="exact"/>
              <w:rPr>
                <w:rFonts w:ascii="Times New Roman" w:hAnsi="Times New Roman"/>
              </w:rPr>
            </w:pPr>
            <w:r>
              <w:rPr>
                <w:rFonts w:ascii="Times New Roman" w:hAnsi="Times New Roman"/>
              </w:rPr>
              <w:t>1.2.</w:t>
            </w:r>
            <w:r>
              <w:rPr>
                <w:rFonts w:hint="eastAsia" w:ascii="Times New Roman" w:hAnsi="Times New Roman"/>
              </w:rPr>
              <w:t>3</w:t>
            </w:r>
            <w:r>
              <w:rPr>
                <w:rFonts w:ascii="Times New Roman" w:hAnsi="Times New Roman"/>
              </w:rPr>
              <w:t>.</w:t>
            </w:r>
            <w:r>
              <w:rPr>
                <w:rFonts w:hint="eastAsia" w:ascii="Times New Roman" w:hAnsi="Times New Roman"/>
              </w:rPr>
              <w:t>2</w:t>
            </w:r>
            <w:r>
              <w:rPr>
                <w:rFonts w:ascii="Times New Roman" w:hAnsi="Times New Roman"/>
              </w:rPr>
              <w:t>与</w:t>
            </w:r>
            <w:r>
              <w:rPr>
                <w:rFonts w:hint="eastAsia" w:ascii="Times New Roman" w:hAnsi="Times New Roman"/>
              </w:rPr>
              <w:t>三明市水污染防治行动计划</w:t>
            </w:r>
            <w:r>
              <w:rPr>
                <w:rFonts w:ascii="Times New Roman" w:hAnsi="Times New Roman"/>
              </w:rPr>
              <w:t>符合性分析</w:t>
            </w:r>
          </w:p>
          <w:p>
            <w:pPr>
              <w:spacing w:line="440" w:lineRule="exact"/>
              <w:ind w:firstLine="480" w:firstLineChars="200"/>
              <w:rPr>
                <w:rFonts w:ascii="Times New Roman" w:hAnsi="Times New Roman"/>
              </w:rPr>
            </w:pPr>
            <w:r>
              <w:rPr>
                <w:rFonts w:hint="eastAsia" w:ascii="Times New Roman" w:hAnsi="Times New Roman"/>
              </w:rPr>
              <w:t>对照《三明市水污染防治行动计划》（明政文[2016]40号），项目符合《三明市水污染防治行动计划实施细则》相关要求，符合性分析具体见下表。</w:t>
            </w:r>
          </w:p>
          <w:p>
            <w:pPr>
              <w:pStyle w:val="34"/>
              <w:spacing w:before="120"/>
              <w:ind w:firstLine="422"/>
              <w:rPr>
                <w:rFonts w:ascii="Times New Roman" w:hAnsi="Times New Roman"/>
                <w:b/>
                <w:bCs/>
                <w:sz w:val="21"/>
                <w:szCs w:val="21"/>
              </w:rPr>
            </w:pPr>
            <w:r>
              <w:rPr>
                <w:rFonts w:ascii="Times New Roman" w:hAnsi="Times New Roman"/>
                <w:b/>
                <w:bCs/>
                <w:sz w:val="21"/>
                <w:szCs w:val="21"/>
              </w:rPr>
              <w:t>表1.</w:t>
            </w:r>
            <w:r>
              <w:rPr>
                <w:rFonts w:hint="eastAsia" w:ascii="Times New Roman" w:hAnsi="Times New Roman"/>
                <w:b/>
                <w:bCs/>
                <w:sz w:val="21"/>
                <w:szCs w:val="21"/>
              </w:rPr>
              <w:t>2</w:t>
            </w:r>
            <w:r>
              <w:rPr>
                <w:rFonts w:ascii="Times New Roman" w:hAnsi="Times New Roman"/>
                <w:b/>
                <w:bCs/>
                <w:sz w:val="21"/>
                <w:szCs w:val="21"/>
              </w:rPr>
              <w:t>-</w:t>
            </w:r>
            <w:r>
              <w:rPr>
                <w:rFonts w:hint="eastAsia" w:ascii="Times New Roman" w:hAnsi="Times New Roman"/>
                <w:b/>
                <w:bCs/>
                <w:sz w:val="21"/>
                <w:szCs w:val="21"/>
              </w:rPr>
              <w:t>4</w:t>
            </w:r>
            <w:r>
              <w:rPr>
                <w:rFonts w:ascii="Times New Roman" w:hAnsi="Times New Roman"/>
                <w:b/>
                <w:bCs/>
                <w:sz w:val="21"/>
                <w:szCs w:val="21"/>
              </w:rPr>
              <w:t xml:space="preserve"> </w:t>
            </w:r>
            <w:r>
              <w:rPr>
                <w:rFonts w:hint="eastAsia" w:ascii="Times New Roman" w:hAnsi="Times New Roman"/>
                <w:b/>
                <w:bCs/>
                <w:sz w:val="21"/>
                <w:szCs w:val="21"/>
              </w:rPr>
              <w:t>与三明市水污染防治行动计划符合性分析</w:t>
            </w:r>
          </w:p>
          <w:tbl>
            <w:tblPr>
              <w:tblStyle w:val="25"/>
              <w:tblW w:w="8235"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5454"/>
              <w:gridCol w:w="2020"/>
              <w:gridCol w:w="761"/>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454" w:type="dxa"/>
                </w:tcPr>
                <w:p>
                  <w:pPr>
                    <w:spacing w:line="290" w:lineRule="exact"/>
                    <w:jc w:val="center"/>
                    <w:rPr>
                      <w:rFonts w:ascii="Times New Roman" w:hAnsi="Times New Roman" w:eastAsiaTheme="minorEastAsia"/>
                      <w:b/>
                      <w:bCs/>
                      <w:spacing w:val="-2"/>
                      <w:sz w:val="18"/>
                      <w:szCs w:val="18"/>
                    </w:rPr>
                  </w:pPr>
                  <w:r>
                    <w:rPr>
                      <w:rFonts w:hint="eastAsia" w:ascii="Times New Roman" w:hAnsi="Times New Roman" w:eastAsiaTheme="minorEastAsia"/>
                      <w:b/>
                      <w:bCs/>
                      <w:spacing w:val="-2"/>
                      <w:sz w:val="18"/>
                      <w:szCs w:val="18"/>
                    </w:rPr>
                    <w:t>相关</w:t>
                  </w:r>
                  <w:r>
                    <w:rPr>
                      <w:rFonts w:ascii="Times New Roman" w:hAnsi="Times New Roman" w:eastAsiaTheme="minorEastAsia"/>
                      <w:b/>
                      <w:bCs/>
                      <w:spacing w:val="-2"/>
                      <w:sz w:val="18"/>
                      <w:szCs w:val="18"/>
                    </w:rPr>
                    <w:t>要求</w:t>
                  </w:r>
                </w:p>
              </w:tc>
              <w:tc>
                <w:tcPr>
                  <w:tcW w:w="2020" w:type="dxa"/>
                  <w:vAlign w:val="center"/>
                </w:tcPr>
                <w:p>
                  <w:pPr>
                    <w:spacing w:line="290" w:lineRule="exact"/>
                    <w:jc w:val="center"/>
                    <w:rPr>
                      <w:rFonts w:ascii="Times New Roman" w:hAnsi="Times New Roman" w:eastAsiaTheme="minorEastAsia"/>
                      <w:b/>
                      <w:bCs/>
                      <w:spacing w:val="-2"/>
                      <w:sz w:val="18"/>
                      <w:szCs w:val="18"/>
                    </w:rPr>
                  </w:pPr>
                  <w:r>
                    <w:rPr>
                      <w:rFonts w:ascii="Times New Roman" w:hAnsi="Times New Roman" w:eastAsiaTheme="minorEastAsia"/>
                      <w:b/>
                      <w:bCs/>
                      <w:spacing w:val="-2"/>
                      <w:sz w:val="18"/>
                      <w:szCs w:val="18"/>
                    </w:rPr>
                    <w:t>本项目情况</w:t>
                  </w:r>
                </w:p>
              </w:tc>
              <w:tc>
                <w:tcPr>
                  <w:tcW w:w="761" w:type="dxa"/>
                  <w:vAlign w:val="center"/>
                </w:tcPr>
                <w:p>
                  <w:pPr>
                    <w:spacing w:line="290" w:lineRule="exact"/>
                    <w:jc w:val="center"/>
                    <w:rPr>
                      <w:rFonts w:ascii="Times New Roman" w:hAnsi="Times New Roman" w:eastAsiaTheme="minorEastAsia"/>
                      <w:b/>
                      <w:bCs/>
                      <w:spacing w:val="-2"/>
                      <w:sz w:val="18"/>
                      <w:szCs w:val="18"/>
                    </w:rPr>
                  </w:pPr>
                  <w:r>
                    <w:rPr>
                      <w:rFonts w:ascii="Times New Roman" w:hAnsi="Times New Roman" w:eastAsiaTheme="minorEastAsia"/>
                      <w:b/>
                      <w:bCs/>
                      <w:spacing w:val="-2"/>
                      <w:sz w:val="18"/>
                      <w:szCs w:val="18"/>
                    </w:rPr>
                    <w:t>符合性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454" w:type="dxa"/>
                  <w:vAlign w:val="center"/>
                </w:tcPr>
                <w:p>
                  <w:pPr>
                    <w:spacing w:line="290" w:lineRule="exact"/>
                    <w:rPr>
                      <w:rFonts w:ascii="Times New Roman" w:hAnsi="Times New Roman" w:eastAsiaTheme="minorEastAsia"/>
                      <w:spacing w:val="-2"/>
                      <w:sz w:val="18"/>
                      <w:szCs w:val="18"/>
                    </w:rPr>
                  </w:pPr>
                  <w:r>
                    <w:rPr>
                      <w:rFonts w:hint="eastAsia" w:ascii="Times New Roman" w:hAnsi="Times New Roman" w:eastAsiaTheme="minorEastAsia"/>
                      <w:spacing w:val="-2"/>
                      <w:sz w:val="18"/>
                      <w:szCs w:val="18"/>
                    </w:rPr>
                    <w:t>取缔“十小”企业。全面排查装备水平低、环保设施差的小型工业企业。2016年底前，按照水污染防治法律法规要求，全部取缔不符合产业政策的小型造纸、印染、染料、炼焦、炼硫、炼砷、炼油、电镀、农药等严重污染水环境的生产项目。</w:t>
                  </w:r>
                </w:p>
              </w:tc>
              <w:tc>
                <w:tcPr>
                  <w:tcW w:w="2020" w:type="dxa"/>
                  <w:vAlign w:val="center"/>
                </w:tcPr>
                <w:p>
                  <w:pPr>
                    <w:spacing w:line="290" w:lineRule="exact"/>
                    <w:rPr>
                      <w:rFonts w:ascii="Times New Roman" w:hAnsi="Times New Roman" w:eastAsiaTheme="minorEastAsia"/>
                      <w:spacing w:val="-2"/>
                      <w:sz w:val="18"/>
                      <w:szCs w:val="18"/>
                    </w:rPr>
                  </w:pPr>
                  <w:r>
                    <w:rPr>
                      <w:rFonts w:hint="eastAsia" w:ascii="Times New Roman" w:hAnsi="Times New Roman" w:eastAsiaTheme="minorEastAsia"/>
                      <w:spacing w:val="-2"/>
                      <w:sz w:val="18"/>
                      <w:szCs w:val="18"/>
                    </w:rPr>
                    <w:t>本项目不属于“十小”企业</w:t>
                  </w:r>
                </w:p>
              </w:tc>
              <w:tc>
                <w:tcPr>
                  <w:tcW w:w="761" w:type="dxa"/>
                  <w:vAlign w:val="center"/>
                </w:tcPr>
                <w:p>
                  <w:pPr>
                    <w:spacing w:line="290" w:lineRule="exact"/>
                    <w:jc w:val="center"/>
                    <w:rPr>
                      <w:rFonts w:ascii="Times New Roman" w:hAnsi="Times New Roman" w:eastAsiaTheme="minorEastAsia"/>
                      <w:spacing w:val="-2"/>
                      <w:sz w:val="18"/>
                      <w:szCs w:val="18"/>
                    </w:rPr>
                  </w:pPr>
                  <w:r>
                    <w:rPr>
                      <w:rFonts w:hint="eastAsia" w:ascii="Times New Roman" w:hAnsi="Times New Roman" w:eastAsiaTheme="minorEastAsia"/>
                      <w:spacing w:val="-2"/>
                      <w:sz w:val="18"/>
                      <w:szCs w:val="18"/>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454" w:type="dxa"/>
                  <w:vAlign w:val="center"/>
                </w:tcPr>
                <w:p>
                  <w:pPr>
                    <w:spacing w:line="290" w:lineRule="exact"/>
                    <w:rPr>
                      <w:rFonts w:ascii="Times New Roman" w:hAnsi="Times New Roman" w:eastAsiaTheme="minorEastAsia"/>
                      <w:spacing w:val="-2"/>
                      <w:sz w:val="18"/>
                      <w:szCs w:val="18"/>
                    </w:rPr>
                  </w:pPr>
                  <w:r>
                    <w:rPr>
                      <w:rFonts w:hint="eastAsia" w:ascii="Times New Roman" w:hAnsi="Times New Roman" w:eastAsiaTheme="minorEastAsia"/>
                      <w:spacing w:val="-2"/>
                      <w:sz w:val="18"/>
                      <w:szCs w:val="18"/>
                    </w:rPr>
                    <w:t>专项整治十大重点行业。推进造纸、焦化、氮肥、有色金属、印染、农副食品加工、原料药制造、农药、电镀等十大重点行业专项治理，实施清洁化改造。新建、改建、扩建十大重点行业建设项目的，实行主要污染物排放等量或减量置换。</w:t>
                  </w:r>
                </w:p>
              </w:tc>
              <w:tc>
                <w:tcPr>
                  <w:tcW w:w="2020" w:type="dxa"/>
                  <w:vAlign w:val="center"/>
                </w:tcPr>
                <w:p>
                  <w:pPr>
                    <w:spacing w:line="290" w:lineRule="exact"/>
                    <w:rPr>
                      <w:rFonts w:ascii="Times New Roman" w:hAnsi="Times New Roman" w:eastAsiaTheme="minorEastAsia"/>
                      <w:spacing w:val="-2"/>
                      <w:sz w:val="18"/>
                      <w:szCs w:val="18"/>
                    </w:rPr>
                  </w:pPr>
                  <w:r>
                    <w:rPr>
                      <w:rFonts w:hint="eastAsia" w:ascii="Times New Roman" w:hAnsi="Times New Roman" w:eastAsiaTheme="minorEastAsia"/>
                      <w:spacing w:val="-2"/>
                      <w:sz w:val="18"/>
                      <w:szCs w:val="18"/>
                    </w:rPr>
                    <w:t>本项目行业类别为废弃资源综合利用业，不属于造纸、焦化、氮肥、有色金属等专项整治十大重点行业</w:t>
                  </w:r>
                </w:p>
              </w:tc>
              <w:tc>
                <w:tcPr>
                  <w:tcW w:w="761" w:type="dxa"/>
                  <w:vAlign w:val="center"/>
                </w:tcPr>
                <w:p>
                  <w:pPr>
                    <w:spacing w:line="290" w:lineRule="exact"/>
                    <w:jc w:val="center"/>
                    <w:rPr>
                      <w:rFonts w:ascii="Times New Roman" w:hAnsi="Times New Roman" w:eastAsiaTheme="minorEastAsia"/>
                      <w:spacing w:val="-2"/>
                      <w:sz w:val="18"/>
                      <w:szCs w:val="18"/>
                    </w:rPr>
                  </w:pPr>
                  <w:r>
                    <w:rPr>
                      <w:rFonts w:hint="eastAsia" w:ascii="Times New Roman" w:hAnsi="Times New Roman" w:eastAsiaTheme="minorEastAsia"/>
                      <w:spacing w:val="-2"/>
                      <w:sz w:val="18"/>
                      <w:szCs w:val="18"/>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c>
                <w:tcPr>
                  <w:tcW w:w="5454" w:type="dxa"/>
                  <w:vAlign w:val="center"/>
                </w:tcPr>
                <w:p>
                  <w:pPr>
                    <w:spacing w:line="290" w:lineRule="exact"/>
                    <w:rPr>
                      <w:rFonts w:ascii="Times New Roman" w:hAnsi="Times New Roman" w:eastAsiaTheme="minorEastAsia"/>
                      <w:spacing w:val="-2"/>
                      <w:sz w:val="18"/>
                      <w:szCs w:val="18"/>
                    </w:rPr>
                  </w:pPr>
                  <w:r>
                    <w:rPr>
                      <w:rFonts w:hint="eastAsia" w:ascii="Times New Roman" w:hAnsi="Times New Roman" w:eastAsiaTheme="minorEastAsia"/>
                      <w:spacing w:val="-2"/>
                      <w:sz w:val="18"/>
                      <w:szCs w:val="18"/>
                    </w:rPr>
                    <w:t>持续整治矿山采选行业。沙溪、金溪、尤溪流域干流、一级支流、饮用水源沿岸一重山范围内禁止新设立矿业权，该区域内及流域所有无证、非法采矿予以取缔。现有建筑饰面石材集中加工区域应建成污水集中处理设施，配套污水管网和水回用系统，实现循环使用。现有零散分布的建筑饰面石材企业应严格执行环保相关要求，达标排放，并实施差别电价政策，促进零散企业尽快搬入集中区。现有国家严格控制的重金属采选企业要于2015年底前完善废水治理设施，选矿废水全部循环利用，逾期未完成的，予以关停整顿。尤溪、大田县要开展铅锌矿业污染专项整治，方案报省环保厅、市环保局备案，并于2016年底前完成整治任务。</w:t>
                  </w:r>
                </w:p>
              </w:tc>
              <w:tc>
                <w:tcPr>
                  <w:tcW w:w="2020" w:type="dxa"/>
                  <w:vAlign w:val="center"/>
                </w:tcPr>
                <w:p>
                  <w:pPr>
                    <w:spacing w:line="290" w:lineRule="exact"/>
                    <w:rPr>
                      <w:rFonts w:ascii="Times New Roman" w:hAnsi="Times New Roman" w:eastAsiaTheme="minorEastAsia"/>
                      <w:spacing w:val="-2"/>
                      <w:sz w:val="18"/>
                      <w:szCs w:val="18"/>
                    </w:rPr>
                  </w:pPr>
                  <w:r>
                    <w:rPr>
                      <w:rFonts w:hint="eastAsia" w:ascii="Times New Roman" w:hAnsi="Times New Roman" w:eastAsiaTheme="minorEastAsia"/>
                      <w:spacing w:val="-2"/>
                      <w:sz w:val="18"/>
                      <w:szCs w:val="18"/>
                    </w:rPr>
                    <w:t>本项目行业类别为废弃资源综合利用业，不属于矿山采选行业</w:t>
                  </w:r>
                </w:p>
              </w:tc>
              <w:tc>
                <w:tcPr>
                  <w:tcW w:w="761" w:type="dxa"/>
                  <w:vAlign w:val="center"/>
                </w:tcPr>
                <w:p>
                  <w:pPr>
                    <w:spacing w:line="290" w:lineRule="exact"/>
                    <w:jc w:val="center"/>
                    <w:rPr>
                      <w:rFonts w:ascii="Times New Roman" w:hAnsi="Times New Roman" w:eastAsiaTheme="minorEastAsia"/>
                      <w:spacing w:val="-2"/>
                      <w:sz w:val="18"/>
                      <w:szCs w:val="18"/>
                    </w:rPr>
                  </w:pPr>
                  <w:r>
                    <w:rPr>
                      <w:rFonts w:hint="eastAsia" w:ascii="Times New Roman" w:hAnsi="Times New Roman" w:eastAsiaTheme="minorEastAsia"/>
                      <w:spacing w:val="-2"/>
                      <w:sz w:val="18"/>
                      <w:szCs w:val="18"/>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454" w:type="dxa"/>
                  <w:vAlign w:val="center"/>
                </w:tcPr>
                <w:p>
                  <w:pPr>
                    <w:spacing w:line="290" w:lineRule="exact"/>
                    <w:rPr>
                      <w:rFonts w:ascii="Times New Roman" w:hAnsi="Times New Roman" w:eastAsiaTheme="minorEastAsia"/>
                      <w:spacing w:val="-2"/>
                      <w:sz w:val="18"/>
                      <w:szCs w:val="18"/>
                    </w:rPr>
                  </w:pPr>
                  <w:r>
                    <w:rPr>
                      <w:rFonts w:hint="eastAsia" w:ascii="Times New Roman" w:hAnsi="Times New Roman" w:eastAsiaTheme="minorEastAsia"/>
                      <w:spacing w:val="-2"/>
                      <w:sz w:val="18"/>
                      <w:szCs w:val="18"/>
                    </w:rPr>
                    <w:t>集中治理工业集聚区水污染。推进印染行业集控区水污染集中治理，新建企业必须全部进入相应行业的集控区，实施“以大带小”、“以新带老”，坚持主要污染物排放量“等量置换”或“减量置换”原则，实现主要污染物排放零增长；区内所有企业必须全面实现废水分流分治、深度处理，含重金属废水必须进行预处理，达到车间排放标准；所有集控区应同步建成污水集中处理设施并安装自动在线监控装置，否则一律不准生产。</w:t>
                  </w:r>
                </w:p>
              </w:tc>
              <w:tc>
                <w:tcPr>
                  <w:tcW w:w="2020" w:type="dxa"/>
                  <w:vAlign w:val="center"/>
                </w:tcPr>
                <w:p>
                  <w:pPr>
                    <w:spacing w:line="290" w:lineRule="exact"/>
                    <w:rPr>
                      <w:rFonts w:ascii="Times New Roman" w:hAnsi="Times New Roman" w:eastAsiaTheme="minorEastAsia"/>
                      <w:spacing w:val="-2"/>
                      <w:sz w:val="18"/>
                      <w:szCs w:val="18"/>
                    </w:rPr>
                  </w:pPr>
                  <w:r>
                    <w:rPr>
                      <w:rFonts w:hint="eastAsia" w:ascii="Times New Roman" w:hAnsi="Times New Roman" w:eastAsiaTheme="minorEastAsia"/>
                      <w:spacing w:val="-2"/>
                      <w:sz w:val="18"/>
                      <w:szCs w:val="18"/>
                    </w:rPr>
                    <w:t>本项目位于铸造集聚区，项目生产废水主要为铁粉仓堆干渗滤水，浓缩罐废水、压滤废水废水，主要污染因子为悬浮物和石油类，经管道收集通过“隔油池+沉淀池”处理后回用，生活污水经处理后用于周边山林地灌溉，废水均可妥善处理。</w:t>
                  </w:r>
                </w:p>
              </w:tc>
              <w:tc>
                <w:tcPr>
                  <w:tcW w:w="761" w:type="dxa"/>
                  <w:vAlign w:val="center"/>
                </w:tcPr>
                <w:p>
                  <w:pPr>
                    <w:spacing w:line="290" w:lineRule="exact"/>
                    <w:jc w:val="center"/>
                    <w:rPr>
                      <w:rFonts w:ascii="Times New Roman" w:hAnsi="Times New Roman" w:eastAsiaTheme="minorEastAsia"/>
                      <w:spacing w:val="-2"/>
                      <w:sz w:val="18"/>
                      <w:szCs w:val="18"/>
                    </w:rPr>
                  </w:pPr>
                  <w:r>
                    <w:rPr>
                      <w:rFonts w:hint="eastAsia" w:ascii="Times New Roman" w:hAnsi="Times New Roman" w:eastAsiaTheme="minorEastAsia"/>
                      <w:spacing w:val="-2"/>
                      <w:sz w:val="18"/>
                      <w:szCs w:val="18"/>
                    </w:rPr>
                    <w:t>符合</w:t>
                  </w:r>
                </w:p>
              </w:tc>
            </w:tr>
          </w:tbl>
          <w:p>
            <w:pPr>
              <w:pStyle w:val="8"/>
              <w:numPr>
                <w:ilvl w:val="0"/>
                <w:numId w:val="0"/>
              </w:numPr>
              <w:spacing w:line="440" w:lineRule="exact"/>
              <w:rPr>
                <w:rFonts w:ascii="Times New Roman" w:hAnsi="Times New Roman"/>
              </w:rPr>
            </w:pPr>
            <w:r>
              <w:rPr>
                <w:rFonts w:ascii="Times New Roman" w:hAnsi="Times New Roman"/>
              </w:rPr>
              <w:t>1.2.</w:t>
            </w:r>
            <w:r>
              <w:rPr>
                <w:rFonts w:hint="eastAsia" w:ascii="Times New Roman" w:hAnsi="Times New Roman"/>
              </w:rPr>
              <w:t>4</w:t>
            </w:r>
            <w:r>
              <w:rPr>
                <w:rFonts w:ascii="Times New Roman" w:hAnsi="Times New Roman"/>
              </w:rPr>
              <w:t>选址合理性分析</w:t>
            </w:r>
          </w:p>
          <w:p>
            <w:pPr>
              <w:pStyle w:val="9"/>
              <w:numPr>
                <w:ilvl w:val="3"/>
                <w:numId w:val="0"/>
              </w:numPr>
              <w:spacing w:line="440" w:lineRule="exact"/>
              <w:rPr>
                <w:rFonts w:ascii="Times New Roman" w:hAnsi="Times New Roman"/>
              </w:rPr>
            </w:pPr>
            <w:r>
              <w:rPr>
                <w:rFonts w:ascii="Times New Roman" w:hAnsi="Times New Roman"/>
              </w:rPr>
              <w:t>1.2.</w:t>
            </w:r>
            <w:r>
              <w:rPr>
                <w:rFonts w:hint="eastAsia" w:ascii="Times New Roman" w:hAnsi="Times New Roman"/>
              </w:rPr>
              <w:t>4</w:t>
            </w:r>
            <w:r>
              <w:rPr>
                <w:rFonts w:ascii="Times New Roman" w:hAnsi="Times New Roman"/>
              </w:rPr>
              <w:t>.1与大田县</w:t>
            </w:r>
            <w:r>
              <w:rPr>
                <w:rFonts w:hint="eastAsia" w:ascii="Times New Roman" w:hAnsi="Times New Roman"/>
              </w:rPr>
              <w:t>武陵乡大石村村庄</w:t>
            </w:r>
            <w:r>
              <w:rPr>
                <w:rFonts w:ascii="Times New Roman" w:hAnsi="Times New Roman"/>
              </w:rPr>
              <w:t>规划符合性分析</w:t>
            </w:r>
          </w:p>
          <w:p>
            <w:pPr>
              <w:pStyle w:val="46"/>
              <w:rPr>
                <w:color w:val="auto"/>
              </w:rPr>
            </w:pPr>
            <w:r>
              <w:rPr>
                <w:rFonts w:hint="eastAsia"/>
                <w:color w:val="auto"/>
              </w:rPr>
              <w:t>项目厂址位于武陵乡大石村的铸造集聚区，对照《大田县武陵乡大石村村庄规划（2019-2035）》，该项目用地范围位于大石村建设用地管制区中的城镇建设用地。根据大田县自然资源局开具的《大田县武陵乡大石村村庄规划局部图》，项目用地位于城镇开发边界内，属于工业用地，不涉及永久基本农田和生态保护红线，地块为二类工业用地；符合大石村土地利用规划。</w:t>
            </w:r>
          </w:p>
          <w:p>
            <w:pPr>
              <w:pStyle w:val="46"/>
              <w:rPr>
                <w:color w:val="auto"/>
              </w:rPr>
            </w:pPr>
            <w:r>
              <w:rPr>
                <w:rFonts w:hint="eastAsia"/>
                <w:color w:val="auto"/>
              </w:rPr>
              <w:t>因此，本项目选址符合大田县武陵乡大石村村庄规划。</w:t>
            </w:r>
          </w:p>
          <w:p>
            <w:pPr>
              <w:pStyle w:val="9"/>
              <w:numPr>
                <w:ilvl w:val="3"/>
                <w:numId w:val="0"/>
              </w:numPr>
              <w:spacing w:line="440" w:lineRule="exact"/>
              <w:rPr>
                <w:rFonts w:ascii="Times New Roman" w:hAnsi="Times New Roman"/>
              </w:rPr>
            </w:pPr>
            <w:r>
              <w:rPr>
                <w:rFonts w:ascii="Times New Roman" w:hAnsi="Times New Roman"/>
              </w:rPr>
              <w:t>1.2.</w:t>
            </w:r>
            <w:r>
              <w:rPr>
                <w:rFonts w:hint="eastAsia" w:ascii="Times New Roman" w:hAnsi="Times New Roman"/>
              </w:rPr>
              <w:t>4</w:t>
            </w:r>
            <w:r>
              <w:rPr>
                <w:rFonts w:ascii="Times New Roman" w:hAnsi="Times New Roman"/>
              </w:rPr>
              <w:t>.2与大田县生态功能区划的符合性分析</w:t>
            </w:r>
          </w:p>
          <w:p>
            <w:pPr>
              <w:pStyle w:val="46"/>
              <w:rPr>
                <w:color w:val="auto"/>
              </w:rPr>
            </w:pPr>
            <w:r>
              <w:rPr>
                <w:color w:val="auto"/>
              </w:rPr>
              <w:t>根据《大田县生态功能区划图》（</w:t>
            </w:r>
            <w:r>
              <w:rPr>
                <w:color w:val="auto"/>
              </w:rPr>
              <w:fldChar w:fldCharType="begin"/>
            </w:r>
            <w:r>
              <w:rPr>
                <w:color w:val="auto"/>
              </w:rPr>
              <w:instrText xml:space="preserve"> REF _Ref54351948 \r \h  \* MERGEFORMAT </w:instrText>
            </w:r>
            <w:r>
              <w:rPr>
                <w:color w:val="auto"/>
              </w:rPr>
              <w:fldChar w:fldCharType="separate"/>
            </w:r>
            <w:r>
              <w:rPr>
                <w:color w:val="auto"/>
              </w:rPr>
              <w:t>附图</w:t>
            </w:r>
            <w:r>
              <w:rPr>
                <w:rFonts w:hint="eastAsia"/>
                <w:color w:val="auto"/>
                <w:lang w:val="en-US" w:eastAsia="zh-CN"/>
              </w:rPr>
              <w:t>3</w:t>
            </w:r>
            <w:r>
              <w:rPr>
                <w:color w:val="auto"/>
              </w:rPr>
              <w:fldChar w:fldCharType="end"/>
            </w:r>
            <w:r>
              <w:rPr>
                <w:color w:val="auto"/>
              </w:rPr>
              <w:t>），项目所处区域</w:t>
            </w:r>
            <w:r>
              <w:rPr>
                <w:rFonts w:hint="eastAsia"/>
                <w:color w:val="auto"/>
              </w:rPr>
              <w:t>属于大田县南部中低山水源涵养生态功能小区（230342501）</w:t>
            </w:r>
            <w:r>
              <w:rPr>
                <w:color w:val="auto"/>
              </w:rPr>
              <w:t>，</w:t>
            </w:r>
            <w:r>
              <w:rPr>
                <w:rFonts w:hint="eastAsia"/>
                <w:color w:val="auto"/>
              </w:rPr>
              <w:t>范围为石牌镇、上京镇东南部、武陵乡、谢洋乡东部、济阳乡、屏山乡、吴山乡。</w:t>
            </w:r>
            <w:r>
              <w:rPr>
                <w:color w:val="auto"/>
              </w:rPr>
              <w:t>其主导功能</w:t>
            </w:r>
            <w:r>
              <w:rPr>
                <w:rFonts w:hint="eastAsia"/>
                <w:color w:val="auto"/>
              </w:rPr>
              <w:t>主要为水源涵养，辅助功能为水土保持、备用饮用水源。</w:t>
            </w:r>
          </w:p>
          <w:p>
            <w:pPr>
              <w:pStyle w:val="46"/>
              <w:rPr>
                <w:color w:val="auto"/>
              </w:rPr>
            </w:pPr>
            <w:r>
              <w:rPr>
                <w:color w:val="auto"/>
              </w:rPr>
              <w:t>本项目</w:t>
            </w:r>
            <w:r>
              <w:rPr>
                <w:rFonts w:hint="eastAsia"/>
                <w:color w:val="auto"/>
              </w:rPr>
              <w:t>租用岩盛公司部分闲置厂房作为生产用地，基本不涉及土石方开挖作业，不会对水源涵养、水土保持造成不利影响；项目对铸铁渣、转炉渣、钢渣等进行回收利用制备铁粉</w:t>
            </w:r>
            <w:r>
              <w:rPr>
                <w:color w:val="auto"/>
              </w:rPr>
              <w:t>，</w:t>
            </w:r>
            <w:r>
              <w:rPr>
                <w:rFonts w:hint="eastAsia"/>
                <w:color w:val="auto"/>
              </w:rPr>
              <w:t>用水主要包括球磨</w:t>
            </w:r>
            <w:r>
              <w:rPr>
                <w:color w:val="auto"/>
              </w:rPr>
              <w:t>用水</w:t>
            </w:r>
            <w:r>
              <w:rPr>
                <w:rFonts w:hint="eastAsia"/>
                <w:color w:val="auto"/>
              </w:rPr>
              <w:t>、磁选用水和破碎、筛分过程喷淋抑尘用水等，用水量小，生产废水</w:t>
            </w:r>
            <w:r>
              <w:rPr>
                <w:color w:val="auto"/>
              </w:rPr>
              <w:t>经</w:t>
            </w:r>
            <w:r>
              <w:rPr>
                <w:rFonts w:hint="eastAsia"/>
                <w:color w:val="auto"/>
              </w:rPr>
              <w:t>“隔油池+沉淀池”</w:t>
            </w:r>
            <w:r>
              <w:rPr>
                <w:color w:val="auto"/>
              </w:rPr>
              <w:t>处理后循环使用不外排，与</w:t>
            </w:r>
            <w:r>
              <w:rPr>
                <w:rFonts w:hint="eastAsia"/>
                <w:color w:val="auto"/>
              </w:rPr>
              <w:t>水源涵养的</w:t>
            </w:r>
            <w:r>
              <w:rPr>
                <w:color w:val="auto"/>
              </w:rPr>
              <w:t>主导功能</w:t>
            </w:r>
            <w:r>
              <w:rPr>
                <w:rFonts w:hint="eastAsia"/>
                <w:color w:val="auto"/>
              </w:rPr>
              <w:t>不冲突。</w:t>
            </w:r>
            <w:r>
              <w:rPr>
                <w:color w:val="auto"/>
              </w:rPr>
              <w:t>因此，项目建设与项目所在生态功能</w:t>
            </w:r>
            <w:r>
              <w:rPr>
                <w:rFonts w:hint="eastAsia"/>
                <w:color w:val="auto"/>
              </w:rPr>
              <w:t>区划</w:t>
            </w:r>
            <w:r>
              <w:rPr>
                <w:color w:val="auto"/>
              </w:rPr>
              <w:t>要求相符合。</w:t>
            </w:r>
          </w:p>
          <w:p>
            <w:pPr>
              <w:pStyle w:val="9"/>
              <w:numPr>
                <w:ilvl w:val="3"/>
                <w:numId w:val="0"/>
              </w:numPr>
              <w:spacing w:line="440" w:lineRule="exact"/>
              <w:rPr>
                <w:rFonts w:ascii="Times New Roman" w:hAnsi="Times New Roman"/>
              </w:rPr>
            </w:pPr>
            <w:r>
              <w:rPr>
                <w:rFonts w:ascii="Times New Roman" w:hAnsi="Times New Roman"/>
              </w:rPr>
              <w:t>1.2.</w:t>
            </w:r>
            <w:r>
              <w:rPr>
                <w:rFonts w:hint="eastAsia" w:ascii="Times New Roman" w:hAnsi="Times New Roman"/>
              </w:rPr>
              <w:t>4</w:t>
            </w:r>
            <w:r>
              <w:rPr>
                <w:rFonts w:ascii="Times New Roman" w:hAnsi="Times New Roman"/>
              </w:rPr>
              <w:t>.3周边环境相容性分析</w:t>
            </w:r>
          </w:p>
          <w:p>
            <w:pPr>
              <w:pStyle w:val="46"/>
              <w:rPr>
                <w:color w:val="auto"/>
              </w:rPr>
            </w:pPr>
            <w:r>
              <w:rPr>
                <w:color w:val="auto"/>
              </w:rPr>
              <w:t>项目位于三明市大田县</w:t>
            </w:r>
            <w:r>
              <w:rPr>
                <w:rFonts w:hint="eastAsia"/>
                <w:color w:val="auto"/>
              </w:rPr>
              <w:t>武陵乡的铸造集聚区</w:t>
            </w:r>
            <w:r>
              <w:rPr>
                <w:color w:val="auto"/>
              </w:rPr>
              <w:t>，</w:t>
            </w:r>
            <w:r>
              <w:rPr>
                <w:rFonts w:hint="eastAsia"/>
                <w:color w:val="auto"/>
              </w:rPr>
              <w:t>租用岩盛公司部分闲置厂房，项目西侧为山林地，北侧为山林地，东南侧为岩盛公司遗留的烧结设备</w:t>
            </w:r>
            <w:r>
              <w:rPr>
                <w:color w:val="auto"/>
              </w:rPr>
              <w:t>，</w:t>
            </w:r>
            <w:r>
              <w:rPr>
                <w:rFonts w:hint="eastAsia"/>
                <w:color w:val="auto"/>
              </w:rPr>
              <w:t>南侧为山林地及岩盛公司铸造项目区域，</w:t>
            </w:r>
            <w:r>
              <w:rPr>
                <w:color w:val="auto"/>
              </w:rPr>
              <w:t>距离项目最近的环境保护目标为项目</w:t>
            </w:r>
            <w:r>
              <w:rPr>
                <w:rFonts w:hint="eastAsia"/>
                <w:color w:val="auto"/>
              </w:rPr>
              <w:t>西北</w:t>
            </w:r>
            <w:r>
              <w:rPr>
                <w:color w:val="auto"/>
              </w:rPr>
              <w:t>侧距离约</w:t>
            </w:r>
            <w:r>
              <w:rPr>
                <w:rFonts w:hint="eastAsia"/>
                <w:color w:val="auto"/>
              </w:rPr>
              <w:t>240m</w:t>
            </w:r>
            <w:r>
              <w:rPr>
                <w:color w:val="auto"/>
              </w:rPr>
              <w:t>的</w:t>
            </w:r>
            <w:r>
              <w:rPr>
                <w:rFonts w:hint="eastAsia"/>
                <w:color w:val="auto"/>
              </w:rPr>
              <w:t>大石村零散</w:t>
            </w:r>
            <w:r>
              <w:rPr>
                <w:color w:val="auto"/>
              </w:rPr>
              <w:t>居民点（见附图</w:t>
            </w:r>
            <w:r>
              <w:rPr>
                <w:rFonts w:hint="eastAsia"/>
                <w:color w:val="auto"/>
                <w:lang w:val="en-US" w:eastAsia="zh-CN"/>
              </w:rPr>
              <w:t>6</w:t>
            </w:r>
            <w:r>
              <w:rPr>
                <w:color w:val="auto"/>
              </w:rPr>
              <w:t>），与本项目厂房之间有山体</w:t>
            </w:r>
            <w:r>
              <w:rPr>
                <w:rFonts w:hint="eastAsia"/>
                <w:color w:val="auto"/>
              </w:rPr>
              <w:t>相隔</w:t>
            </w:r>
            <w:r>
              <w:rPr>
                <w:color w:val="auto"/>
              </w:rPr>
              <w:t>。</w:t>
            </w:r>
          </w:p>
          <w:p>
            <w:pPr>
              <w:pStyle w:val="46"/>
              <w:rPr>
                <w:color w:val="auto"/>
              </w:rPr>
            </w:pPr>
            <w:r>
              <w:rPr>
                <w:color w:val="auto"/>
              </w:rPr>
              <w:t>项目废气主要为粉尘，</w:t>
            </w:r>
            <w:r>
              <w:rPr>
                <w:rFonts w:hint="eastAsia"/>
                <w:color w:val="auto"/>
              </w:rPr>
              <w:t>原料卸料采取洒水抑尘，原料堆场</w:t>
            </w:r>
            <w:r>
              <w:rPr>
                <w:color w:val="auto"/>
              </w:rPr>
              <w:t>配备</w:t>
            </w:r>
            <w:r>
              <w:rPr>
                <w:rFonts w:hint="eastAsia"/>
                <w:color w:val="auto"/>
              </w:rPr>
              <w:t>喷雾</w:t>
            </w:r>
            <w:r>
              <w:rPr>
                <w:color w:val="auto"/>
              </w:rPr>
              <w:t>降尘措施，</w:t>
            </w:r>
            <w:r>
              <w:rPr>
                <w:rFonts w:hint="eastAsia"/>
                <w:color w:val="auto"/>
              </w:rPr>
              <w:t>破碎、筛分等工序采取水喷淋抑尘，车辆运输采取洒水抑尘，</w:t>
            </w:r>
            <w:r>
              <w:rPr>
                <w:color w:val="auto"/>
              </w:rPr>
              <w:t>粉尘排放对周围环境影响较小</w:t>
            </w:r>
            <w:r>
              <w:rPr>
                <w:rFonts w:hint="eastAsia"/>
                <w:color w:val="auto"/>
              </w:rPr>
              <w:t>，</w:t>
            </w:r>
            <w:r>
              <w:rPr>
                <w:color w:val="auto"/>
                <w:kern w:val="0"/>
                <w:shd w:val="clear" w:color="auto" w:fill="FFFFFF"/>
              </w:rPr>
              <w:t>项目</w:t>
            </w:r>
            <w:r>
              <w:rPr>
                <w:rFonts w:hint="eastAsia"/>
                <w:color w:val="auto"/>
                <w:kern w:val="0"/>
                <w:shd w:val="clear" w:color="auto" w:fill="FFFFFF"/>
              </w:rPr>
              <w:t>大气</w:t>
            </w:r>
            <w:r>
              <w:rPr>
                <w:color w:val="auto"/>
                <w:kern w:val="0"/>
                <w:shd w:val="clear" w:color="auto" w:fill="FFFFFF"/>
              </w:rPr>
              <w:t>环境防护</w:t>
            </w:r>
            <w:r>
              <w:rPr>
                <w:rFonts w:hint="eastAsia"/>
                <w:color w:val="auto"/>
                <w:kern w:val="0"/>
                <w:shd w:val="clear" w:color="auto" w:fill="FFFFFF"/>
              </w:rPr>
              <w:t>距离为</w:t>
            </w:r>
            <w:r>
              <w:rPr>
                <w:rFonts w:hint="eastAsia"/>
                <w:color w:val="auto"/>
              </w:rPr>
              <w:t>原料堆场、尾渣堆场及破碎、筛分区外延100m、50m、50m，</w:t>
            </w:r>
            <w:r>
              <w:rPr>
                <w:rFonts w:hint="eastAsia"/>
                <w:color w:val="auto"/>
                <w:shd w:val="clear" w:color="auto" w:fill="FFFFFF"/>
                <w:lang w:bidi="ar"/>
              </w:rPr>
              <w:t>防护距离内不涉及居民住宅、学校、医院等敏感目标</w:t>
            </w:r>
            <w:r>
              <w:rPr>
                <w:color w:val="auto"/>
              </w:rPr>
              <w:t>；</w:t>
            </w:r>
            <w:r>
              <w:rPr>
                <w:rFonts w:hint="eastAsia"/>
                <w:color w:val="auto"/>
              </w:rPr>
              <w:t>生产废水</w:t>
            </w:r>
            <w:r>
              <w:rPr>
                <w:color w:val="auto"/>
              </w:rPr>
              <w:t>经</w:t>
            </w:r>
            <w:r>
              <w:rPr>
                <w:rFonts w:hint="eastAsia"/>
                <w:color w:val="auto"/>
              </w:rPr>
              <w:t>“隔油池+沉淀池”</w:t>
            </w:r>
            <w:r>
              <w:rPr>
                <w:color w:val="auto"/>
              </w:rPr>
              <w:t>处理后循环使用不外排，生活污水</w:t>
            </w:r>
            <w:r>
              <w:rPr>
                <w:rFonts w:hint="eastAsia"/>
                <w:color w:val="auto"/>
              </w:rPr>
              <w:t>经</w:t>
            </w:r>
            <w:r>
              <w:rPr>
                <w:color w:val="auto"/>
              </w:rPr>
              <w:t>处理后用于周边山林地</w:t>
            </w:r>
            <w:r>
              <w:rPr>
                <w:rFonts w:hint="eastAsia"/>
                <w:color w:val="auto"/>
              </w:rPr>
              <w:t>灌溉。</w:t>
            </w:r>
            <w:r>
              <w:rPr>
                <w:color w:val="auto"/>
              </w:rPr>
              <w:t>项目</w:t>
            </w:r>
            <w:r>
              <w:rPr>
                <w:rFonts w:hint="eastAsia"/>
                <w:color w:val="auto"/>
              </w:rPr>
              <w:t>位于铸造产业集聚区</w:t>
            </w:r>
            <w:r>
              <w:rPr>
                <w:color w:val="auto"/>
              </w:rPr>
              <w:t>，</w:t>
            </w:r>
            <w:r>
              <w:rPr>
                <w:rFonts w:hint="eastAsia"/>
                <w:color w:val="auto"/>
              </w:rPr>
              <w:t>与项目最近的环境敏感目标为西北侧240m的大石村零散居民点，与本项目之间有山体</w:t>
            </w:r>
            <w:r>
              <w:rPr>
                <w:color w:val="auto"/>
              </w:rPr>
              <w:t>阻隔，</w:t>
            </w:r>
            <w:r>
              <w:rPr>
                <w:rFonts w:hint="eastAsia"/>
                <w:color w:val="auto"/>
              </w:rPr>
              <w:t>噪声</w:t>
            </w:r>
            <w:r>
              <w:rPr>
                <w:color w:val="auto"/>
              </w:rPr>
              <w:t>对周围的环境影响较小；固废均综合利用或妥善处置</w:t>
            </w:r>
            <w:r>
              <w:rPr>
                <w:rFonts w:hint="eastAsia"/>
                <w:color w:val="auto"/>
              </w:rPr>
              <w:t>，</w:t>
            </w:r>
            <w:r>
              <w:rPr>
                <w:color w:val="auto"/>
              </w:rPr>
              <w:t>不会产生二次污染。</w:t>
            </w:r>
          </w:p>
          <w:p>
            <w:pPr>
              <w:pStyle w:val="46"/>
            </w:pPr>
            <w:r>
              <w:rPr>
                <w:color w:val="auto"/>
              </w:rPr>
              <w:t>综上，通过采取</w:t>
            </w:r>
            <w:r>
              <w:rPr>
                <w:rFonts w:hint="eastAsia"/>
                <w:color w:val="auto"/>
              </w:rPr>
              <w:t>有效</w:t>
            </w:r>
            <w:r>
              <w:rPr>
                <w:color w:val="auto"/>
              </w:rPr>
              <w:t>的污染防治措施，各项污染物均可达标排放，对周围环境响较小。本项目与周围环境相容。</w:t>
            </w:r>
          </w:p>
        </w:tc>
      </w:tr>
    </w:tbl>
    <w:p>
      <w:pPr>
        <w:spacing w:line="360" w:lineRule="auto"/>
        <w:ind w:firstLine="600"/>
        <w:outlineLvl w:val="0"/>
        <w:rPr>
          <w:rFonts w:ascii="Times New Roman" w:hAnsi="Times New Roman" w:eastAsia="黑体"/>
          <w:sz w:val="30"/>
        </w:rPr>
        <w:sectPr>
          <w:footerReference r:id="rId6" w:type="default"/>
          <w:pgSz w:w="11906" w:h="16838"/>
          <w:pgMar w:top="1701" w:right="1531" w:bottom="1701" w:left="1531" w:header="851" w:footer="1077" w:gutter="0"/>
          <w:pgNumType w:start="1"/>
          <w:cols w:space="720" w:num="1"/>
          <w:docGrid w:linePitch="312" w:charSpace="0"/>
        </w:sectPr>
      </w:pPr>
    </w:p>
    <w:p>
      <w:pPr>
        <w:pStyle w:val="23"/>
        <w:numPr>
          <w:ilvl w:val="0"/>
          <w:numId w:val="6"/>
        </w:numPr>
        <w:ind w:firstLine="600"/>
        <w:jc w:val="center"/>
        <w:outlineLvl w:val="0"/>
        <w:rPr>
          <w:rFonts w:ascii="Times New Roman" w:hAnsi="Times New Roman" w:eastAsia="黑体"/>
          <w:snapToGrid w:val="0"/>
          <w:sz w:val="30"/>
          <w:szCs w:val="30"/>
        </w:rPr>
      </w:pPr>
      <w:r>
        <w:rPr>
          <w:rFonts w:ascii="Times New Roman" w:hAnsi="Times New Roman" w:eastAsia="黑体"/>
          <w:snapToGrid w:val="0"/>
          <w:sz w:val="30"/>
          <w:szCs w:val="30"/>
        </w:rPr>
        <w:t>建设项目工程分析</w:t>
      </w:r>
    </w:p>
    <w:tbl>
      <w:tblPr>
        <w:tblStyle w:val="25"/>
        <w:tblW w:w="5035"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44"/>
        <w:gridCol w:w="827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404" w:hRule="atLeast"/>
          <w:jc w:val="center"/>
        </w:trPr>
        <w:tc>
          <w:tcPr>
            <w:tcW w:w="462" w:type="pct"/>
            <w:tcBorders>
              <w:bottom w:val="single" w:color="auto" w:sz="4" w:space="0"/>
            </w:tcBorders>
            <w:vAlign w:val="center"/>
          </w:tcPr>
          <w:p>
            <w:pPr>
              <w:pStyle w:val="23"/>
              <w:adjustRightInd w:val="0"/>
              <w:snapToGrid w:val="0"/>
              <w:spacing w:before="0" w:beforeAutospacing="0" w:after="0" w:afterAutospacing="0"/>
              <w:jc w:val="center"/>
              <w:rPr>
                <w:rFonts w:hint="default" w:ascii="Times New Roman" w:hAnsi="Times New Roman" w:cs="Times New Roman"/>
                <w:sz w:val="21"/>
                <w:szCs w:val="21"/>
              </w:rPr>
            </w:pPr>
            <w:r>
              <w:rPr>
                <w:rFonts w:hint="default" w:ascii="Times New Roman" w:hAnsi="Times New Roman" w:cs="Times New Roman"/>
                <w:sz w:val="21"/>
                <w:szCs w:val="21"/>
              </w:rPr>
              <w:t>建设内容</w:t>
            </w:r>
          </w:p>
        </w:tc>
        <w:tc>
          <w:tcPr>
            <w:tcW w:w="4537" w:type="pct"/>
            <w:vMerge w:val="restart"/>
          </w:tcPr>
          <w:p>
            <w:pPr>
              <w:pStyle w:val="6"/>
              <w:ind w:left="311"/>
              <w:rPr>
                <w:rFonts w:hint="default" w:ascii="Times New Roman" w:hAnsi="Times New Roman" w:cs="Times New Roman"/>
                <w:color w:val="auto"/>
              </w:rPr>
            </w:pPr>
            <w:r>
              <w:rPr>
                <w:rFonts w:hint="default" w:ascii="Times New Roman" w:hAnsi="Times New Roman" w:cs="Times New Roman"/>
                <w:color w:val="auto"/>
              </w:rPr>
              <w:t>2.1项目由来</w:t>
            </w:r>
          </w:p>
          <w:p>
            <w:pPr>
              <w:adjustRightInd w:val="0"/>
              <w:snapToGrid w:val="0"/>
              <w:spacing w:line="440" w:lineRule="exact"/>
              <w:ind w:firstLine="480" w:firstLineChars="200"/>
              <w:jc w:val="left"/>
              <w:rPr>
                <w:rFonts w:hint="default" w:ascii="Times New Roman" w:hAnsi="Times New Roman" w:cs="Times New Roman"/>
              </w:rPr>
            </w:pPr>
            <w:r>
              <w:rPr>
                <w:rFonts w:hint="default" w:ascii="Times New Roman" w:hAnsi="Times New Roman" w:cs="Times New Roman"/>
              </w:rPr>
              <w:t>福建卓阳达再生资源有限公司（以下简称卓阳达公司）成立于2023年4月，位于福建省三明市大田县大石村249号，厂区占地面积为4201m</w:t>
            </w:r>
            <w:r>
              <w:rPr>
                <w:rFonts w:hint="default" w:ascii="Times New Roman" w:hAnsi="Times New Roman" w:cs="Times New Roman"/>
                <w:vertAlign w:val="superscript"/>
              </w:rPr>
              <w:t>2</w:t>
            </w:r>
            <w:r>
              <w:rPr>
                <w:rFonts w:hint="default" w:ascii="Times New Roman" w:hAnsi="Times New Roman" w:cs="Times New Roman"/>
              </w:rPr>
              <w:t>，主要从事铸铁渣、铸造砂、转炉渣、钢渣等废弃资源的回收处理，统一社会信用代码：91350425MACFKF5JXL（详见附件三）。</w:t>
            </w:r>
          </w:p>
          <w:p>
            <w:pPr>
              <w:adjustRightInd w:val="0"/>
              <w:snapToGrid w:val="0"/>
              <w:spacing w:line="440" w:lineRule="exact"/>
              <w:ind w:firstLine="480" w:firstLineChars="200"/>
              <w:jc w:val="left"/>
              <w:rPr>
                <w:rFonts w:hint="default" w:ascii="Times New Roman" w:hAnsi="Times New Roman" w:cs="Times New Roman"/>
              </w:rPr>
            </w:pPr>
            <w:r>
              <w:rPr>
                <w:rFonts w:hint="default" w:ascii="Times New Roman" w:hAnsi="Times New Roman" w:cs="Times New Roman"/>
              </w:rPr>
              <w:t>2023年4月26日，大田卓阳达再生资源综合利用建设项目通过大田县发展和改革局备案（闽发改备[2023]G120070号），详见附件二。</w:t>
            </w:r>
          </w:p>
          <w:p>
            <w:pPr>
              <w:adjustRightInd w:val="0"/>
              <w:snapToGrid w:val="0"/>
              <w:spacing w:line="440" w:lineRule="exact"/>
              <w:ind w:firstLine="480" w:firstLineChars="200"/>
              <w:jc w:val="left"/>
              <w:rPr>
                <w:rFonts w:hint="default" w:ascii="Times New Roman" w:hAnsi="Times New Roman" w:cs="Times New Roman"/>
              </w:rPr>
            </w:pPr>
            <w:r>
              <w:rPr>
                <w:rFonts w:hint="default" w:ascii="Times New Roman" w:hAnsi="Times New Roman" w:cs="Times New Roman"/>
              </w:rPr>
              <w:t>2023年6月1日，卓阳达公司租用岩盛公司原低品位矿堆场及破碎车间作为项目的生产用地，租用车间为钢结构厂房，设置了顶棚，地面采取了硬化处理，处于闲置状态（租赁合同详见附件四）。本项目建设内容主要包括原料堆场、生产区、尾渣堆场等，设计生产规模为年回收处理10万吨固体废物。</w:t>
            </w:r>
          </w:p>
          <w:p>
            <w:pPr>
              <w:adjustRightInd w:val="0"/>
              <w:snapToGrid w:val="0"/>
              <w:spacing w:line="440" w:lineRule="exact"/>
              <w:ind w:firstLine="480" w:firstLineChars="200"/>
              <w:jc w:val="left"/>
              <w:rPr>
                <w:rFonts w:hint="default" w:ascii="Times New Roman" w:hAnsi="Times New Roman" w:cs="Times New Roman"/>
              </w:rPr>
            </w:pPr>
            <w:r>
              <w:rPr>
                <w:rFonts w:hint="default" w:ascii="Times New Roman" w:hAnsi="Times New Roman" w:cs="Times New Roman"/>
              </w:rPr>
              <w:t>根据《中华人民共和国环境保护法》《中华人民共和国环境影响评价法》等法律、法规的要求，项目建设需进行环境影响评价。</w:t>
            </w:r>
          </w:p>
          <w:p>
            <w:pPr>
              <w:adjustRightInd w:val="0"/>
              <w:snapToGrid w:val="0"/>
              <w:spacing w:line="440" w:lineRule="exact"/>
              <w:ind w:firstLine="480" w:firstLineChars="200"/>
              <w:jc w:val="left"/>
              <w:rPr>
                <w:rFonts w:hint="default" w:ascii="Times New Roman" w:hAnsi="Times New Roman" w:cs="Times New Roman"/>
              </w:rPr>
            </w:pPr>
            <w:r>
              <w:rPr>
                <w:rFonts w:hint="default" w:ascii="Times New Roman" w:hAnsi="Times New Roman" w:cs="Times New Roman"/>
              </w:rPr>
              <w:t>2024年1月，福建卓阳达再生资源有限公司委托我单位承担</w:t>
            </w:r>
            <w:r>
              <w:rPr>
                <w:rFonts w:hint="default" w:ascii="Times New Roman" w:hAnsi="Times New Roman" w:cs="Times New Roman"/>
                <w:lang w:eastAsia="zh-CN"/>
              </w:rPr>
              <w:t>“</w:t>
            </w:r>
            <w:r>
              <w:rPr>
                <w:rFonts w:hint="default" w:ascii="Times New Roman" w:hAnsi="Times New Roman" w:cs="Times New Roman"/>
              </w:rPr>
              <w:t>大田卓阳达再生资源综合利用建设项目</w:t>
            </w:r>
            <w:r>
              <w:rPr>
                <w:rFonts w:hint="default" w:ascii="Times New Roman" w:hAnsi="Times New Roman" w:cs="Times New Roman"/>
                <w:lang w:eastAsia="zh-CN"/>
              </w:rPr>
              <w:t>”</w:t>
            </w:r>
            <w:r>
              <w:rPr>
                <w:rFonts w:hint="default" w:ascii="Times New Roman" w:hAnsi="Times New Roman" w:cs="Times New Roman"/>
              </w:rPr>
              <w:t>环境影响评价工作（见附件1）。对照《建设项目环境影响评价分类管理名录》（2021年版）（见下表），本项目属于三十九、废弃资源综合利用业，金属废料和碎屑加工处理421-金属和金属化合物矿灰及残渣加工处理，项目环评类别为报告表。</w:t>
            </w:r>
          </w:p>
          <w:p>
            <w:pPr>
              <w:pStyle w:val="34"/>
              <w:spacing w:before="120"/>
              <w:ind w:firstLine="422"/>
              <w:rPr>
                <w:rFonts w:hint="default" w:ascii="Times New Roman" w:hAnsi="Times New Roman" w:cs="Times New Roman"/>
                <w:b/>
                <w:bCs/>
                <w:color w:val="FF0000"/>
                <w:sz w:val="21"/>
                <w:szCs w:val="21"/>
              </w:rPr>
            </w:pPr>
            <w:r>
              <w:rPr>
                <w:rFonts w:hint="default" w:ascii="Times New Roman" w:hAnsi="Times New Roman" w:cs="Times New Roman"/>
                <w:b/>
                <w:bCs/>
                <w:sz w:val="21"/>
                <w:szCs w:val="21"/>
              </w:rPr>
              <w:t>表2.1-1建设环境影响评价分类管理名录(摘录)</w:t>
            </w:r>
          </w:p>
          <w:tbl>
            <w:tblPr>
              <w:tblStyle w:val="25"/>
              <w:tblW w:w="79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0"/>
              <w:gridCol w:w="956"/>
              <w:gridCol w:w="3837"/>
              <w:gridCol w:w="9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2290" w:type="dxa"/>
                  <w:tcBorders>
                    <w:top w:val="single" w:color="auto" w:sz="12" w:space="0"/>
                    <w:left w:val="nil"/>
                    <w:tl2br w:val="single" w:color="auto" w:sz="4" w:space="0"/>
                  </w:tcBorders>
                </w:tcPr>
                <w:p>
                  <w:pPr>
                    <w:spacing w:line="260" w:lineRule="exact"/>
                    <w:ind w:firstLine="414"/>
                    <w:jc w:val="right"/>
                    <w:rPr>
                      <w:rFonts w:hint="default" w:ascii="Times New Roman" w:hAnsi="Times New Roman" w:cs="Times New Roman" w:eastAsiaTheme="minorEastAsia"/>
                      <w:spacing w:val="-2"/>
                      <w:sz w:val="21"/>
                      <w:szCs w:val="21"/>
                    </w:rPr>
                  </w:pPr>
                  <w:r>
                    <w:rPr>
                      <w:rFonts w:hint="default" w:ascii="Times New Roman" w:hAnsi="Times New Roman" w:cs="Times New Roman" w:eastAsiaTheme="minorEastAsia"/>
                      <w:spacing w:val="-2"/>
                      <w:sz w:val="21"/>
                      <w:szCs w:val="21"/>
                    </w:rPr>
                    <w:t>环评类别</w:t>
                  </w:r>
                </w:p>
                <w:p>
                  <w:pPr>
                    <w:spacing w:line="260" w:lineRule="exact"/>
                    <w:rPr>
                      <w:rFonts w:hint="default" w:ascii="Times New Roman" w:hAnsi="Times New Roman" w:cs="Times New Roman" w:eastAsiaTheme="minorEastAsia"/>
                      <w:spacing w:val="-2"/>
                      <w:sz w:val="21"/>
                      <w:szCs w:val="21"/>
                    </w:rPr>
                  </w:pPr>
                  <w:r>
                    <w:rPr>
                      <w:rFonts w:hint="default" w:ascii="Times New Roman" w:hAnsi="Times New Roman" w:cs="Times New Roman" w:eastAsiaTheme="minorEastAsia"/>
                      <w:spacing w:val="-2"/>
                      <w:sz w:val="21"/>
                      <w:szCs w:val="21"/>
                    </w:rPr>
                    <w:t>项目类别</w:t>
                  </w:r>
                </w:p>
              </w:tc>
              <w:tc>
                <w:tcPr>
                  <w:tcW w:w="956" w:type="dxa"/>
                  <w:tcBorders>
                    <w:top w:val="single" w:color="auto" w:sz="12" w:space="0"/>
                  </w:tcBorders>
                  <w:vAlign w:val="center"/>
                </w:tcPr>
                <w:p>
                  <w:pPr>
                    <w:spacing w:line="260" w:lineRule="exact"/>
                    <w:rPr>
                      <w:rFonts w:hint="default" w:ascii="Times New Roman" w:hAnsi="Times New Roman" w:cs="Times New Roman" w:eastAsiaTheme="minorEastAsia"/>
                      <w:spacing w:val="-2"/>
                      <w:sz w:val="21"/>
                      <w:szCs w:val="21"/>
                    </w:rPr>
                  </w:pPr>
                  <w:r>
                    <w:rPr>
                      <w:rFonts w:hint="default" w:ascii="Times New Roman" w:hAnsi="Times New Roman" w:cs="Times New Roman" w:eastAsiaTheme="minorEastAsia"/>
                      <w:spacing w:val="-2"/>
                      <w:sz w:val="21"/>
                      <w:szCs w:val="21"/>
                    </w:rPr>
                    <w:t>报告书</w:t>
                  </w:r>
                </w:p>
              </w:tc>
              <w:tc>
                <w:tcPr>
                  <w:tcW w:w="3837" w:type="dxa"/>
                  <w:tcBorders>
                    <w:top w:val="single" w:color="auto" w:sz="12" w:space="0"/>
                  </w:tcBorders>
                  <w:vAlign w:val="center"/>
                </w:tcPr>
                <w:p>
                  <w:pPr>
                    <w:spacing w:line="260" w:lineRule="exact"/>
                    <w:ind w:firstLine="414"/>
                    <w:jc w:val="center"/>
                    <w:rPr>
                      <w:rFonts w:hint="default" w:ascii="Times New Roman" w:hAnsi="Times New Roman" w:cs="Times New Roman" w:eastAsiaTheme="minorEastAsia"/>
                      <w:spacing w:val="-2"/>
                      <w:sz w:val="21"/>
                      <w:szCs w:val="21"/>
                    </w:rPr>
                  </w:pPr>
                  <w:r>
                    <w:rPr>
                      <w:rFonts w:hint="default" w:ascii="Times New Roman" w:hAnsi="Times New Roman" w:cs="Times New Roman" w:eastAsiaTheme="minorEastAsia"/>
                      <w:spacing w:val="-2"/>
                      <w:sz w:val="21"/>
                      <w:szCs w:val="21"/>
                    </w:rPr>
                    <w:t>报告表</w:t>
                  </w:r>
                </w:p>
              </w:tc>
              <w:tc>
                <w:tcPr>
                  <w:tcW w:w="903" w:type="dxa"/>
                  <w:tcBorders>
                    <w:top w:val="single" w:color="auto" w:sz="12" w:space="0"/>
                    <w:right w:val="nil"/>
                  </w:tcBorders>
                  <w:vAlign w:val="center"/>
                </w:tcPr>
                <w:p>
                  <w:pPr>
                    <w:spacing w:line="260" w:lineRule="exact"/>
                    <w:rPr>
                      <w:rFonts w:hint="default" w:ascii="Times New Roman" w:hAnsi="Times New Roman" w:cs="Times New Roman" w:eastAsiaTheme="minorEastAsia"/>
                      <w:spacing w:val="-2"/>
                      <w:sz w:val="21"/>
                      <w:szCs w:val="21"/>
                    </w:rPr>
                  </w:pPr>
                  <w:r>
                    <w:rPr>
                      <w:rFonts w:hint="default" w:ascii="Times New Roman" w:hAnsi="Times New Roman" w:cs="Times New Roman" w:eastAsiaTheme="minorEastAsia"/>
                      <w:spacing w:val="-2"/>
                      <w:sz w:val="21"/>
                      <w:szCs w:val="21"/>
                    </w:rPr>
                    <w:t>登记表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7986" w:type="dxa"/>
                  <w:gridSpan w:val="4"/>
                  <w:tcBorders>
                    <w:left w:val="nil"/>
                    <w:right w:val="nil"/>
                  </w:tcBorders>
                  <w:vAlign w:val="center"/>
                </w:tcPr>
                <w:p>
                  <w:pPr>
                    <w:spacing w:line="260" w:lineRule="exact"/>
                    <w:ind w:firstLine="414"/>
                    <w:jc w:val="center"/>
                    <w:rPr>
                      <w:rFonts w:hint="default" w:ascii="Times New Roman" w:hAnsi="Times New Roman" w:cs="Times New Roman" w:eastAsiaTheme="minorEastAsia"/>
                      <w:spacing w:val="-2"/>
                      <w:sz w:val="21"/>
                      <w:szCs w:val="21"/>
                    </w:rPr>
                  </w:pPr>
                  <w:r>
                    <w:rPr>
                      <w:rFonts w:hint="default" w:ascii="Times New Roman" w:hAnsi="Times New Roman" w:cs="Times New Roman" w:eastAsiaTheme="minorEastAsia"/>
                      <w:spacing w:val="-2"/>
                      <w:sz w:val="21"/>
                      <w:szCs w:val="21"/>
                    </w:rPr>
                    <w:t>三十九、废弃资源综合利用业 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90" w:type="dxa"/>
                  <w:tcBorders>
                    <w:left w:val="nil"/>
                    <w:bottom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ind w:firstLine="0"/>
                    <w:textAlignment w:val="auto"/>
                    <w:rPr>
                      <w:rFonts w:hint="default" w:ascii="Times New Roman" w:hAnsi="Times New Roman" w:cs="Times New Roman" w:eastAsiaTheme="minorEastAsia"/>
                      <w:spacing w:val="-2"/>
                      <w:sz w:val="21"/>
                      <w:szCs w:val="21"/>
                    </w:rPr>
                  </w:pPr>
                  <w:r>
                    <w:rPr>
                      <w:rFonts w:hint="default" w:ascii="Times New Roman" w:hAnsi="Times New Roman" w:cs="Times New Roman" w:eastAsiaTheme="minorEastAsia"/>
                      <w:spacing w:val="-2"/>
                      <w:sz w:val="21"/>
                      <w:szCs w:val="21"/>
                    </w:rPr>
                    <w:t>金属废料和碎屑加工处理421；非金属废料和碎屑加工处理422(421和422均不含原料为危险废物的，均不含仅分拣、破碎的）</w:t>
                  </w:r>
                </w:p>
              </w:tc>
              <w:tc>
                <w:tcPr>
                  <w:tcW w:w="956" w:type="dxa"/>
                  <w:tcBorders>
                    <w:bottom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ind w:firstLine="0"/>
                    <w:textAlignment w:val="auto"/>
                    <w:rPr>
                      <w:rFonts w:hint="default" w:ascii="Times New Roman" w:hAnsi="Times New Roman" w:cs="Times New Roman" w:eastAsiaTheme="minorEastAsia"/>
                      <w:spacing w:val="-2"/>
                      <w:sz w:val="21"/>
                      <w:szCs w:val="21"/>
                    </w:rPr>
                  </w:pPr>
                  <w:r>
                    <w:rPr>
                      <w:rFonts w:hint="default" w:ascii="Times New Roman" w:hAnsi="Times New Roman" w:cs="Times New Roman" w:eastAsiaTheme="minorEastAsia"/>
                      <w:spacing w:val="-2"/>
                      <w:sz w:val="21"/>
                      <w:szCs w:val="21"/>
                    </w:rPr>
                    <w:t>废电池、废油加工处理</w:t>
                  </w:r>
                </w:p>
              </w:tc>
              <w:tc>
                <w:tcPr>
                  <w:tcW w:w="3837" w:type="dxa"/>
                  <w:tcBorders>
                    <w:bottom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ind w:firstLine="0"/>
                    <w:jc w:val="left"/>
                    <w:textAlignment w:val="auto"/>
                    <w:rPr>
                      <w:rFonts w:hint="default" w:ascii="Times New Roman" w:hAnsi="Times New Roman" w:cs="Times New Roman" w:eastAsiaTheme="minorEastAsia"/>
                      <w:b/>
                      <w:bCs/>
                      <w:spacing w:val="-2"/>
                      <w:sz w:val="21"/>
                      <w:szCs w:val="21"/>
                    </w:rPr>
                  </w:pPr>
                  <w:r>
                    <w:rPr>
                      <w:rFonts w:hint="default" w:ascii="Times New Roman" w:hAnsi="Times New Roman" w:cs="Times New Roman" w:eastAsiaTheme="minorEastAsia"/>
                      <w:spacing w:val="-2"/>
                      <w:sz w:val="21"/>
                      <w:szCs w:val="21"/>
                    </w:rPr>
                    <w:t>废弃电器电子产品、废机动车、废电机、废电线电缆、废钢、废铁、</w:t>
                  </w:r>
                  <w:r>
                    <w:rPr>
                      <w:rFonts w:hint="default" w:ascii="Times New Roman" w:hAnsi="Times New Roman" w:cs="Times New Roman" w:eastAsiaTheme="minorEastAsia"/>
                      <w:b/>
                      <w:bCs/>
                      <w:spacing w:val="-2"/>
                      <w:sz w:val="21"/>
                      <w:szCs w:val="21"/>
                    </w:rPr>
                    <w:t>金属和金属化合物矿灰及残渣</w:t>
                  </w:r>
                  <w:r>
                    <w:rPr>
                      <w:rFonts w:hint="default" w:ascii="Times New Roman" w:hAnsi="Times New Roman" w:cs="Times New Roman" w:eastAsiaTheme="minorEastAsia"/>
                      <w:spacing w:val="-2"/>
                      <w:sz w:val="21"/>
                      <w:szCs w:val="21"/>
                    </w:rPr>
                    <w:t>、有色金属废料与碎屑、废塑料、废轮胎、废船、含水洗工艺的其他废料和碎屑加工处理(农业生产产生的废旧秧盘、薄膜破碎和清洗工艺的除外)</w:t>
                  </w:r>
                </w:p>
              </w:tc>
              <w:tc>
                <w:tcPr>
                  <w:tcW w:w="903" w:type="dxa"/>
                  <w:tcBorders>
                    <w:bottom w:val="single" w:color="auto" w:sz="12" w:space="0"/>
                    <w:right w:val="nil"/>
                  </w:tcBorders>
                  <w:vAlign w:val="center"/>
                </w:tcPr>
                <w:p>
                  <w:pPr>
                    <w:spacing w:line="260" w:lineRule="exact"/>
                    <w:ind w:firstLine="414"/>
                    <w:jc w:val="center"/>
                    <w:rPr>
                      <w:rFonts w:hint="default" w:ascii="Times New Roman" w:hAnsi="Times New Roman" w:cs="Times New Roman" w:eastAsiaTheme="minorEastAsia"/>
                      <w:spacing w:val="-2"/>
                      <w:sz w:val="21"/>
                      <w:szCs w:val="21"/>
                    </w:rPr>
                  </w:pPr>
                  <w:r>
                    <w:rPr>
                      <w:rFonts w:hint="default" w:ascii="Times New Roman" w:hAnsi="Times New Roman" w:cs="Times New Roman" w:eastAsiaTheme="minorEastAsia"/>
                      <w:spacing w:val="-2"/>
                      <w:sz w:val="21"/>
                      <w:szCs w:val="21"/>
                    </w:rPr>
                    <w:t>/</w:t>
                  </w:r>
                </w:p>
              </w:tc>
            </w:tr>
          </w:tbl>
          <w:p>
            <w:pPr>
              <w:pStyle w:val="6"/>
              <w:ind w:left="311"/>
              <w:rPr>
                <w:rFonts w:hint="default" w:ascii="Times New Roman" w:hAnsi="Times New Roman" w:cs="Times New Roman"/>
                <w:color w:val="auto"/>
              </w:rPr>
            </w:pPr>
          </w:p>
          <w:p>
            <w:pPr>
              <w:pStyle w:val="6"/>
              <w:ind w:left="311"/>
              <w:rPr>
                <w:rFonts w:hint="default" w:ascii="Times New Roman" w:hAnsi="Times New Roman" w:cs="Times New Roman"/>
                <w:color w:val="auto"/>
              </w:rPr>
            </w:pPr>
            <w:r>
              <w:rPr>
                <w:rFonts w:hint="default" w:ascii="Times New Roman" w:hAnsi="Times New Roman" w:cs="Times New Roman"/>
                <w:color w:val="auto"/>
              </w:rPr>
              <w:t>2.2本项目概况</w:t>
            </w:r>
          </w:p>
          <w:p>
            <w:pPr>
              <w:spacing w:line="460" w:lineRule="exact"/>
              <w:rPr>
                <w:rFonts w:hint="default" w:ascii="Times New Roman" w:hAnsi="Times New Roman" w:eastAsia="黑体" w:cs="Times New Roman"/>
                <w:b/>
                <w:bCs/>
              </w:rPr>
            </w:pPr>
            <w:r>
              <w:rPr>
                <w:rFonts w:hint="default" w:ascii="Times New Roman" w:hAnsi="Times New Roman" w:eastAsia="黑体" w:cs="Times New Roman"/>
                <w:b/>
                <w:bCs/>
              </w:rPr>
              <w:t>2.2.1项目基本情况</w:t>
            </w:r>
          </w:p>
          <w:p>
            <w:pPr>
              <w:spacing w:line="400" w:lineRule="exact"/>
              <w:ind w:firstLine="480" w:firstLineChars="200"/>
              <w:rPr>
                <w:rFonts w:hint="default" w:ascii="Times New Roman" w:hAnsi="Times New Roman" w:cs="Times New Roman"/>
                <w:b/>
                <w:bCs/>
              </w:rPr>
            </w:pPr>
            <w:r>
              <w:rPr>
                <w:rFonts w:hint="default" w:ascii="Times New Roman" w:hAnsi="Times New Roman" w:cs="Times New Roman"/>
              </w:rPr>
              <w:t>项目名称：大田卓阳达再生资源综合利用建设项目</w:t>
            </w:r>
          </w:p>
          <w:p>
            <w:pPr>
              <w:spacing w:line="400" w:lineRule="exact"/>
              <w:ind w:firstLine="480" w:firstLineChars="200"/>
              <w:rPr>
                <w:rFonts w:hint="default" w:ascii="Times New Roman" w:hAnsi="Times New Roman" w:cs="Times New Roman"/>
              </w:rPr>
            </w:pPr>
            <w:r>
              <w:rPr>
                <w:rFonts w:hint="default" w:ascii="Times New Roman" w:hAnsi="Times New Roman" w:cs="Times New Roman"/>
              </w:rPr>
              <w:t>建设单位：福建卓阳达再生资源有限公司</w:t>
            </w:r>
          </w:p>
          <w:p>
            <w:pPr>
              <w:spacing w:line="400" w:lineRule="exact"/>
              <w:ind w:firstLine="480" w:firstLineChars="200"/>
              <w:rPr>
                <w:rFonts w:hint="default" w:ascii="Times New Roman" w:hAnsi="Times New Roman" w:cs="Times New Roman"/>
              </w:rPr>
            </w:pPr>
            <w:r>
              <w:rPr>
                <w:rFonts w:hint="default" w:ascii="Times New Roman" w:hAnsi="Times New Roman" w:cs="Times New Roman"/>
              </w:rPr>
              <w:t>建设地点：福建省三明市大田县武陵乡大石村249号</w:t>
            </w:r>
          </w:p>
          <w:p>
            <w:pPr>
              <w:spacing w:line="400" w:lineRule="exact"/>
              <w:ind w:firstLine="480" w:firstLineChars="200"/>
              <w:rPr>
                <w:rFonts w:hint="default" w:ascii="Times New Roman" w:hAnsi="Times New Roman" w:cs="Times New Roman"/>
              </w:rPr>
            </w:pPr>
            <w:r>
              <w:rPr>
                <w:rFonts w:hint="default" w:ascii="Times New Roman" w:hAnsi="Times New Roman" w:cs="Times New Roman"/>
              </w:rPr>
              <w:t>总投资：11360万元</w:t>
            </w:r>
          </w:p>
          <w:p>
            <w:pPr>
              <w:spacing w:line="400" w:lineRule="exact"/>
              <w:ind w:firstLine="480" w:firstLineChars="200"/>
              <w:rPr>
                <w:rFonts w:hint="default" w:ascii="Times New Roman" w:hAnsi="Times New Roman" w:cs="Times New Roman"/>
              </w:rPr>
            </w:pPr>
            <w:r>
              <w:rPr>
                <w:rFonts w:hint="default" w:ascii="Times New Roman" w:hAnsi="Times New Roman" w:cs="Times New Roman"/>
              </w:rPr>
              <w:t>生产规模：年回收处理10万吨固体废物（铸铁渣、铸造砂、转炉渣及钢渣）</w:t>
            </w:r>
          </w:p>
          <w:p>
            <w:pPr>
              <w:spacing w:line="400" w:lineRule="exact"/>
              <w:ind w:firstLine="480" w:firstLineChars="200"/>
              <w:rPr>
                <w:rFonts w:hint="default" w:ascii="Times New Roman" w:hAnsi="Times New Roman" w:cs="Times New Roman"/>
              </w:rPr>
            </w:pPr>
            <w:r>
              <w:rPr>
                <w:rFonts w:hint="default" w:ascii="Times New Roman" w:hAnsi="Times New Roman" w:cs="Times New Roman"/>
              </w:rPr>
              <w:t>建设规模：占地面积4201m</w:t>
            </w:r>
            <w:r>
              <w:rPr>
                <w:rFonts w:hint="default" w:ascii="Times New Roman" w:hAnsi="Times New Roman" w:cs="Times New Roman"/>
                <w:vertAlign w:val="superscript"/>
              </w:rPr>
              <w:t>2</w:t>
            </w:r>
            <w:r>
              <w:rPr>
                <w:rFonts w:hint="default" w:ascii="Times New Roman" w:hAnsi="Times New Roman" w:cs="Times New Roman"/>
              </w:rPr>
              <w:t>，建筑面积9000m</w:t>
            </w:r>
            <w:r>
              <w:rPr>
                <w:rFonts w:hint="default" w:ascii="Times New Roman" w:hAnsi="Times New Roman" w:cs="Times New Roman"/>
                <w:vertAlign w:val="superscript"/>
              </w:rPr>
              <w:t>2</w:t>
            </w:r>
          </w:p>
          <w:p>
            <w:pPr>
              <w:spacing w:line="400" w:lineRule="exact"/>
              <w:ind w:firstLine="480" w:firstLineChars="200"/>
              <w:rPr>
                <w:rFonts w:hint="default" w:ascii="Times New Roman" w:hAnsi="Times New Roman" w:cs="Times New Roman"/>
              </w:rPr>
            </w:pPr>
            <w:r>
              <w:rPr>
                <w:rFonts w:hint="default" w:ascii="Times New Roman" w:hAnsi="Times New Roman" w:cs="Times New Roman"/>
              </w:rPr>
              <w:t>职工人数：职工10人，均不在厂区内食宿</w:t>
            </w:r>
          </w:p>
          <w:p>
            <w:pPr>
              <w:spacing w:line="400" w:lineRule="exact"/>
              <w:ind w:firstLine="480" w:firstLineChars="200"/>
              <w:rPr>
                <w:rFonts w:hint="default" w:ascii="Times New Roman" w:hAnsi="Times New Roman" w:cs="Times New Roman"/>
              </w:rPr>
            </w:pPr>
            <w:r>
              <w:rPr>
                <w:rFonts w:hint="default" w:ascii="Times New Roman" w:hAnsi="Times New Roman" w:cs="Times New Roman"/>
              </w:rPr>
              <w:t>工作时间：年工作天数</w:t>
            </w:r>
            <w:bookmarkStart w:id="5" w:name="年工作天数"/>
            <w:r>
              <w:rPr>
                <w:rFonts w:hint="default" w:ascii="Times New Roman" w:hAnsi="Times New Roman" w:cs="Times New Roman"/>
              </w:rPr>
              <w:t>300</w:t>
            </w:r>
            <w:bookmarkEnd w:id="5"/>
            <w:r>
              <w:rPr>
                <w:rFonts w:hint="default" w:ascii="Times New Roman" w:hAnsi="Times New Roman" w:cs="Times New Roman"/>
              </w:rPr>
              <w:t>天，每天昼间10小时。</w:t>
            </w:r>
          </w:p>
          <w:p>
            <w:pPr>
              <w:spacing w:line="460" w:lineRule="exact"/>
              <w:rPr>
                <w:rFonts w:hint="default" w:ascii="Times New Roman" w:hAnsi="Times New Roman" w:eastAsia="黑体" w:cs="Times New Roman"/>
                <w:b/>
                <w:bCs/>
              </w:rPr>
            </w:pPr>
            <w:r>
              <w:rPr>
                <w:rFonts w:hint="default" w:ascii="Times New Roman" w:hAnsi="Times New Roman" w:eastAsia="黑体" w:cs="Times New Roman"/>
                <w:b/>
                <w:bCs/>
              </w:rPr>
              <w:t>2.2.2生产规模</w:t>
            </w:r>
          </w:p>
          <w:p>
            <w:pPr>
              <w:spacing w:line="400" w:lineRule="exact"/>
              <w:ind w:firstLine="480" w:firstLineChars="200"/>
              <w:rPr>
                <w:rFonts w:hint="default" w:ascii="Times New Roman" w:hAnsi="Times New Roman" w:cs="Times New Roman"/>
              </w:rPr>
            </w:pPr>
            <w:r>
              <w:rPr>
                <w:rFonts w:hint="default" w:ascii="Times New Roman" w:hAnsi="Times New Roman" w:cs="Times New Roman"/>
              </w:rPr>
              <w:t>本项目年回收处理10万吨固体废物，得到3万吨铁粉（产品）及7.28万吨尾渣（一般固废），具体见下表。</w:t>
            </w:r>
          </w:p>
          <w:p>
            <w:pPr>
              <w:pStyle w:val="34"/>
              <w:spacing w:before="120"/>
              <w:ind w:firstLine="422"/>
              <w:rPr>
                <w:rFonts w:hint="default" w:ascii="Times New Roman" w:hAnsi="Times New Roman" w:cs="Times New Roman"/>
              </w:rPr>
            </w:pPr>
            <w:r>
              <w:rPr>
                <w:rFonts w:hint="default" w:ascii="Times New Roman" w:hAnsi="Times New Roman" w:cs="Times New Roman"/>
                <w:b/>
                <w:bCs/>
                <w:sz w:val="21"/>
                <w:szCs w:val="21"/>
              </w:rPr>
              <w:t>表2.2-1固废回收处理规模及产品方案一览表</w:t>
            </w:r>
          </w:p>
          <w:tbl>
            <w:tblPr>
              <w:tblStyle w:val="25"/>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934"/>
              <w:gridCol w:w="2439"/>
              <w:gridCol w:w="268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20" w:type="pct"/>
                  <w:vAlign w:val="center"/>
                </w:tcPr>
                <w:p>
                  <w:pPr>
                    <w:widowControl/>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处理规模</w:t>
                  </w:r>
                </w:p>
              </w:tc>
              <w:tc>
                <w:tcPr>
                  <w:tcW w:w="1513" w:type="pct"/>
                  <w:vAlign w:val="center"/>
                </w:tcPr>
                <w:p>
                  <w:pPr>
                    <w:widowControl/>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产品或固废</w:t>
                  </w:r>
                </w:p>
              </w:tc>
              <w:tc>
                <w:tcPr>
                  <w:tcW w:w="1667" w:type="pct"/>
                  <w:vAlign w:val="center"/>
                </w:tcPr>
                <w:p>
                  <w:pPr>
                    <w:widowControl/>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产量（万吨/年）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9" w:hRule="exact"/>
                <w:jc w:val="center"/>
              </w:trPr>
              <w:tc>
                <w:tcPr>
                  <w:tcW w:w="1819" w:type="pct"/>
                  <w:vMerge w:val="restart"/>
                  <w:vAlign w:val="center"/>
                </w:tcPr>
                <w:p>
                  <w:pPr>
                    <w:widowControl/>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年回收处理10万吨固体废物</w:t>
                  </w:r>
                </w:p>
              </w:tc>
              <w:tc>
                <w:tcPr>
                  <w:tcW w:w="1513" w:type="pct"/>
                  <w:vAlign w:val="center"/>
                </w:tcPr>
                <w:p>
                  <w:pPr>
                    <w:widowControl/>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铁粉（产品）</w:t>
                  </w:r>
                </w:p>
              </w:tc>
              <w:tc>
                <w:tcPr>
                  <w:tcW w:w="1667" w:type="pct"/>
                  <w:vAlign w:val="center"/>
                </w:tcPr>
                <w:p>
                  <w:pPr>
                    <w:widowControl/>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 xml:space="preserve">3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9" w:hRule="exact"/>
                <w:jc w:val="center"/>
              </w:trPr>
              <w:tc>
                <w:tcPr>
                  <w:tcW w:w="1819" w:type="pct"/>
                  <w:vMerge w:val="continue"/>
                  <w:vAlign w:val="center"/>
                </w:tcPr>
                <w:p>
                  <w:pPr>
                    <w:widowControl/>
                    <w:jc w:val="center"/>
                    <w:rPr>
                      <w:rFonts w:hint="default" w:ascii="Times New Roman" w:hAnsi="Times New Roman" w:cs="Times New Roman"/>
                      <w:kern w:val="0"/>
                      <w:sz w:val="18"/>
                      <w:szCs w:val="18"/>
                    </w:rPr>
                  </w:pPr>
                </w:p>
              </w:tc>
              <w:tc>
                <w:tcPr>
                  <w:tcW w:w="1513" w:type="pct"/>
                  <w:vAlign w:val="center"/>
                </w:tcPr>
                <w:p>
                  <w:pPr>
                    <w:widowControl/>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尾渣（一般固废）</w:t>
                  </w:r>
                </w:p>
              </w:tc>
              <w:tc>
                <w:tcPr>
                  <w:tcW w:w="1667" w:type="pct"/>
                  <w:vAlign w:val="center"/>
                </w:tcPr>
                <w:p>
                  <w:pPr>
                    <w:widowControl/>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 xml:space="preserve">7.28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6" w:hRule="exact"/>
                <w:jc w:val="center"/>
              </w:trPr>
              <w:tc>
                <w:tcPr>
                  <w:tcW w:w="1" w:type="pct"/>
                  <w:gridSpan w:val="3"/>
                  <w:vAlign w:val="center"/>
                </w:tcPr>
                <w:p>
                  <w:pPr>
                    <w:widowControl/>
                    <w:jc w:val="left"/>
                    <w:rPr>
                      <w:rFonts w:hint="default" w:ascii="Times New Roman" w:hAnsi="Times New Roman" w:cs="Times New Roman"/>
                      <w:kern w:val="0"/>
                      <w:sz w:val="18"/>
                      <w:szCs w:val="18"/>
                    </w:rPr>
                  </w:pPr>
                  <w:r>
                    <w:rPr>
                      <w:rFonts w:hint="default" w:ascii="Times New Roman" w:hAnsi="Times New Roman" w:cs="Times New Roman"/>
                      <w:kern w:val="0"/>
                      <w:sz w:val="18"/>
                      <w:szCs w:val="18"/>
                    </w:rPr>
                    <w:t>备注：项目年回收处理10万吨固体废物（铸铁渣、铸造砂、转炉渣及钢渣），原料处理后得到的产品、尾渣含水率比原料高，所以产品和尾渣的产量略</w:t>
                  </w:r>
                  <w:r>
                    <w:rPr>
                      <w:rFonts w:hint="default" w:ascii="Times New Roman" w:hAnsi="Times New Roman" w:cs="Times New Roman"/>
                      <w:kern w:val="0"/>
                      <w:sz w:val="18"/>
                      <w:szCs w:val="18"/>
                      <w:highlight w:val="none"/>
                    </w:rPr>
                    <w:t>大于10万吨，具</w:t>
                  </w:r>
                  <w:r>
                    <w:rPr>
                      <w:rFonts w:hint="default" w:ascii="Times New Roman" w:hAnsi="Times New Roman" w:cs="Times New Roman"/>
                      <w:kern w:val="0"/>
                      <w:sz w:val="18"/>
                      <w:szCs w:val="18"/>
                    </w:rPr>
                    <w:t>体见2.2-5 项目物料平衡表</w:t>
                  </w:r>
                </w:p>
              </w:tc>
            </w:tr>
          </w:tbl>
          <w:p>
            <w:pPr>
              <w:spacing w:line="460" w:lineRule="exact"/>
              <w:rPr>
                <w:rFonts w:hint="default" w:ascii="Times New Roman" w:hAnsi="Times New Roman" w:eastAsia="黑体" w:cs="Times New Roman"/>
                <w:b/>
                <w:bCs/>
              </w:rPr>
            </w:pPr>
            <w:r>
              <w:rPr>
                <w:rFonts w:hint="default" w:ascii="Times New Roman" w:hAnsi="Times New Roman" w:eastAsia="黑体" w:cs="Times New Roman"/>
                <w:b/>
                <w:bCs/>
              </w:rPr>
              <w:t>2.2.3项目组成</w:t>
            </w:r>
          </w:p>
          <w:p>
            <w:pPr>
              <w:pStyle w:val="34"/>
              <w:spacing w:before="120"/>
              <w:ind w:firstLine="422"/>
              <w:rPr>
                <w:rFonts w:hint="default" w:ascii="Times New Roman" w:hAnsi="Times New Roman" w:cs="Times New Roman"/>
              </w:rPr>
            </w:pPr>
            <w:r>
              <w:rPr>
                <w:rFonts w:hint="default" w:ascii="Times New Roman" w:hAnsi="Times New Roman" w:cs="Times New Roman"/>
                <w:b/>
                <w:bCs/>
                <w:sz w:val="21"/>
                <w:szCs w:val="21"/>
              </w:rPr>
              <w:t>表2.2-2项目组成内容一览表</w:t>
            </w:r>
          </w:p>
          <w:tbl>
            <w:tblPr>
              <w:tblStyle w:val="25"/>
              <w:tblW w:w="7996" w:type="dxa"/>
              <w:tblInd w:w="0" w:type="dxa"/>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Layout w:type="fixed"/>
              <w:tblCellMar>
                <w:top w:w="0" w:type="dxa"/>
                <w:left w:w="108" w:type="dxa"/>
                <w:bottom w:w="0" w:type="dxa"/>
                <w:right w:w="108" w:type="dxa"/>
              </w:tblCellMar>
            </w:tblPr>
            <w:tblGrid>
              <w:gridCol w:w="609"/>
              <w:gridCol w:w="396"/>
              <w:gridCol w:w="33"/>
              <w:gridCol w:w="658"/>
              <w:gridCol w:w="5247"/>
              <w:gridCol w:w="1053"/>
            </w:tblGrid>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205" w:hRule="atLeast"/>
              </w:trPr>
              <w:tc>
                <w:tcPr>
                  <w:tcW w:w="1696" w:type="dxa"/>
                  <w:gridSpan w:val="4"/>
                  <w:vAlign w:val="center"/>
                </w:tcPr>
                <w:p>
                  <w:pPr>
                    <w:widowControl/>
                    <w:jc w:val="center"/>
                    <w:rPr>
                      <w:rFonts w:hint="default" w:ascii="Times New Roman" w:hAnsi="Times New Roman" w:cs="Times New Roman"/>
                      <w:bCs/>
                      <w:kern w:val="0"/>
                      <w:sz w:val="18"/>
                      <w:szCs w:val="18"/>
                    </w:rPr>
                  </w:pPr>
                  <w:r>
                    <w:rPr>
                      <w:rFonts w:hint="default" w:ascii="Times New Roman" w:hAnsi="Times New Roman" w:cs="Times New Roman"/>
                      <w:bCs/>
                      <w:kern w:val="0"/>
                      <w:sz w:val="18"/>
                      <w:szCs w:val="18"/>
                    </w:rPr>
                    <w:t>项  目  名  称</w:t>
                  </w:r>
                </w:p>
              </w:tc>
              <w:tc>
                <w:tcPr>
                  <w:tcW w:w="5247" w:type="dxa"/>
                  <w:vAlign w:val="center"/>
                </w:tcPr>
                <w:p>
                  <w:pPr>
                    <w:widowControl/>
                    <w:jc w:val="center"/>
                    <w:rPr>
                      <w:rFonts w:hint="default" w:ascii="Times New Roman" w:hAnsi="Times New Roman" w:cs="Times New Roman"/>
                      <w:bCs/>
                      <w:kern w:val="0"/>
                      <w:sz w:val="18"/>
                      <w:szCs w:val="18"/>
                    </w:rPr>
                  </w:pPr>
                  <w:r>
                    <w:rPr>
                      <w:rFonts w:hint="default" w:ascii="Times New Roman" w:hAnsi="Times New Roman" w:cs="Times New Roman"/>
                      <w:bCs/>
                      <w:kern w:val="0"/>
                      <w:sz w:val="18"/>
                      <w:szCs w:val="18"/>
                    </w:rPr>
                    <w:t>建  设  规  模</w:t>
                  </w:r>
                </w:p>
              </w:tc>
              <w:tc>
                <w:tcPr>
                  <w:tcW w:w="1053" w:type="dxa"/>
                  <w:vAlign w:val="center"/>
                </w:tcPr>
                <w:p>
                  <w:pPr>
                    <w:widowControl/>
                    <w:jc w:val="center"/>
                    <w:rPr>
                      <w:rFonts w:hint="default" w:ascii="Times New Roman" w:hAnsi="Times New Roman" w:cs="Times New Roman"/>
                      <w:bCs/>
                      <w:kern w:val="0"/>
                      <w:sz w:val="18"/>
                      <w:szCs w:val="18"/>
                    </w:rPr>
                  </w:pPr>
                  <w:r>
                    <w:rPr>
                      <w:rFonts w:hint="default" w:ascii="Times New Roman" w:hAnsi="Times New Roman" w:cs="Times New Roman"/>
                      <w:bCs/>
                      <w:kern w:val="0"/>
                      <w:sz w:val="18"/>
                      <w:szCs w:val="18"/>
                    </w:rPr>
                    <w:t>备注</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520" w:hRule="atLeast"/>
              </w:trPr>
              <w:tc>
                <w:tcPr>
                  <w:tcW w:w="609" w:type="dxa"/>
                  <w:vAlign w:val="center"/>
                </w:tcPr>
                <w:p>
                  <w:pPr>
                    <w:widowControl/>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主体工程</w:t>
                  </w:r>
                </w:p>
              </w:tc>
              <w:tc>
                <w:tcPr>
                  <w:tcW w:w="1087" w:type="dxa"/>
                  <w:gridSpan w:val="3"/>
                  <w:vAlign w:val="center"/>
                </w:tcPr>
                <w:p>
                  <w:pPr>
                    <w:pStyle w:val="72"/>
                    <w:jc w:val="center"/>
                    <w:rPr>
                      <w:rFonts w:hint="default" w:ascii="Times New Roman" w:hAnsi="Times New Roman" w:cs="Times New Roman"/>
                      <w:sz w:val="18"/>
                      <w:szCs w:val="18"/>
                    </w:rPr>
                  </w:pPr>
                  <w:r>
                    <w:rPr>
                      <w:rFonts w:hint="default" w:ascii="Times New Roman" w:hAnsi="Times New Roman" w:cs="Times New Roman"/>
                      <w:spacing w:val="-1"/>
                      <w:sz w:val="18"/>
                      <w:szCs w:val="18"/>
                    </w:rPr>
                    <w:t>生产车间</w:t>
                  </w:r>
                </w:p>
              </w:tc>
              <w:tc>
                <w:tcPr>
                  <w:tcW w:w="5247" w:type="dxa"/>
                  <w:vAlign w:val="center"/>
                </w:tcPr>
                <w:p>
                  <w:pPr>
                    <w:widowControl/>
                    <w:rPr>
                      <w:rFonts w:hint="default" w:ascii="Times New Roman" w:hAnsi="Times New Roman" w:cs="Times New Roman"/>
                      <w:kern w:val="0"/>
                      <w:sz w:val="18"/>
                      <w:szCs w:val="18"/>
                    </w:rPr>
                  </w:pPr>
                  <w:r>
                    <w:rPr>
                      <w:rFonts w:hint="default" w:ascii="Times New Roman" w:hAnsi="Times New Roman" w:cs="Times New Roman"/>
                      <w:kern w:val="0"/>
                      <w:sz w:val="18"/>
                      <w:szCs w:val="18"/>
                    </w:rPr>
                    <w:t>单层钢结构厂房，地面硬化，建筑面积约3500m</w:t>
                  </w:r>
                  <w:r>
                    <w:rPr>
                      <w:rFonts w:hint="default" w:ascii="Times New Roman" w:hAnsi="Times New Roman" w:cs="Times New Roman"/>
                      <w:kern w:val="0"/>
                      <w:sz w:val="18"/>
                      <w:szCs w:val="18"/>
                      <w:vertAlign w:val="superscript"/>
                    </w:rPr>
                    <w:t>2</w:t>
                  </w:r>
                  <w:r>
                    <w:rPr>
                      <w:rFonts w:hint="default" w:ascii="Times New Roman" w:hAnsi="Times New Roman" w:cs="Times New Roman"/>
                      <w:kern w:val="0"/>
                      <w:sz w:val="18"/>
                      <w:szCs w:val="18"/>
                    </w:rPr>
                    <w:t>，建设1条10万吨/年固体废物生产线</w:t>
                  </w:r>
                </w:p>
              </w:tc>
              <w:tc>
                <w:tcPr>
                  <w:tcW w:w="1053" w:type="dxa"/>
                  <w:vAlign w:val="center"/>
                </w:tcPr>
                <w:p>
                  <w:pPr>
                    <w:widowControl/>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利用出租方已建厂房</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292" w:hRule="atLeast"/>
              </w:trPr>
              <w:tc>
                <w:tcPr>
                  <w:tcW w:w="609" w:type="dxa"/>
                  <w:vMerge w:val="restart"/>
                  <w:vAlign w:val="center"/>
                </w:tcPr>
                <w:p>
                  <w:pPr>
                    <w:widowControl/>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储运工程</w:t>
                  </w:r>
                </w:p>
              </w:tc>
              <w:tc>
                <w:tcPr>
                  <w:tcW w:w="1087" w:type="dxa"/>
                  <w:gridSpan w:val="3"/>
                  <w:vAlign w:val="center"/>
                </w:tcPr>
                <w:p>
                  <w:pPr>
                    <w:pStyle w:val="72"/>
                    <w:jc w:val="center"/>
                    <w:rPr>
                      <w:rFonts w:hint="default" w:ascii="Times New Roman" w:hAnsi="Times New Roman" w:cs="Times New Roman"/>
                      <w:spacing w:val="-1"/>
                      <w:sz w:val="18"/>
                      <w:szCs w:val="18"/>
                    </w:rPr>
                  </w:pPr>
                  <w:r>
                    <w:rPr>
                      <w:rFonts w:hint="default" w:ascii="Times New Roman" w:hAnsi="Times New Roman" w:cs="Times New Roman"/>
                      <w:spacing w:val="-1"/>
                      <w:sz w:val="18"/>
                      <w:szCs w:val="18"/>
                    </w:rPr>
                    <w:t>原料堆场</w:t>
                  </w:r>
                </w:p>
              </w:tc>
              <w:tc>
                <w:tcPr>
                  <w:tcW w:w="5247" w:type="dxa"/>
                  <w:vAlign w:val="center"/>
                </w:tcPr>
                <w:p>
                  <w:pPr>
                    <w:widowControl/>
                    <w:rPr>
                      <w:rFonts w:hint="default" w:ascii="Times New Roman" w:hAnsi="Times New Roman" w:cs="Times New Roman"/>
                      <w:kern w:val="0"/>
                      <w:sz w:val="18"/>
                      <w:szCs w:val="18"/>
                    </w:rPr>
                  </w:pPr>
                  <w:r>
                    <w:rPr>
                      <w:rFonts w:hint="default" w:ascii="Times New Roman" w:hAnsi="Times New Roman" w:cs="Times New Roman"/>
                      <w:kern w:val="0"/>
                      <w:sz w:val="18"/>
                      <w:szCs w:val="18"/>
                    </w:rPr>
                    <w:t>利用出租方原低品位矿堆场作为原料堆场，该堆场地面采取了硬化，周边围挡，顶棚搭盖，占地面积约700m</w:t>
                  </w:r>
                  <w:r>
                    <w:rPr>
                      <w:rFonts w:hint="default" w:ascii="Times New Roman" w:hAnsi="Times New Roman" w:cs="Times New Roman"/>
                      <w:kern w:val="0"/>
                      <w:sz w:val="18"/>
                      <w:szCs w:val="18"/>
                      <w:vertAlign w:val="superscript"/>
                    </w:rPr>
                    <w:t>2</w:t>
                  </w:r>
                </w:p>
              </w:tc>
              <w:tc>
                <w:tcPr>
                  <w:tcW w:w="1053" w:type="dxa"/>
                  <w:vAlign w:val="center"/>
                </w:tcPr>
                <w:p>
                  <w:pPr>
                    <w:widowControl/>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利用出租方堆场</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85" w:hRule="atLeast"/>
              </w:trPr>
              <w:tc>
                <w:tcPr>
                  <w:tcW w:w="609" w:type="dxa"/>
                  <w:vMerge w:val="continue"/>
                  <w:vAlign w:val="center"/>
                </w:tcPr>
                <w:p>
                  <w:pPr>
                    <w:widowControl/>
                    <w:jc w:val="center"/>
                    <w:rPr>
                      <w:rFonts w:hint="default" w:ascii="Times New Roman" w:hAnsi="Times New Roman" w:cs="Times New Roman"/>
                      <w:kern w:val="0"/>
                      <w:sz w:val="18"/>
                      <w:szCs w:val="18"/>
                    </w:rPr>
                  </w:pPr>
                </w:p>
              </w:tc>
              <w:tc>
                <w:tcPr>
                  <w:tcW w:w="429" w:type="dxa"/>
                  <w:gridSpan w:val="2"/>
                  <w:vMerge w:val="restart"/>
                  <w:vAlign w:val="center"/>
                </w:tcPr>
                <w:p>
                  <w:pPr>
                    <w:pStyle w:val="72"/>
                    <w:jc w:val="center"/>
                    <w:rPr>
                      <w:rFonts w:hint="default" w:ascii="Times New Roman" w:hAnsi="Times New Roman" w:cs="Times New Roman"/>
                      <w:sz w:val="18"/>
                      <w:szCs w:val="18"/>
                    </w:rPr>
                  </w:pPr>
                  <w:r>
                    <w:rPr>
                      <w:rFonts w:hint="default" w:ascii="Times New Roman" w:hAnsi="Times New Roman" w:cs="Times New Roman"/>
                      <w:spacing w:val="-1"/>
                      <w:sz w:val="18"/>
                      <w:szCs w:val="18"/>
                    </w:rPr>
                    <w:t>成品堆放场</w:t>
                  </w:r>
                </w:p>
              </w:tc>
              <w:tc>
                <w:tcPr>
                  <w:tcW w:w="658" w:type="dxa"/>
                  <w:vAlign w:val="center"/>
                </w:tcPr>
                <w:p>
                  <w:pPr>
                    <w:pStyle w:val="72"/>
                    <w:jc w:val="center"/>
                    <w:rPr>
                      <w:rFonts w:hint="default" w:ascii="Times New Roman" w:hAnsi="Times New Roman" w:cs="Times New Roman"/>
                      <w:spacing w:val="-1"/>
                      <w:sz w:val="18"/>
                      <w:szCs w:val="18"/>
                    </w:rPr>
                  </w:pPr>
                  <w:r>
                    <w:rPr>
                      <w:rFonts w:hint="default" w:ascii="Times New Roman" w:hAnsi="Times New Roman" w:cs="Times New Roman"/>
                      <w:spacing w:val="-1"/>
                      <w:sz w:val="18"/>
                      <w:szCs w:val="18"/>
                    </w:rPr>
                    <w:t>铁粉仓</w:t>
                  </w:r>
                </w:p>
              </w:tc>
              <w:tc>
                <w:tcPr>
                  <w:tcW w:w="5247" w:type="dxa"/>
                  <w:vAlign w:val="center"/>
                </w:tcPr>
                <w:p>
                  <w:pPr>
                    <w:widowControl/>
                    <w:jc w:val="left"/>
                    <w:rPr>
                      <w:rFonts w:hint="default" w:ascii="Times New Roman" w:hAnsi="Times New Roman" w:cs="Times New Roman"/>
                      <w:kern w:val="0"/>
                      <w:sz w:val="18"/>
                      <w:szCs w:val="18"/>
                      <w:highlight w:val="yellow"/>
                    </w:rPr>
                  </w:pPr>
                  <w:r>
                    <w:rPr>
                      <w:rFonts w:hint="default" w:ascii="Times New Roman" w:hAnsi="Times New Roman" w:cs="Times New Roman"/>
                      <w:kern w:val="0"/>
                      <w:sz w:val="18"/>
                      <w:szCs w:val="18"/>
                    </w:rPr>
                    <w:t>铁粉仓，使用防渗混凝土建造，占地面积100m</w:t>
                  </w:r>
                  <w:r>
                    <w:rPr>
                      <w:rFonts w:hint="default" w:ascii="Times New Roman" w:hAnsi="Times New Roman" w:cs="Times New Roman"/>
                      <w:kern w:val="0"/>
                      <w:sz w:val="18"/>
                      <w:szCs w:val="18"/>
                      <w:vertAlign w:val="superscript"/>
                    </w:rPr>
                    <w:t>2</w:t>
                  </w:r>
                </w:p>
              </w:tc>
              <w:tc>
                <w:tcPr>
                  <w:tcW w:w="1053" w:type="dxa"/>
                  <w:vAlign w:val="center"/>
                </w:tcPr>
                <w:p>
                  <w:pPr>
                    <w:widowControl/>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新建</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85" w:hRule="atLeast"/>
              </w:trPr>
              <w:tc>
                <w:tcPr>
                  <w:tcW w:w="609" w:type="dxa"/>
                  <w:vMerge w:val="continue"/>
                  <w:vAlign w:val="center"/>
                </w:tcPr>
                <w:p>
                  <w:pPr>
                    <w:pStyle w:val="72"/>
                    <w:jc w:val="center"/>
                    <w:rPr>
                      <w:rFonts w:hint="default" w:ascii="Times New Roman" w:hAnsi="Times New Roman" w:cs="Times New Roman"/>
                      <w:sz w:val="18"/>
                      <w:szCs w:val="18"/>
                    </w:rPr>
                  </w:pPr>
                </w:p>
              </w:tc>
              <w:tc>
                <w:tcPr>
                  <w:tcW w:w="429" w:type="dxa"/>
                  <w:gridSpan w:val="2"/>
                  <w:vMerge w:val="continue"/>
                  <w:vAlign w:val="center"/>
                </w:tcPr>
                <w:p>
                  <w:pPr>
                    <w:pStyle w:val="72"/>
                    <w:jc w:val="center"/>
                    <w:rPr>
                      <w:rFonts w:hint="default" w:ascii="Times New Roman" w:hAnsi="Times New Roman" w:cs="Times New Roman"/>
                      <w:sz w:val="18"/>
                      <w:szCs w:val="18"/>
                    </w:rPr>
                  </w:pPr>
                </w:p>
              </w:tc>
              <w:tc>
                <w:tcPr>
                  <w:tcW w:w="658" w:type="dxa"/>
                  <w:vAlign w:val="center"/>
                </w:tcPr>
                <w:p>
                  <w:pPr>
                    <w:pStyle w:val="72"/>
                    <w:jc w:val="center"/>
                    <w:rPr>
                      <w:rFonts w:hint="default" w:ascii="Times New Roman" w:hAnsi="Times New Roman" w:cs="Times New Roman"/>
                      <w:spacing w:val="-1"/>
                      <w:sz w:val="18"/>
                      <w:szCs w:val="18"/>
                    </w:rPr>
                  </w:pPr>
                  <w:r>
                    <w:rPr>
                      <w:rFonts w:hint="default" w:ascii="Times New Roman" w:hAnsi="Times New Roman" w:cs="Times New Roman"/>
                      <w:spacing w:val="-1"/>
                      <w:sz w:val="18"/>
                      <w:szCs w:val="18"/>
                    </w:rPr>
                    <w:t>尾渣堆场</w:t>
                  </w:r>
                </w:p>
              </w:tc>
              <w:tc>
                <w:tcPr>
                  <w:tcW w:w="5247" w:type="dxa"/>
                  <w:vAlign w:val="center"/>
                </w:tcPr>
                <w:p>
                  <w:pPr>
                    <w:pStyle w:val="72"/>
                    <w:rPr>
                      <w:rFonts w:hint="default" w:ascii="Times New Roman" w:hAnsi="Times New Roman" w:cs="Times New Roman"/>
                      <w:spacing w:val="-1"/>
                      <w:sz w:val="18"/>
                      <w:szCs w:val="18"/>
                    </w:rPr>
                  </w:pPr>
                  <w:r>
                    <w:rPr>
                      <w:rFonts w:hint="default" w:ascii="Times New Roman" w:hAnsi="Times New Roman" w:cs="Times New Roman"/>
                      <w:sz w:val="18"/>
                      <w:szCs w:val="18"/>
                    </w:rPr>
                    <w:t>单层钢结构厂房，地面硬化，顶棚搭盖，半封闭厂房，占地面积350m</w:t>
                  </w:r>
                  <w:r>
                    <w:rPr>
                      <w:rFonts w:hint="default" w:ascii="Times New Roman" w:hAnsi="Times New Roman" w:cs="Times New Roman"/>
                      <w:sz w:val="18"/>
                      <w:szCs w:val="18"/>
                      <w:vertAlign w:val="superscript"/>
                    </w:rPr>
                    <w:t>2</w:t>
                  </w:r>
                </w:p>
              </w:tc>
              <w:tc>
                <w:tcPr>
                  <w:tcW w:w="1053" w:type="dxa"/>
                  <w:vAlign w:val="center"/>
                </w:tcPr>
                <w:p>
                  <w:pPr>
                    <w:pStyle w:val="72"/>
                    <w:jc w:val="center"/>
                    <w:rPr>
                      <w:rFonts w:hint="default" w:ascii="Times New Roman" w:hAnsi="Times New Roman" w:cs="Times New Roman"/>
                      <w:sz w:val="18"/>
                      <w:szCs w:val="18"/>
                    </w:rPr>
                  </w:pPr>
                  <w:r>
                    <w:rPr>
                      <w:rFonts w:hint="default" w:ascii="Times New Roman" w:hAnsi="Times New Roman" w:cs="Times New Roman"/>
                      <w:sz w:val="18"/>
                      <w:szCs w:val="18"/>
                    </w:rPr>
                    <w:t>利用出租方闲置厂房</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90" w:hRule="atLeast"/>
              </w:trPr>
              <w:tc>
                <w:tcPr>
                  <w:tcW w:w="609" w:type="dxa"/>
                  <w:vMerge w:val="restart"/>
                  <w:vAlign w:val="center"/>
                </w:tcPr>
                <w:p>
                  <w:pPr>
                    <w:widowControl/>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公用工程</w:t>
                  </w:r>
                </w:p>
              </w:tc>
              <w:tc>
                <w:tcPr>
                  <w:tcW w:w="1087" w:type="dxa"/>
                  <w:gridSpan w:val="3"/>
                  <w:vAlign w:val="center"/>
                </w:tcPr>
                <w:p>
                  <w:pPr>
                    <w:widowControl/>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供水</w:t>
                  </w:r>
                </w:p>
              </w:tc>
              <w:tc>
                <w:tcPr>
                  <w:tcW w:w="5247" w:type="dxa"/>
                  <w:vAlign w:val="center"/>
                </w:tcPr>
                <w:p>
                  <w:pPr>
                    <w:widowControl/>
                    <w:rPr>
                      <w:rFonts w:hint="default" w:ascii="Times New Roman" w:hAnsi="Times New Roman" w:cs="Times New Roman"/>
                      <w:kern w:val="0"/>
                      <w:sz w:val="18"/>
                      <w:szCs w:val="18"/>
                    </w:rPr>
                  </w:pPr>
                  <w:r>
                    <w:rPr>
                      <w:rFonts w:hint="default" w:ascii="Times New Roman" w:hAnsi="Times New Roman" w:cs="Times New Roman"/>
                      <w:sz w:val="18"/>
                      <w:szCs w:val="18"/>
                    </w:rPr>
                    <w:t>取自山泉水，用水量为20.26</w:t>
                  </w:r>
                  <w:r>
                    <w:rPr>
                      <w:rFonts w:hint="default" w:ascii="Times New Roman" w:hAnsi="Times New Roman" w:cs="Times New Roman"/>
                      <w:sz w:val="18"/>
                      <w:szCs w:val="18"/>
                      <w:lang w:val="en-US" w:eastAsia="zh-CN"/>
                    </w:rPr>
                    <w:t>m</w:t>
                  </w:r>
                  <w:r>
                    <w:rPr>
                      <w:rFonts w:hint="default" w:ascii="Times New Roman" w:hAnsi="Times New Roman" w:cs="Times New Roman"/>
                      <w:sz w:val="18"/>
                      <w:szCs w:val="18"/>
                      <w:vertAlign w:val="superscript"/>
                      <w:lang w:val="en-US" w:eastAsia="zh-CN"/>
                    </w:rPr>
                    <w:t>3</w:t>
                  </w:r>
                  <w:r>
                    <w:rPr>
                      <w:rFonts w:hint="default" w:ascii="Times New Roman" w:hAnsi="Times New Roman" w:cs="Times New Roman"/>
                      <w:sz w:val="18"/>
                      <w:szCs w:val="18"/>
                    </w:rPr>
                    <w:t>/d</w:t>
                  </w:r>
                </w:p>
              </w:tc>
              <w:tc>
                <w:tcPr>
                  <w:tcW w:w="1053" w:type="dxa"/>
                  <w:vAlign w:val="center"/>
                </w:tcPr>
                <w:p>
                  <w:pPr>
                    <w:widowControl/>
                    <w:jc w:val="center"/>
                    <w:rPr>
                      <w:rFonts w:hint="default" w:ascii="Times New Roman" w:hAnsi="Times New Roman" w:cs="Times New Roman"/>
                      <w:sz w:val="18"/>
                      <w:szCs w:val="18"/>
                    </w:rPr>
                  </w:pPr>
                  <w:r>
                    <w:rPr>
                      <w:rFonts w:hint="default" w:ascii="Times New Roman" w:hAnsi="Times New Roman" w:cs="Times New Roman"/>
                      <w:sz w:val="18"/>
                      <w:szCs w:val="18"/>
                    </w:rPr>
                    <w:t>/</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815" w:hRule="atLeast"/>
              </w:trPr>
              <w:tc>
                <w:tcPr>
                  <w:tcW w:w="609" w:type="dxa"/>
                  <w:vMerge w:val="continue"/>
                  <w:vAlign w:val="center"/>
                </w:tcPr>
                <w:p>
                  <w:pPr>
                    <w:widowControl/>
                    <w:jc w:val="center"/>
                    <w:rPr>
                      <w:rFonts w:hint="default" w:ascii="Times New Roman" w:hAnsi="Times New Roman" w:cs="Times New Roman"/>
                      <w:kern w:val="0"/>
                      <w:sz w:val="18"/>
                      <w:szCs w:val="18"/>
                    </w:rPr>
                  </w:pPr>
                </w:p>
              </w:tc>
              <w:tc>
                <w:tcPr>
                  <w:tcW w:w="1087" w:type="dxa"/>
                  <w:gridSpan w:val="3"/>
                  <w:vAlign w:val="center"/>
                </w:tcPr>
                <w:p>
                  <w:pPr>
                    <w:widowControl/>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排水</w:t>
                  </w:r>
                </w:p>
              </w:tc>
              <w:tc>
                <w:tcPr>
                  <w:tcW w:w="5247" w:type="dxa"/>
                  <w:vAlign w:val="center"/>
                </w:tcPr>
                <w:p>
                  <w:pPr>
                    <w:widowControl/>
                    <w:rPr>
                      <w:rFonts w:hint="default" w:ascii="Times New Roman" w:hAnsi="Times New Roman" w:cs="Times New Roman"/>
                      <w:sz w:val="18"/>
                      <w:szCs w:val="18"/>
                    </w:rPr>
                  </w:pPr>
                  <w:r>
                    <w:rPr>
                      <w:rFonts w:hint="default" w:ascii="Times New Roman" w:hAnsi="Times New Roman" w:cs="Times New Roman"/>
                      <w:sz w:val="18"/>
                      <w:szCs w:val="18"/>
                    </w:rPr>
                    <w:t>废水主要为铁粉仓堆干渗滤水、浓缩罐废水、板框压滤废水、初期雨水和职工生活污水，</w:t>
                  </w:r>
                  <w:r>
                    <w:rPr>
                      <w:rFonts w:hint="default" w:ascii="Times New Roman" w:hAnsi="Times New Roman" w:cs="Times New Roman"/>
                      <w:spacing w:val="1"/>
                      <w:sz w:val="18"/>
                      <w:szCs w:val="18"/>
                    </w:rPr>
                    <w:t>废水经</w:t>
                  </w:r>
                  <w:r>
                    <w:rPr>
                      <w:rFonts w:hint="default" w:ascii="Times New Roman" w:hAnsi="Times New Roman" w:cs="Times New Roman"/>
                      <w:sz w:val="18"/>
                      <w:szCs w:val="18"/>
                    </w:rPr>
                    <w:t>“隔油池+沉淀池”处</w:t>
                  </w:r>
                  <w:r>
                    <w:rPr>
                      <w:rFonts w:hint="default" w:ascii="Times New Roman" w:hAnsi="Times New Roman" w:cs="Times New Roman"/>
                      <w:spacing w:val="1"/>
                      <w:sz w:val="18"/>
                      <w:szCs w:val="18"/>
                    </w:rPr>
                    <w:t>理后循环使用，不外排；初期雨水经沉淀后泵入回用水池，回用于球磨等；</w:t>
                  </w:r>
                  <w:r>
                    <w:rPr>
                      <w:rFonts w:hint="default" w:ascii="Times New Roman" w:hAnsi="Times New Roman" w:cs="Times New Roman"/>
                      <w:sz w:val="18"/>
                      <w:szCs w:val="18"/>
                      <w:lang w:val="en-GB"/>
                    </w:rPr>
                    <w:t>少量的生活污水经</w:t>
                  </w:r>
                  <w:r>
                    <w:rPr>
                      <w:rFonts w:hint="default" w:ascii="Times New Roman" w:hAnsi="Times New Roman" w:cs="Times New Roman"/>
                      <w:sz w:val="18"/>
                      <w:szCs w:val="18"/>
                    </w:rPr>
                    <w:t>地埋式生活污水处理设施处理后用于周边山林地灌溉</w:t>
                  </w:r>
                </w:p>
              </w:tc>
              <w:tc>
                <w:tcPr>
                  <w:tcW w:w="1053" w:type="dxa"/>
                  <w:vAlign w:val="center"/>
                </w:tcPr>
                <w:p>
                  <w:pPr>
                    <w:widowControl/>
                    <w:jc w:val="center"/>
                    <w:rPr>
                      <w:rFonts w:hint="default" w:ascii="Times New Roman" w:hAnsi="Times New Roman" w:cs="Times New Roman"/>
                      <w:sz w:val="18"/>
                      <w:szCs w:val="18"/>
                    </w:rPr>
                  </w:pPr>
                  <w:r>
                    <w:rPr>
                      <w:rFonts w:hint="default" w:ascii="Times New Roman" w:hAnsi="Times New Roman" w:cs="Times New Roman"/>
                      <w:sz w:val="18"/>
                      <w:szCs w:val="18"/>
                    </w:rPr>
                    <w:t>新建</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40" w:hRule="atLeast"/>
              </w:trPr>
              <w:tc>
                <w:tcPr>
                  <w:tcW w:w="609" w:type="dxa"/>
                  <w:vMerge w:val="continue"/>
                  <w:vAlign w:val="center"/>
                </w:tcPr>
                <w:p>
                  <w:pPr>
                    <w:widowControl/>
                    <w:jc w:val="center"/>
                    <w:rPr>
                      <w:rFonts w:hint="default" w:ascii="Times New Roman" w:hAnsi="Times New Roman" w:cs="Times New Roman"/>
                      <w:kern w:val="0"/>
                      <w:sz w:val="18"/>
                      <w:szCs w:val="18"/>
                    </w:rPr>
                  </w:pPr>
                </w:p>
              </w:tc>
              <w:tc>
                <w:tcPr>
                  <w:tcW w:w="1087" w:type="dxa"/>
                  <w:gridSpan w:val="3"/>
                  <w:vAlign w:val="center"/>
                </w:tcPr>
                <w:p>
                  <w:pPr>
                    <w:widowControl/>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供电</w:t>
                  </w:r>
                </w:p>
              </w:tc>
              <w:tc>
                <w:tcPr>
                  <w:tcW w:w="5247" w:type="dxa"/>
                  <w:vAlign w:val="center"/>
                </w:tcPr>
                <w:p>
                  <w:pPr>
                    <w:widowControl/>
                    <w:jc w:val="left"/>
                    <w:rPr>
                      <w:rFonts w:hint="default" w:ascii="Times New Roman" w:hAnsi="Times New Roman" w:cs="Times New Roman"/>
                      <w:kern w:val="0"/>
                      <w:sz w:val="18"/>
                      <w:szCs w:val="18"/>
                    </w:rPr>
                  </w:pPr>
                  <w:r>
                    <w:rPr>
                      <w:rFonts w:hint="default" w:ascii="Times New Roman" w:hAnsi="Times New Roman" w:cs="Times New Roman"/>
                      <w:kern w:val="0"/>
                      <w:sz w:val="18"/>
                      <w:szCs w:val="18"/>
                    </w:rPr>
                    <w:t>市政供电，用电量为25万kwh/a</w:t>
                  </w:r>
                </w:p>
              </w:tc>
              <w:tc>
                <w:tcPr>
                  <w:tcW w:w="1053" w:type="dxa"/>
                  <w:vAlign w:val="center"/>
                </w:tcPr>
                <w:p>
                  <w:pPr>
                    <w:widowControl/>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10" w:hRule="atLeast"/>
              </w:trPr>
              <w:tc>
                <w:tcPr>
                  <w:tcW w:w="609" w:type="dxa"/>
                  <w:vMerge w:val="restart"/>
                  <w:vAlign w:val="center"/>
                </w:tcPr>
                <w:p>
                  <w:pPr>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环保工程</w:t>
                  </w:r>
                </w:p>
              </w:tc>
              <w:tc>
                <w:tcPr>
                  <w:tcW w:w="396" w:type="dxa"/>
                  <w:vMerge w:val="restart"/>
                  <w:vAlign w:val="center"/>
                </w:tcPr>
                <w:p>
                  <w:pPr>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治理</w:t>
                  </w:r>
                </w:p>
                <w:p>
                  <w:pPr>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设施</w:t>
                  </w:r>
                </w:p>
              </w:tc>
              <w:tc>
                <w:tcPr>
                  <w:tcW w:w="691" w:type="dxa"/>
                  <w:gridSpan w:val="2"/>
                  <w:vAlign w:val="center"/>
                </w:tcPr>
                <w:p>
                  <w:pPr>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废气</w:t>
                  </w:r>
                </w:p>
              </w:tc>
              <w:tc>
                <w:tcPr>
                  <w:tcW w:w="5247" w:type="dxa"/>
                  <w:vAlign w:val="center"/>
                </w:tcPr>
                <w:p>
                  <w:pPr>
                    <w:rPr>
                      <w:rFonts w:hint="default" w:ascii="Times New Roman" w:hAnsi="Times New Roman" w:cs="Times New Roman"/>
                      <w:sz w:val="18"/>
                      <w:szCs w:val="18"/>
                    </w:rPr>
                  </w:pPr>
                  <w:r>
                    <w:rPr>
                      <w:rFonts w:hint="default" w:ascii="Times New Roman" w:hAnsi="Times New Roman" w:cs="Times New Roman"/>
                      <w:sz w:val="18"/>
                      <w:szCs w:val="18"/>
                    </w:rPr>
                    <w:t>原料堆场采取喷雾抑尘措施；原料卸料过程采取洒水抑尘；破碎、筛分、输送过程采用水喷淋抑尘；原料及尾渣堆场半围挡</w:t>
                  </w:r>
                </w:p>
              </w:tc>
              <w:tc>
                <w:tcPr>
                  <w:tcW w:w="1053"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新建</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10" w:hRule="atLeast"/>
              </w:trPr>
              <w:tc>
                <w:tcPr>
                  <w:tcW w:w="609" w:type="dxa"/>
                  <w:vMerge w:val="continue"/>
                  <w:vAlign w:val="center"/>
                </w:tcPr>
                <w:p>
                  <w:pPr>
                    <w:widowControl/>
                    <w:jc w:val="center"/>
                    <w:rPr>
                      <w:rFonts w:hint="default" w:ascii="Times New Roman" w:hAnsi="Times New Roman" w:cs="Times New Roman"/>
                      <w:kern w:val="0"/>
                      <w:sz w:val="18"/>
                      <w:szCs w:val="18"/>
                    </w:rPr>
                  </w:pPr>
                </w:p>
              </w:tc>
              <w:tc>
                <w:tcPr>
                  <w:tcW w:w="396" w:type="dxa"/>
                  <w:vMerge w:val="continue"/>
                  <w:vAlign w:val="center"/>
                </w:tcPr>
                <w:p>
                  <w:pPr>
                    <w:jc w:val="center"/>
                    <w:rPr>
                      <w:rFonts w:hint="default" w:ascii="Times New Roman" w:hAnsi="Times New Roman" w:cs="Times New Roman"/>
                      <w:kern w:val="0"/>
                      <w:sz w:val="18"/>
                      <w:szCs w:val="18"/>
                    </w:rPr>
                  </w:pPr>
                </w:p>
              </w:tc>
              <w:tc>
                <w:tcPr>
                  <w:tcW w:w="691" w:type="dxa"/>
                  <w:gridSpan w:val="2"/>
                  <w:vAlign w:val="center"/>
                </w:tcPr>
                <w:p>
                  <w:pPr>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废水</w:t>
                  </w:r>
                </w:p>
              </w:tc>
              <w:tc>
                <w:tcPr>
                  <w:tcW w:w="5247" w:type="dxa"/>
                  <w:vAlign w:val="center"/>
                </w:tcPr>
                <w:p>
                  <w:pPr>
                    <w:rPr>
                      <w:rFonts w:hint="default" w:ascii="Times New Roman" w:hAnsi="Times New Roman" w:cs="Times New Roman"/>
                      <w:sz w:val="18"/>
                      <w:szCs w:val="18"/>
                    </w:rPr>
                  </w:pPr>
                  <w:r>
                    <w:rPr>
                      <w:rFonts w:hint="default" w:ascii="Times New Roman" w:hAnsi="Times New Roman" w:cs="Times New Roman"/>
                      <w:sz w:val="18"/>
                      <w:szCs w:val="18"/>
                    </w:rPr>
                    <w:t>一套“隔油池+沉淀池”生产废水处理设施，处理能力250</w:t>
                  </w:r>
                  <w:r>
                    <w:rPr>
                      <w:rFonts w:hint="default" w:ascii="Times New Roman" w:hAnsi="Times New Roman" w:cs="Times New Roman"/>
                      <w:sz w:val="18"/>
                      <w:szCs w:val="18"/>
                      <w:lang w:val="en-US" w:eastAsia="zh-CN"/>
                    </w:rPr>
                    <w:t>m</w:t>
                  </w:r>
                  <w:r>
                    <w:rPr>
                      <w:rFonts w:hint="default" w:ascii="Times New Roman" w:hAnsi="Times New Roman" w:cs="Times New Roman"/>
                      <w:sz w:val="18"/>
                      <w:szCs w:val="18"/>
                      <w:vertAlign w:val="superscript"/>
                      <w:lang w:val="en-US" w:eastAsia="zh-CN"/>
                    </w:rPr>
                    <w:t>3</w:t>
                  </w:r>
                  <w:r>
                    <w:rPr>
                      <w:rFonts w:hint="default" w:ascii="Times New Roman" w:hAnsi="Times New Roman" w:cs="Times New Roman"/>
                      <w:sz w:val="18"/>
                      <w:szCs w:val="18"/>
                    </w:rPr>
                    <w:t>/d；</w:t>
                  </w:r>
                </w:p>
                <w:p>
                  <w:pPr>
                    <w:rPr>
                      <w:rFonts w:hint="default" w:ascii="Times New Roman" w:hAnsi="Times New Roman" w:cs="Times New Roman"/>
                      <w:kern w:val="0"/>
                      <w:sz w:val="18"/>
                      <w:szCs w:val="18"/>
                    </w:rPr>
                  </w:pPr>
                  <w:r>
                    <w:rPr>
                      <w:rFonts w:hint="default" w:ascii="Times New Roman" w:hAnsi="Times New Roman" w:cs="Times New Roman"/>
                      <w:sz w:val="18"/>
                      <w:szCs w:val="18"/>
                    </w:rPr>
                    <w:t>一个9m</w:t>
                  </w:r>
                  <w:r>
                    <w:rPr>
                      <w:rFonts w:hint="default" w:ascii="Times New Roman" w:hAnsi="Times New Roman" w:cs="Times New Roman"/>
                      <w:sz w:val="18"/>
                      <w:szCs w:val="18"/>
                      <w:vertAlign w:val="superscript"/>
                    </w:rPr>
                    <w:t>3</w:t>
                  </w:r>
                  <w:r>
                    <w:rPr>
                      <w:rFonts w:hint="default" w:ascii="Times New Roman" w:hAnsi="Times New Roman" w:cs="Times New Roman"/>
                      <w:sz w:val="18"/>
                      <w:szCs w:val="18"/>
                    </w:rPr>
                    <w:t>初期雨水沉淀池</w:t>
                  </w:r>
                </w:p>
              </w:tc>
              <w:tc>
                <w:tcPr>
                  <w:tcW w:w="1053"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新建</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457" w:hRule="atLeast"/>
              </w:trPr>
              <w:tc>
                <w:tcPr>
                  <w:tcW w:w="609" w:type="dxa"/>
                  <w:vMerge w:val="continue"/>
                  <w:vAlign w:val="center"/>
                </w:tcPr>
                <w:p>
                  <w:pPr>
                    <w:widowControl/>
                    <w:jc w:val="center"/>
                    <w:rPr>
                      <w:rFonts w:hint="default" w:ascii="Times New Roman" w:hAnsi="Times New Roman" w:cs="Times New Roman"/>
                      <w:kern w:val="0"/>
                      <w:sz w:val="18"/>
                      <w:szCs w:val="18"/>
                    </w:rPr>
                  </w:pPr>
                </w:p>
              </w:tc>
              <w:tc>
                <w:tcPr>
                  <w:tcW w:w="396" w:type="dxa"/>
                  <w:vMerge w:val="continue"/>
                  <w:vAlign w:val="center"/>
                </w:tcPr>
                <w:p>
                  <w:pPr>
                    <w:widowControl/>
                    <w:jc w:val="center"/>
                    <w:rPr>
                      <w:rFonts w:hint="default" w:ascii="Times New Roman" w:hAnsi="Times New Roman" w:cs="Times New Roman"/>
                      <w:kern w:val="0"/>
                      <w:sz w:val="18"/>
                      <w:szCs w:val="18"/>
                    </w:rPr>
                  </w:pPr>
                </w:p>
              </w:tc>
              <w:tc>
                <w:tcPr>
                  <w:tcW w:w="691" w:type="dxa"/>
                  <w:gridSpan w:val="2"/>
                  <w:vAlign w:val="center"/>
                </w:tcPr>
                <w:p>
                  <w:pPr>
                    <w:widowControl/>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噪声</w:t>
                  </w:r>
                </w:p>
              </w:tc>
              <w:tc>
                <w:tcPr>
                  <w:tcW w:w="5247" w:type="dxa"/>
                  <w:vAlign w:val="center"/>
                </w:tcPr>
                <w:p>
                  <w:pPr>
                    <w:widowControl/>
                    <w:rPr>
                      <w:rFonts w:hint="default" w:ascii="Times New Roman" w:hAnsi="Times New Roman" w:cs="Times New Roman"/>
                      <w:kern w:val="0"/>
                      <w:sz w:val="18"/>
                      <w:szCs w:val="18"/>
                    </w:rPr>
                  </w:pPr>
                  <w:r>
                    <w:rPr>
                      <w:rFonts w:hint="default" w:ascii="Times New Roman" w:hAnsi="Times New Roman" w:cs="Times New Roman"/>
                      <w:sz w:val="18"/>
                      <w:szCs w:val="18"/>
                    </w:rPr>
                    <w:t>选用低噪声设备，设备采取隔振垫降噪等措施。</w:t>
                  </w:r>
                </w:p>
              </w:tc>
              <w:tc>
                <w:tcPr>
                  <w:tcW w:w="1053" w:type="dxa"/>
                  <w:vAlign w:val="center"/>
                </w:tcPr>
                <w:p>
                  <w:pPr>
                    <w:widowControl/>
                    <w:jc w:val="center"/>
                    <w:rPr>
                      <w:rFonts w:hint="default" w:ascii="Times New Roman" w:hAnsi="Times New Roman" w:cs="Times New Roman"/>
                      <w:sz w:val="18"/>
                      <w:szCs w:val="18"/>
                    </w:rPr>
                  </w:pPr>
                  <w:r>
                    <w:rPr>
                      <w:rFonts w:hint="default" w:ascii="Times New Roman" w:hAnsi="Times New Roman" w:cs="Times New Roman"/>
                      <w:sz w:val="18"/>
                      <w:szCs w:val="18"/>
                    </w:rPr>
                    <w:t>新建</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165" w:hRule="atLeast"/>
              </w:trPr>
              <w:tc>
                <w:tcPr>
                  <w:tcW w:w="609" w:type="dxa"/>
                  <w:vMerge w:val="continue"/>
                  <w:vAlign w:val="center"/>
                </w:tcPr>
                <w:p>
                  <w:pPr>
                    <w:widowControl/>
                    <w:jc w:val="center"/>
                    <w:rPr>
                      <w:rFonts w:hint="default" w:ascii="Times New Roman" w:hAnsi="Times New Roman" w:cs="Times New Roman"/>
                      <w:kern w:val="0"/>
                      <w:sz w:val="18"/>
                      <w:szCs w:val="18"/>
                    </w:rPr>
                  </w:pPr>
                </w:p>
              </w:tc>
              <w:tc>
                <w:tcPr>
                  <w:tcW w:w="396" w:type="dxa"/>
                  <w:vMerge w:val="continue"/>
                  <w:vAlign w:val="center"/>
                </w:tcPr>
                <w:p>
                  <w:pPr>
                    <w:widowControl/>
                    <w:jc w:val="center"/>
                    <w:rPr>
                      <w:rFonts w:hint="default" w:ascii="Times New Roman" w:hAnsi="Times New Roman" w:cs="Times New Roman"/>
                      <w:kern w:val="0"/>
                      <w:sz w:val="18"/>
                      <w:szCs w:val="18"/>
                    </w:rPr>
                  </w:pPr>
                </w:p>
              </w:tc>
              <w:tc>
                <w:tcPr>
                  <w:tcW w:w="691" w:type="dxa"/>
                  <w:gridSpan w:val="2"/>
                  <w:vMerge w:val="restart"/>
                  <w:vAlign w:val="center"/>
                </w:tcPr>
                <w:p>
                  <w:pPr>
                    <w:widowControl/>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固废</w:t>
                  </w:r>
                </w:p>
              </w:tc>
              <w:tc>
                <w:tcPr>
                  <w:tcW w:w="5247" w:type="dxa"/>
                  <w:vAlign w:val="center"/>
                </w:tcPr>
                <w:p>
                  <w:pPr>
                    <w:widowControl/>
                    <w:rPr>
                      <w:rFonts w:hint="default" w:ascii="Times New Roman" w:hAnsi="Times New Roman" w:cs="Times New Roman"/>
                      <w:bCs/>
                      <w:sz w:val="18"/>
                      <w:szCs w:val="18"/>
                    </w:rPr>
                  </w:pPr>
                  <w:r>
                    <w:rPr>
                      <w:rFonts w:hint="default" w:ascii="Times New Roman" w:hAnsi="Times New Roman" w:cs="Times New Roman"/>
                      <w:bCs/>
                      <w:sz w:val="18"/>
                      <w:szCs w:val="18"/>
                    </w:rPr>
                    <w:t>一般固废暂存场；10m</w:t>
                  </w:r>
                  <w:r>
                    <w:rPr>
                      <w:rFonts w:hint="default" w:ascii="Times New Roman" w:hAnsi="Times New Roman" w:cs="Times New Roman"/>
                      <w:bCs/>
                      <w:sz w:val="18"/>
                      <w:szCs w:val="18"/>
                      <w:vertAlign w:val="superscript"/>
                    </w:rPr>
                    <w:t>2</w:t>
                  </w:r>
                </w:p>
              </w:tc>
              <w:tc>
                <w:tcPr>
                  <w:tcW w:w="1053" w:type="dxa"/>
                  <w:vAlign w:val="center"/>
                </w:tcPr>
                <w:p>
                  <w:pPr>
                    <w:widowControl/>
                    <w:jc w:val="center"/>
                    <w:rPr>
                      <w:rFonts w:hint="default" w:ascii="Times New Roman" w:hAnsi="Times New Roman" w:cs="Times New Roman"/>
                      <w:bCs/>
                      <w:sz w:val="18"/>
                      <w:szCs w:val="18"/>
                    </w:rPr>
                  </w:pPr>
                  <w:r>
                    <w:rPr>
                      <w:rFonts w:hint="default" w:ascii="Times New Roman" w:hAnsi="Times New Roman" w:cs="Times New Roman"/>
                      <w:bCs/>
                      <w:sz w:val="18"/>
                      <w:szCs w:val="18"/>
                    </w:rPr>
                    <w:t>新建</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165" w:hRule="atLeast"/>
              </w:trPr>
              <w:tc>
                <w:tcPr>
                  <w:tcW w:w="609" w:type="dxa"/>
                  <w:vMerge w:val="continue"/>
                  <w:vAlign w:val="center"/>
                </w:tcPr>
                <w:p>
                  <w:pPr>
                    <w:widowControl/>
                    <w:jc w:val="center"/>
                    <w:rPr>
                      <w:rFonts w:hint="default" w:ascii="Times New Roman" w:hAnsi="Times New Roman" w:cs="Times New Roman"/>
                      <w:kern w:val="0"/>
                      <w:sz w:val="18"/>
                      <w:szCs w:val="18"/>
                    </w:rPr>
                  </w:pPr>
                </w:p>
              </w:tc>
              <w:tc>
                <w:tcPr>
                  <w:tcW w:w="396" w:type="dxa"/>
                  <w:vMerge w:val="continue"/>
                  <w:vAlign w:val="center"/>
                </w:tcPr>
                <w:p>
                  <w:pPr>
                    <w:widowControl/>
                    <w:jc w:val="center"/>
                    <w:rPr>
                      <w:rFonts w:hint="default" w:ascii="Times New Roman" w:hAnsi="Times New Roman" w:cs="Times New Roman"/>
                      <w:kern w:val="0"/>
                      <w:sz w:val="18"/>
                      <w:szCs w:val="18"/>
                    </w:rPr>
                  </w:pPr>
                </w:p>
              </w:tc>
              <w:tc>
                <w:tcPr>
                  <w:tcW w:w="691" w:type="dxa"/>
                  <w:gridSpan w:val="2"/>
                  <w:vMerge w:val="continue"/>
                  <w:vAlign w:val="center"/>
                </w:tcPr>
                <w:p>
                  <w:pPr>
                    <w:widowControl/>
                    <w:jc w:val="center"/>
                    <w:rPr>
                      <w:rFonts w:hint="default" w:ascii="Times New Roman" w:hAnsi="Times New Roman" w:cs="Times New Roman"/>
                      <w:kern w:val="0"/>
                      <w:sz w:val="18"/>
                      <w:szCs w:val="18"/>
                    </w:rPr>
                  </w:pPr>
                </w:p>
              </w:tc>
              <w:tc>
                <w:tcPr>
                  <w:tcW w:w="5247" w:type="dxa"/>
                  <w:vAlign w:val="center"/>
                </w:tcPr>
                <w:p>
                  <w:pPr>
                    <w:widowControl/>
                    <w:rPr>
                      <w:rFonts w:hint="default" w:ascii="Times New Roman" w:hAnsi="Times New Roman" w:cs="Times New Roman"/>
                      <w:bCs/>
                      <w:sz w:val="18"/>
                      <w:szCs w:val="18"/>
                    </w:rPr>
                  </w:pPr>
                  <w:r>
                    <w:rPr>
                      <w:rFonts w:hint="default" w:ascii="Times New Roman" w:hAnsi="Times New Roman" w:cs="Times New Roman"/>
                      <w:bCs/>
                      <w:sz w:val="18"/>
                      <w:szCs w:val="18"/>
                    </w:rPr>
                    <w:t>危废储存间，面积15m</w:t>
                  </w:r>
                  <w:r>
                    <w:rPr>
                      <w:rFonts w:hint="default" w:ascii="Times New Roman" w:hAnsi="Times New Roman" w:cs="Times New Roman"/>
                      <w:bCs/>
                      <w:sz w:val="18"/>
                      <w:szCs w:val="18"/>
                      <w:vertAlign w:val="superscript"/>
                    </w:rPr>
                    <w:t>2</w:t>
                  </w:r>
                  <w:r>
                    <w:rPr>
                      <w:rFonts w:hint="default" w:ascii="Times New Roman" w:hAnsi="Times New Roman" w:cs="Times New Roman"/>
                      <w:bCs/>
                      <w:sz w:val="18"/>
                      <w:szCs w:val="18"/>
                    </w:rPr>
                    <w:t>，采用“防渗混凝土+环氧树脂地坪漆”防渗</w:t>
                  </w:r>
                </w:p>
              </w:tc>
              <w:tc>
                <w:tcPr>
                  <w:tcW w:w="1053" w:type="dxa"/>
                  <w:vAlign w:val="center"/>
                </w:tcPr>
                <w:p>
                  <w:pPr>
                    <w:widowControl/>
                    <w:jc w:val="center"/>
                    <w:rPr>
                      <w:rFonts w:hint="default" w:ascii="Times New Roman" w:hAnsi="Times New Roman" w:cs="Times New Roman"/>
                      <w:bCs/>
                      <w:sz w:val="18"/>
                      <w:szCs w:val="18"/>
                    </w:rPr>
                  </w:pPr>
                  <w:r>
                    <w:rPr>
                      <w:rFonts w:hint="default" w:ascii="Times New Roman" w:hAnsi="Times New Roman" w:cs="Times New Roman"/>
                      <w:bCs/>
                      <w:sz w:val="18"/>
                      <w:szCs w:val="18"/>
                    </w:rPr>
                    <w:t>新建</w:t>
                  </w:r>
                </w:p>
              </w:tc>
            </w:tr>
          </w:tbl>
          <w:p>
            <w:pPr>
              <w:spacing w:line="460" w:lineRule="exact"/>
              <w:rPr>
                <w:rFonts w:hint="default" w:ascii="Times New Roman" w:hAnsi="Times New Roman" w:eastAsia="黑体" w:cs="Times New Roman"/>
                <w:b/>
                <w:bCs/>
              </w:rPr>
            </w:pPr>
            <w:r>
              <w:rPr>
                <w:rFonts w:hint="default" w:ascii="Times New Roman" w:hAnsi="Times New Roman" w:eastAsia="黑体" w:cs="Times New Roman"/>
                <w:b/>
                <w:bCs/>
              </w:rPr>
              <w:t>2.2.4出租方介绍</w:t>
            </w:r>
          </w:p>
          <w:p>
            <w:pPr>
              <w:spacing w:line="440" w:lineRule="exact"/>
              <w:ind w:firstLine="480" w:firstLineChars="200"/>
              <w:rPr>
                <w:rFonts w:hint="default" w:ascii="Times New Roman" w:hAnsi="Times New Roman" w:cs="Times New Roman"/>
              </w:rPr>
            </w:pPr>
            <w:r>
              <w:rPr>
                <w:rFonts w:hint="default" w:ascii="Times New Roman" w:hAnsi="Times New Roman" w:cs="Times New Roman"/>
              </w:rPr>
              <w:t>（1）出租方情况</w:t>
            </w:r>
          </w:p>
          <w:p>
            <w:pPr>
              <w:spacing w:line="440" w:lineRule="exact"/>
              <w:ind w:firstLine="480" w:firstLineChars="200"/>
              <w:rPr>
                <w:rFonts w:hint="default" w:ascii="Times New Roman" w:hAnsi="Times New Roman" w:cs="Times New Roman"/>
              </w:rPr>
            </w:pPr>
            <w:r>
              <w:rPr>
                <w:rFonts w:hint="default" w:ascii="Times New Roman" w:hAnsi="Times New Roman" w:cs="Times New Roman"/>
              </w:rPr>
              <w:t>2023年6月1日，卓阳达公司租用大田县武陵乡大石村249号岩盛公司部分闲置厂房作为本项目的生产用地（详见附件四）。</w:t>
            </w:r>
          </w:p>
          <w:p>
            <w:pPr>
              <w:spacing w:line="440" w:lineRule="exact"/>
              <w:ind w:firstLine="480" w:firstLineChars="200"/>
              <w:rPr>
                <w:rFonts w:hint="default" w:ascii="Times New Roman" w:hAnsi="Times New Roman" w:cs="Times New Roman"/>
              </w:rPr>
            </w:pPr>
            <w:r>
              <w:rPr>
                <w:rFonts w:hint="default" w:ascii="Times New Roman" w:hAnsi="Times New Roman" w:cs="Times New Roman"/>
              </w:rPr>
              <w:t>根据现场调研及企业提供资料，岩盛公司成立于2008年，主要从事于铸铁件、铸钢件等制造，厂区原建有1座100m</w:t>
            </w:r>
            <w:r>
              <w:rPr>
                <w:rFonts w:hint="default" w:ascii="Times New Roman" w:hAnsi="Times New Roman" w:cs="Times New Roman"/>
                <w:vertAlign w:val="superscript"/>
              </w:rPr>
              <w:t>3</w:t>
            </w:r>
            <w:r>
              <w:rPr>
                <w:rFonts w:hint="default" w:ascii="Times New Roman" w:hAnsi="Times New Roman" w:cs="Times New Roman"/>
              </w:rPr>
              <w:t>的铁矿冶炼炉、1座100m</w:t>
            </w:r>
            <w:r>
              <w:rPr>
                <w:rFonts w:hint="default" w:ascii="Times New Roman" w:hAnsi="Times New Roman" w:cs="Times New Roman"/>
                <w:vertAlign w:val="superscript"/>
              </w:rPr>
              <w:t>3</w:t>
            </w:r>
            <w:r>
              <w:rPr>
                <w:rFonts w:hint="default" w:ascii="Times New Roman" w:hAnsi="Times New Roman" w:cs="Times New Roman"/>
              </w:rPr>
              <w:t>的低品位矿烧结炉及原料堆场、破碎车间等，占地面积共约18000m</w:t>
            </w:r>
            <w:r>
              <w:rPr>
                <w:rFonts w:hint="default" w:ascii="Times New Roman" w:hAnsi="Times New Roman" w:cs="Times New Roman"/>
                <w:vertAlign w:val="superscript"/>
              </w:rPr>
              <w:t>2</w:t>
            </w:r>
            <w:r>
              <w:rPr>
                <w:rFonts w:hint="default" w:ascii="Times New Roman" w:hAnsi="Times New Roman" w:cs="Times New Roman"/>
              </w:rPr>
              <w:t>，因未办理环评审批手续，2017年被责令整改（田政办</w:t>
            </w:r>
            <w:r>
              <w:rPr>
                <w:rFonts w:hint="default" w:ascii="Times New Roman" w:hAnsi="Times New Roman" w:cs="Times New Roman"/>
                <w:lang w:val="en-US" w:eastAsia="zh-CN"/>
              </w:rPr>
              <w:t>[</w:t>
            </w:r>
            <w:r>
              <w:rPr>
                <w:rFonts w:hint="default" w:ascii="Times New Roman" w:hAnsi="Times New Roman" w:cs="Times New Roman"/>
              </w:rPr>
              <w:t>2017</w:t>
            </w:r>
            <w:r>
              <w:rPr>
                <w:rFonts w:hint="default" w:ascii="Times New Roman" w:hAnsi="Times New Roman" w:cs="Times New Roman"/>
                <w:lang w:val="en-US" w:eastAsia="zh-CN"/>
              </w:rPr>
              <w:t>]</w:t>
            </w:r>
            <w:r>
              <w:rPr>
                <w:rFonts w:hint="default" w:ascii="Times New Roman" w:hAnsi="Times New Roman" w:cs="Times New Roman"/>
              </w:rPr>
              <w:t>55号）。2018年，岩盛公司申办了年产</w:t>
            </w:r>
            <w:r>
              <w:rPr>
                <w:rFonts w:hint="default" w:ascii="Times New Roman" w:hAnsi="Times New Roman" w:cs="Times New Roman"/>
                <w:lang w:eastAsia="zh-CN"/>
              </w:rPr>
              <w:t>“</w:t>
            </w:r>
            <w:r>
              <w:rPr>
                <w:rFonts w:hint="default" w:ascii="Times New Roman" w:hAnsi="Times New Roman" w:cs="Times New Roman"/>
              </w:rPr>
              <w:t>15000吨铸件生产线技改项目</w:t>
            </w:r>
            <w:r>
              <w:rPr>
                <w:rFonts w:hint="default" w:ascii="Times New Roman" w:hAnsi="Times New Roman" w:cs="Times New Roman"/>
                <w:lang w:eastAsia="zh-CN"/>
              </w:rPr>
              <w:t>”</w:t>
            </w:r>
            <w:r>
              <w:rPr>
                <w:rFonts w:hint="default" w:ascii="Times New Roman" w:hAnsi="Times New Roman" w:cs="Times New Roman"/>
              </w:rPr>
              <w:t>，用地面积为10000m</w:t>
            </w:r>
            <w:r>
              <w:rPr>
                <w:rFonts w:hint="default" w:ascii="Times New Roman" w:hAnsi="Times New Roman" w:cs="Times New Roman"/>
                <w:vertAlign w:val="superscript"/>
              </w:rPr>
              <w:t>2</w:t>
            </w:r>
            <w:r>
              <w:rPr>
                <w:rFonts w:hint="default" w:ascii="Times New Roman" w:hAnsi="Times New Roman" w:cs="Times New Roman"/>
              </w:rPr>
              <w:t>（岩盛铸造项目用地范围图见附图</w:t>
            </w:r>
            <w:r>
              <w:rPr>
                <w:rFonts w:hint="default" w:ascii="Times New Roman" w:hAnsi="Times New Roman" w:cs="Times New Roman"/>
                <w:lang w:val="en-US" w:eastAsia="zh-CN"/>
              </w:rPr>
              <w:t>7</w:t>
            </w:r>
            <w:r>
              <w:rPr>
                <w:rFonts w:hint="default" w:ascii="Times New Roman" w:hAnsi="Times New Roman" w:cs="Times New Roman"/>
              </w:rPr>
              <w:t>），并通过原大田县环保局审批（田环批字[2018]38号），主要生产工程机械配件、市政工程配件、消防配件等铸件产品，营业执照见附件六。目前，岩盛公司年产15000吨铸件生产线技改项目处于正常运行状态。</w:t>
            </w:r>
          </w:p>
          <w:p>
            <w:pPr>
              <w:spacing w:line="440" w:lineRule="exact"/>
              <w:ind w:left="480" w:leftChars="200"/>
              <w:rPr>
                <w:rFonts w:hint="default" w:ascii="Times New Roman" w:hAnsi="Times New Roman" w:cs="Times New Roman"/>
              </w:rPr>
            </w:pPr>
            <w:r>
              <w:rPr>
                <w:rFonts w:hint="default" w:ascii="Times New Roman" w:hAnsi="Times New Roman" w:cs="Times New Roman"/>
              </w:rPr>
              <w:t>（2）原有场地环境问题调查</w:t>
            </w:r>
          </w:p>
          <w:p>
            <w:pPr>
              <w:spacing w:line="440" w:lineRule="exact"/>
              <w:ind w:firstLine="480" w:firstLineChars="200"/>
              <w:rPr>
                <w:rFonts w:hint="default" w:ascii="Times New Roman" w:hAnsi="Times New Roman" w:cs="Times New Roman"/>
              </w:rPr>
            </w:pPr>
            <w:r>
              <w:rPr>
                <w:rFonts w:hint="default" w:ascii="Times New Roman" w:hAnsi="Times New Roman" w:cs="Times New Roman"/>
              </w:rPr>
              <w:t>本项目租用岩盛公司闲置的原低品位矿烧结炉配套的原料堆场、破碎车间作为生产用地（相对位置关系见附图</w:t>
            </w:r>
            <w:r>
              <w:rPr>
                <w:rFonts w:hint="default" w:ascii="Times New Roman" w:hAnsi="Times New Roman" w:cs="Times New Roman"/>
                <w:lang w:val="en-US" w:eastAsia="zh-CN"/>
              </w:rPr>
              <w:t>6</w:t>
            </w:r>
            <w:r>
              <w:rPr>
                <w:rFonts w:hint="default" w:ascii="Times New Roman" w:hAnsi="Times New Roman" w:cs="Times New Roman"/>
              </w:rPr>
              <w:t>），用地面积4201m</w:t>
            </w:r>
            <w:r>
              <w:rPr>
                <w:rFonts w:hint="default" w:ascii="Times New Roman" w:hAnsi="Times New Roman" w:cs="Times New Roman"/>
                <w:vertAlign w:val="superscript"/>
              </w:rPr>
              <w:t>2</w:t>
            </w:r>
            <w:r>
              <w:rPr>
                <w:rFonts w:hint="default" w:ascii="Times New Roman" w:hAnsi="Times New Roman" w:cs="Times New Roman"/>
              </w:rPr>
              <w:t>。</w:t>
            </w:r>
          </w:p>
          <w:p>
            <w:pPr>
              <w:spacing w:line="440" w:lineRule="exact"/>
              <w:ind w:firstLine="480" w:firstLineChars="200"/>
              <w:rPr>
                <w:rFonts w:hint="default" w:ascii="Times New Roman" w:hAnsi="Times New Roman" w:cs="Times New Roman"/>
              </w:rPr>
            </w:pPr>
            <w:r>
              <w:rPr>
                <w:rFonts w:hint="default" w:ascii="Times New Roman" w:hAnsi="Times New Roman" w:cs="Times New Roman"/>
              </w:rPr>
              <w:t>岩盛公司原低品位矿烧结炉配套的原料堆场、破碎车间为钢结构厂房，设置了顶棚，地面采取了硬化处理。租用的原料堆场、破碎车间涉及的物料为低品位铁矿，租用车间内物料已清运处置，地面无污水、固废等残留，没有发现场地污染的迹象。</w:t>
            </w:r>
          </w:p>
          <w:p>
            <w:pPr>
              <w:spacing w:line="460" w:lineRule="exact"/>
              <w:rPr>
                <w:rFonts w:hint="default" w:ascii="Times New Roman" w:hAnsi="Times New Roman" w:eastAsia="黑体" w:cs="Times New Roman"/>
                <w:b/>
                <w:bCs/>
              </w:rPr>
            </w:pPr>
            <w:r>
              <w:rPr>
                <w:rFonts w:hint="default" w:ascii="Times New Roman" w:hAnsi="Times New Roman" w:eastAsia="黑体" w:cs="Times New Roman"/>
                <w:b/>
                <w:bCs/>
              </w:rPr>
              <w:t>2.2.5主要生产设备</w:t>
            </w:r>
          </w:p>
          <w:p>
            <w:pPr>
              <w:spacing w:line="440" w:lineRule="exact"/>
              <w:ind w:firstLine="480" w:firstLineChars="200"/>
              <w:rPr>
                <w:rFonts w:hint="default" w:ascii="Times New Roman" w:hAnsi="Times New Roman" w:cs="Times New Roman"/>
              </w:rPr>
            </w:pPr>
            <w:r>
              <w:rPr>
                <w:rFonts w:hint="default" w:ascii="Times New Roman" w:hAnsi="Times New Roman" w:cs="Times New Roman"/>
              </w:rPr>
              <w:t>本项目主要生产设备情况如下。</w:t>
            </w:r>
          </w:p>
          <w:p>
            <w:pPr>
              <w:pStyle w:val="2"/>
              <w:rPr>
                <w:rFonts w:hint="default" w:ascii="Times New Roman" w:hAnsi="Times New Roman" w:cs="Times New Roman"/>
              </w:rPr>
            </w:pPr>
          </w:p>
          <w:p>
            <w:pPr>
              <w:pStyle w:val="3"/>
              <w:ind w:right="-120" w:firstLine="240"/>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pStyle w:val="34"/>
              <w:spacing w:before="120"/>
              <w:ind w:firstLine="422"/>
              <w:rPr>
                <w:rFonts w:hint="default" w:ascii="Times New Roman" w:hAnsi="Times New Roman" w:cs="Times New Roman"/>
                <w:b/>
                <w:bCs/>
                <w:sz w:val="21"/>
                <w:szCs w:val="21"/>
              </w:rPr>
            </w:pPr>
            <w:r>
              <w:rPr>
                <w:rFonts w:hint="default" w:ascii="Times New Roman" w:hAnsi="Times New Roman" w:cs="Times New Roman"/>
                <w:b/>
                <w:bCs/>
                <w:sz w:val="21"/>
                <w:szCs w:val="21"/>
              </w:rPr>
              <w:t>表2.2-3项目主要生产设备一览表</w:t>
            </w:r>
          </w:p>
          <w:tbl>
            <w:tblPr>
              <w:tblStyle w:val="25"/>
              <w:tblW w:w="7996"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179"/>
              <w:gridCol w:w="781"/>
              <w:gridCol w:w="1941"/>
              <w:gridCol w:w="2737"/>
              <w:gridCol w:w="1358"/>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179" w:type="dxa"/>
                  <w:vAlign w:val="center"/>
                </w:tcPr>
                <w:p>
                  <w:pPr>
                    <w:pStyle w:val="34"/>
                    <w:spacing w:before="0" w:beforeLines="0"/>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项目</w:t>
                  </w:r>
                </w:p>
              </w:tc>
              <w:tc>
                <w:tcPr>
                  <w:tcW w:w="781" w:type="dxa"/>
                  <w:vAlign w:val="center"/>
                </w:tcPr>
                <w:p>
                  <w:pPr>
                    <w:pStyle w:val="34"/>
                    <w:spacing w:before="0" w:beforeLines="0"/>
                    <w:rPr>
                      <w:rFonts w:hint="default" w:ascii="Times New Roman" w:hAnsi="Times New Roman" w:cs="Times New Roman"/>
                      <w:b/>
                      <w:bCs/>
                      <w:sz w:val="21"/>
                      <w:szCs w:val="21"/>
                    </w:rPr>
                  </w:pPr>
                  <w:r>
                    <w:rPr>
                      <w:rFonts w:hint="default" w:ascii="Times New Roman" w:hAnsi="Times New Roman" w:eastAsia="宋体" w:cs="Times New Roman"/>
                      <w:b/>
                      <w:bCs/>
                      <w:sz w:val="21"/>
                      <w:szCs w:val="21"/>
                    </w:rPr>
                    <w:t>序号</w:t>
                  </w:r>
                </w:p>
              </w:tc>
              <w:tc>
                <w:tcPr>
                  <w:tcW w:w="1941" w:type="dxa"/>
                  <w:vAlign w:val="center"/>
                </w:tcPr>
                <w:p>
                  <w:pPr>
                    <w:jc w:val="center"/>
                    <w:rPr>
                      <w:rFonts w:hint="default" w:ascii="Times New Roman" w:hAnsi="Times New Roman" w:cs="Times New Roman"/>
                      <w:b/>
                      <w:bCs/>
                      <w:sz w:val="21"/>
                      <w:szCs w:val="21"/>
                    </w:rPr>
                  </w:pPr>
                  <w:r>
                    <w:rPr>
                      <w:rFonts w:hint="default" w:ascii="Times New Roman" w:hAnsi="Times New Roman" w:cs="Times New Roman"/>
                      <w:b/>
                      <w:bCs/>
                      <w:sz w:val="21"/>
                      <w:szCs w:val="21"/>
                    </w:rPr>
                    <w:t>设备名称</w:t>
                  </w:r>
                </w:p>
              </w:tc>
              <w:tc>
                <w:tcPr>
                  <w:tcW w:w="2737" w:type="dxa"/>
                  <w:vAlign w:val="center"/>
                </w:tcPr>
                <w:p>
                  <w:pPr>
                    <w:jc w:val="center"/>
                    <w:rPr>
                      <w:rFonts w:hint="default" w:ascii="Times New Roman" w:hAnsi="Times New Roman" w:cs="Times New Roman"/>
                      <w:b/>
                      <w:bCs/>
                      <w:sz w:val="21"/>
                      <w:szCs w:val="21"/>
                    </w:rPr>
                  </w:pPr>
                  <w:r>
                    <w:rPr>
                      <w:rFonts w:hint="default" w:ascii="Times New Roman" w:hAnsi="Times New Roman" w:cs="Times New Roman"/>
                      <w:b/>
                      <w:bCs/>
                      <w:sz w:val="21"/>
                      <w:szCs w:val="21"/>
                    </w:rPr>
                    <w:t>设备参数</w:t>
                  </w:r>
                </w:p>
              </w:tc>
              <w:tc>
                <w:tcPr>
                  <w:tcW w:w="1358" w:type="dxa"/>
                  <w:vAlign w:val="center"/>
                </w:tcPr>
                <w:p>
                  <w:pPr>
                    <w:pStyle w:val="34"/>
                    <w:spacing w:before="0" w:beforeLines="0"/>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数量（台）</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179" w:type="dxa"/>
                  <w:vMerge w:val="restart"/>
                  <w:vAlign w:val="center"/>
                </w:tcPr>
                <w:p>
                  <w:pPr>
                    <w:pStyle w:val="34"/>
                    <w:spacing w:before="0" w:beforeLines="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年回收利用10万</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rPr>
                    <w:t>固体废物项目</w:t>
                  </w:r>
                </w:p>
              </w:tc>
              <w:tc>
                <w:tcPr>
                  <w:tcW w:w="781" w:type="dxa"/>
                  <w:vAlign w:val="center"/>
                </w:tcPr>
                <w:p>
                  <w:pPr>
                    <w:pStyle w:val="34"/>
                    <w:spacing w:before="0" w:beforeLines="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w:t>
                  </w:r>
                </w:p>
              </w:tc>
              <w:tc>
                <w:tcPr>
                  <w:tcW w:w="1941" w:type="dxa"/>
                  <w:vAlign w:val="center"/>
                </w:tcPr>
                <w:p>
                  <w:pPr>
                    <w:widowControl/>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喂料机</w:t>
                  </w:r>
                </w:p>
              </w:tc>
              <w:tc>
                <w:tcPr>
                  <w:tcW w:w="2737" w:type="dxa"/>
                  <w:vAlign w:val="center"/>
                </w:tcPr>
                <w:p>
                  <w:pPr>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尺寸：3m×3m</w:t>
                  </w:r>
                </w:p>
              </w:tc>
              <w:tc>
                <w:tcPr>
                  <w:tcW w:w="1358" w:type="dxa"/>
                  <w:vAlign w:val="center"/>
                </w:tcPr>
                <w:p>
                  <w:pPr>
                    <w:widowControl/>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179" w:type="dxa"/>
                  <w:vMerge w:val="continue"/>
                  <w:vAlign w:val="center"/>
                </w:tcPr>
                <w:p>
                  <w:pPr>
                    <w:pStyle w:val="34"/>
                    <w:spacing w:before="0" w:beforeLines="0"/>
                    <w:rPr>
                      <w:rFonts w:hint="default" w:ascii="Times New Roman" w:hAnsi="Times New Roman" w:eastAsia="宋体" w:cs="Times New Roman"/>
                      <w:sz w:val="21"/>
                      <w:szCs w:val="21"/>
                    </w:rPr>
                  </w:pPr>
                </w:p>
              </w:tc>
              <w:tc>
                <w:tcPr>
                  <w:tcW w:w="781" w:type="dxa"/>
                  <w:vAlign w:val="center"/>
                </w:tcPr>
                <w:p>
                  <w:pPr>
                    <w:pStyle w:val="34"/>
                    <w:spacing w:before="0" w:beforeLines="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w:t>
                  </w:r>
                </w:p>
              </w:tc>
              <w:tc>
                <w:tcPr>
                  <w:tcW w:w="1941" w:type="dxa"/>
                  <w:vAlign w:val="center"/>
                </w:tcPr>
                <w:p>
                  <w:pPr>
                    <w:widowControl/>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破碎机</w:t>
                  </w:r>
                </w:p>
              </w:tc>
              <w:tc>
                <w:tcPr>
                  <w:tcW w:w="2737" w:type="dxa"/>
                  <w:vAlign w:val="center"/>
                </w:tcPr>
                <w:p>
                  <w:pPr>
                    <w:jc w:val="center"/>
                    <w:rPr>
                      <w:rFonts w:hint="default" w:ascii="Times New Roman" w:hAnsi="Times New Roman" w:cs="Times New Roman"/>
                      <w:kern w:val="0"/>
                      <w:sz w:val="21"/>
                      <w:szCs w:val="21"/>
                    </w:rPr>
                  </w:pPr>
                  <w:r>
                    <w:rPr>
                      <w:rFonts w:hint="default" w:ascii="Times New Roman" w:hAnsi="Times New Roman" w:cs="Times New Roman"/>
                      <w:sz w:val="21"/>
                      <w:szCs w:val="21"/>
                    </w:rPr>
                    <w:t>台时产量</w:t>
                  </w:r>
                  <w:r>
                    <w:rPr>
                      <w:rFonts w:hint="default" w:ascii="Times New Roman" w:hAnsi="Times New Roman" w:cs="Times New Roman"/>
                      <w:kern w:val="0"/>
                      <w:sz w:val="21"/>
                      <w:szCs w:val="21"/>
                    </w:rPr>
                    <w:t>：30-35t/h</w:t>
                  </w:r>
                </w:p>
              </w:tc>
              <w:tc>
                <w:tcPr>
                  <w:tcW w:w="1358" w:type="dxa"/>
                  <w:vAlign w:val="center"/>
                </w:tcPr>
                <w:p>
                  <w:pPr>
                    <w:widowControl/>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179" w:type="dxa"/>
                  <w:vMerge w:val="continue"/>
                  <w:vAlign w:val="center"/>
                </w:tcPr>
                <w:p>
                  <w:pPr>
                    <w:pStyle w:val="34"/>
                    <w:spacing w:before="0" w:beforeLines="0"/>
                    <w:rPr>
                      <w:rFonts w:hint="default" w:ascii="Times New Roman" w:hAnsi="Times New Roman" w:eastAsia="宋体" w:cs="Times New Roman"/>
                      <w:sz w:val="21"/>
                      <w:szCs w:val="21"/>
                    </w:rPr>
                  </w:pPr>
                </w:p>
              </w:tc>
              <w:tc>
                <w:tcPr>
                  <w:tcW w:w="781" w:type="dxa"/>
                  <w:vAlign w:val="center"/>
                </w:tcPr>
                <w:p>
                  <w:pPr>
                    <w:pStyle w:val="34"/>
                    <w:spacing w:before="0" w:beforeLines="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w:t>
                  </w:r>
                </w:p>
              </w:tc>
              <w:tc>
                <w:tcPr>
                  <w:tcW w:w="1941" w:type="dxa"/>
                  <w:vAlign w:val="center"/>
                </w:tcPr>
                <w:p>
                  <w:pPr>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振动筛</w:t>
                  </w:r>
                </w:p>
              </w:tc>
              <w:tc>
                <w:tcPr>
                  <w:tcW w:w="2737" w:type="dxa"/>
                  <w:vAlign w:val="center"/>
                </w:tcPr>
                <w:p>
                  <w:pPr>
                    <w:jc w:val="center"/>
                    <w:rPr>
                      <w:rFonts w:hint="default" w:ascii="Times New Roman" w:hAnsi="Times New Roman" w:cs="Times New Roman"/>
                      <w:kern w:val="0"/>
                      <w:sz w:val="21"/>
                      <w:szCs w:val="21"/>
                    </w:rPr>
                  </w:pPr>
                  <w:r>
                    <w:rPr>
                      <w:rFonts w:hint="default" w:ascii="Times New Roman" w:hAnsi="Times New Roman" w:cs="Times New Roman"/>
                      <w:sz w:val="21"/>
                      <w:szCs w:val="21"/>
                    </w:rPr>
                    <w:t>台时产量</w:t>
                  </w:r>
                  <w:r>
                    <w:rPr>
                      <w:rFonts w:hint="default" w:ascii="Times New Roman" w:hAnsi="Times New Roman" w:cs="Times New Roman"/>
                      <w:kern w:val="0"/>
                      <w:sz w:val="21"/>
                      <w:szCs w:val="21"/>
                    </w:rPr>
                    <w:t>：30-35t/h</w:t>
                  </w:r>
                </w:p>
              </w:tc>
              <w:tc>
                <w:tcPr>
                  <w:tcW w:w="1358" w:type="dxa"/>
                  <w:vAlign w:val="center"/>
                </w:tcPr>
                <w:p>
                  <w:pPr>
                    <w:widowControl/>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179" w:type="dxa"/>
                  <w:vMerge w:val="continue"/>
                  <w:vAlign w:val="center"/>
                </w:tcPr>
                <w:p>
                  <w:pPr>
                    <w:pStyle w:val="34"/>
                    <w:spacing w:before="0" w:beforeLines="0"/>
                    <w:rPr>
                      <w:rFonts w:hint="default" w:ascii="Times New Roman" w:hAnsi="Times New Roman" w:eastAsia="宋体" w:cs="Times New Roman"/>
                      <w:sz w:val="21"/>
                      <w:szCs w:val="21"/>
                    </w:rPr>
                  </w:pPr>
                </w:p>
              </w:tc>
              <w:tc>
                <w:tcPr>
                  <w:tcW w:w="781" w:type="dxa"/>
                  <w:vAlign w:val="center"/>
                </w:tcPr>
                <w:p>
                  <w:pPr>
                    <w:pStyle w:val="34"/>
                    <w:spacing w:before="0" w:beforeLines="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w:t>
                  </w:r>
                </w:p>
              </w:tc>
              <w:tc>
                <w:tcPr>
                  <w:tcW w:w="1941" w:type="dxa"/>
                  <w:vAlign w:val="center"/>
                </w:tcPr>
                <w:p>
                  <w:pPr>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干式磁选机</w:t>
                  </w:r>
                </w:p>
              </w:tc>
              <w:tc>
                <w:tcPr>
                  <w:tcW w:w="2737" w:type="dxa"/>
                  <w:vAlign w:val="center"/>
                </w:tcPr>
                <w:p>
                  <w:pPr>
                    <w:jc w:val="center"/>
                    <w:rPr>
                      <w:rFonts w:hint="default" w:ascii="Times New Roman" w:hAnsi="Times New Roman" w:cs="Times New Roman"/>
                      <w:kern w:val="0"/>
                      <w:sz w:val="21"/>
                      <w:szCs w:val="21"/>
                    </w:rPr>
                  </w:pPr>
                  <w:r>
                    <w:rPr>
                      <w:rFonts w:hint="default" w:ascii="Times New Roman" w:hAnsi="Times New Roman" w:cs="Times New Roman"/>
                      <w:sz w:val="21"/>
                      <w:szCs w:val="21"/>
                    </w:rPr>
                    <w:t>台时产量</w:t>
                  </w:r>
                  <w:r>
                    <w:rPr>
                      <w:rFonts w:hint="default" w:ascii="Times New Roman" w:hAnsi="Times New Roman" w:cs="Times New Roman"/>
                      <w:kern w:val="0"/>
                      <w:sz w:val="21"/>
                      <w:szCs w:val="21"/>
                    </w:rPr>
                    <w:t>：30-40t/h</w:t>
                  </w:r>
                </w:p>
              </w:tc>
              <w:tc>
                <w:tcPr>
                  <w:tcW w:w="1358" w:type="dxa"/>
                  <w:vAlign w:val="center"/>
                </w:tcPr>
                <w:p>
                  <w:pPr>
                    <w:widowControl/>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179" w:type="dxa"/>
                  <w:vMerge w:val="continue"/>
                  <w:vAlign w:val="center"/>
                </w:tcPr>
                <w:p>
                  <w:pPr>
                    <w:pStyle w:val="34"/>
                    <w:spacing w:before="0" w:beforeLines="0"/>
                    <w:rPr>
                      <w:rFonts w:hint="default" w:ascii="Times New Roman" w:hAnsi="Times New Roman" w:eastAsia="宋体" w:cs="Times New Roman"/>
                      <w:sz w:val="21"/>
                      <w:szCs w:val="21"/>
                    </w:rPr>
                  </w:pPr>
                </w:p>
              </w:tc>
              <w:tc>
                <w:tcPr>
                  <w:tcW w:w="781" w:type="dxa"/>
                  <w:vAlign w:val="center"/>
                </w:tcPr>
                <w:p>
                  <w:pPr>
                    <w:pStyle w:val="34"/>
                    <w:spacing w:before="0" w:beforeLines="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w:t>
                  </w:r>
                </w:p>
              </w:tc>
              <w:tc>
                <w:tcPr>
                  <w:tcW w:w="1941" w:type="dxa"/>
                  <w:vAlign w:val="center"/>
                </w:tcPr>
                <w:p>
                  <w:pPr>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圆盘给料机</w:t>
                  </w:r>
                </w:p>
              </w:tc>
              <w:tc>
                <w:tcPr>
                  <w:tcW w:w="2737" w:type="dxa"/>
                  <w:vAlign w:val="center"/>
                </w:tcPr>
                <w:p>
                  <w:pPr>
                    <w:jc w:val="center"/>
                    <w:rPr>
                      <w:rFonts w:hint="default" w:ascii="Times New Roman" w:hAnsi="Times New Roman" w:cs="Times New Roman"/>
                      <w:kern w:val="0"/>
                      <w:sz w:val="21"/>
                      <w:szCs w:val="21"/>
                    </w:rPr>
                  </w:pPr>
                  <w:r>
                    <w:rPr>
                      <w:rFonts w:hint="default" w:ascii="Times New Roman" w:hAnsi="Times New Roman" w:cs="Times New Roman"/>
                      <w:sz w:val="21"/>
                      <w:szCs w:val="21"/>
                    </w:rPr>
                    <w:t>台时产量</w:t>
                  </w:r>
                  <w:r>
                    <w:rPr>
                      <w:rFonts w:hint="default" w:ascii="Times New Roman" w:hAnsi="Times New Roman" w:cs="Times New Roman"/>
                      <w:kern w:val="0"/>
                      <w:sz w:val="21"/>
                      <w:szCs w:val="21"/>
                    </w:rPr>
                    <w:t>：30-40t/h</w:t>
                  </w:r>
                </w:p>
              </w:tc>
              <w:tc>
                <w:tcPr>
                  <w:tcW w:w="1358" w:type="dxa"/>
                  <w:vAlign w:val="center"/>
                </w:tcPr>
                <w:p>
                  <w:pPr>
                    <w:widowControl/>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179" w:type="dxa"/>
                  <w:vMerge w:val="continue"/>
                  <w:vAlign w:val="center"/>
                </w:tcPr>
                <w:p>
                  <w:pPr>
                    <w:pStyle w:val="34"/>
                    <w:spacing w:before="0" w:beforeLines="0"/>
                    <w:rPr>
                      <w:rFonts w:hint="default" w:ascii="Times New Roman" w:hAnsi="Times New Roman" w:eastAsia="宋体" w:cs="Times New Roman"/>
                      <w:sz w:val="21"/>
                      <w:szCs w:val="21"/>
                    </w:rPr>
                  </w:pPr>
                </w:p>
              </w:tc>
              <w:tc>
                <w:tcPr>
                  <w:tcW w:w="781" w:type="dxa"/>
                  <w:vAlign w:val="center"/>
                </w:tcPr>
                <w:p>
                  <w:pPr>
                    <w:pStyle w:val="34"/>
                    <w:spacing w:before="0" w:beforeLines="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w:t>
                  </w:r>
                </w:p>
              </w:tc>
              <w:tc>
                <w:tcPr>
                  <w:tcW w:w="1941" w:type="dxa"/>
                  <w:vAlign w:val="center"/>
                </w:tcPr>
                <w:p>
                  <w:pPr>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湿式球磨机</w:t>
                  </w:r>
                </w:p>
              </w:tc>
              <w:tc>
                <w:tcPr>
                  <w:tcW w:w="2737" w:type="dxa"/>
                  <w:vAlign w:val="center"/>
                </w:tcPr>
                <w:p>
                  <w:pPr>
                    <w:jc w:val="center"/>
                    <w:rPr>
                      <w:rFonts w:hint="default" w:ascii="Times New Roman" w:hAnsi="Times New Roman" w:cs="Times New Roman"/>
                      <w:kern w:val="0"/>
                      <w:sz w:val="21"/>
                      <w:szCs w:val="21"/>
                    </w:rPr>
                  </w:pPr>
                  <w:r>
                    <w:rPr>
                      <w:rFonts w:hint="default" w:ascii="Times New Roman" w:hAnsi="Times New Roman" w:cs="Times New Roman"/>
                      <w:sz w:val="21"/>
                      <w:szCs w:val="21"/>
                    </w:rPr>
                    <w:t>台时产量</w:t>
                  </w:r>
                  <w:r>
                    <w:rPr>
                      <w:rFonts w:hint="default" w:ascii="Times New Roman" w:hAnsi="Times New Roman" w:cs="Times New Roman"/>
                      <w:kern w:val="0"/>
                      <w:sz w:val="21"/>
                      <w:szCs w:val="21"/>
                    </w:rPr>
                    <w:t>：30-40t/h</w:t>
                  </w:r>
                </w:p>
              </w:tc>
              <w:tc>
                <w:tcPr>
                  <w:tcW w:w="1358" w:type="dxa"/>
                  <w:vAlign w:val="center"/>
                </w:tcPr>
                <w:p>
                  <w:pPr>
                    <w:widowControl/>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179" w:type="dxa"/>
                  <w:vMerge w:val="continue"/>
                  <w:vAlign w:val="center"/>
                </w:tcPr>
                <w:p>
                  <w:pPr>
                    <w:pStyle w:val="34"/>
                    <w:spacing w:before="0" w:beforeLines="0"/>
                    <w:rPr>
                      <w:rFonts w:hint="default" w:ascii="Times New Roman" w:hAnsi="Times New Roman" w:eastAsia="宋体" w:cs="Times New Roman"/>
                      <w:sz w:val="21"/>
                      <w:szCs w:val="21"/>
                    </w:rPr>
                  </w:pPr>
                </w:p>
              </w:tc>
              <w:tc>
                <w:tcPr>
                  <w:tcW w:w="781" w:type="dxa"/>
                  <w:vAlign w:val="center"/>
                </w:tcPr>
                <w:p>
                  <w:pPr>
                    <w:pStyle w:val="34"/>
                    <w:spacing w:before="0" w:beforeLines="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7</w:t>
                  </w:r>
                </w:p>
              </w:tc>
              <w:tc>
                <w:tcPr>
                  <w:tcW w:w="1941" w:type="dxa"/>
                  <w:vAlign w:val="center"/>
                </w:tcPr>
                <w:p>
                  <w:pPr>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分级机</w:t>
                  </w:r>
                </w:p>
              </w:tc>
              <w:tc>
                <w:tcPr>
                  <w:tcW w:w="2737" w:type="dxa"/>
                  <w:vAlign w:val="center"/>
                </w:tcPr>
                <w:p>
                  <w:pPr>
                    <w:jc w:val="center"/>
                    <w:rPr>
                      <w:rFonts w:hint="default" w:ascii="Times New Roman" w:hAnsi="Times New Roman" w:cs="Times New Roman"/>
                      <w:kern w:val="0"/>
                      <w:sz w:val="21"/>
                      <w:szCs w:val="21"/>
                    </w:rPr>
                  </w:pPr>
                  <w:r>
                    <w:rPr>
                      <w:rFonts w:hint="default" w:ascii="Times New Roman" w:hAnsi="Times New Roman" w:cs="Times New Roman"/>
                      <w:sz w:val="21"/>
                      <w:szCs w:val="21"/>
                    </w:rPr>
                    <w:t>台时产量</w:t>
                  </w:r>
                  <w:r>
                    <w:rPr>
                      <w:rFonts w:hint="default" w:ascii="Times New Roman" w:hAnsi="Times New Roman" w:cs="Times New Roman"/>
                      <w:kern w:val="0"/>
                      <w:sz w:val="21"/>
                      <w:szCs w:val="21"/>
                    </w:rPr>
                    <w:t>：30-35t/h</w:t>
                  </w:r>
                </w:p>
                <w:p>
                  <w:pPr>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t/h</w:t>
                  </w:r>
                </w:p>
              </w:tc>
              <w:tc>
                <w:tcPr>
                  <w:tcW w:w="1358" w:type="dxa"/>
                  <w:vAlign w:val="center"/>
                </w:tcPr>
                <w:p>
                  <w:pPr>
                    <w:widowControl/>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179" w:type="dxa"/>
                  <w:vMerge w:val="continue"/>
                  <w:vAlign w:val="center"/>
                </w:tcPr>
                <w:p>
                  <w:pPr>
                    <w:pStyle w:val="34"/>
                    <w:spacing w:before="0" w:beforeLines="0"/>
                    <w:rPr>
                      <w:rFonts w:hint="default" w:ascii="Times New Roman" w:hAnsi="Times New Roman" w:eastAsia="宋体" w:cs="Times New Roman"/>
                      <w:sz w:val="21"/>
                      <w:szCs w:val="21"/>
                    </w:rPr>
                  </w:pPr>
                </w:p>
              </w:tc>
              <w:tc>
                <w:tcPr>
                  <w:tcW w:w="781" w:type="dxa"/>
                  <w:vAlign w:val="center"/>
                </w:tcPr>
                <w:p>
                  <w:pPr>
                    <w:pStyle w:val="34"/>
                    <w:spacing w:before="0" w:beforeLines="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8</w:t>
                  </w:r>
                </w:p>
              </w:tc>
              <w:tc>
                <w:tcPr>
                  <w:tcW w:w="1941" w:type="dxa"/>
                  <w:vAlign w:val="center"/>
                </w:tcPr>
                <w:p>
                  <w:pPr>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湿式磁选机</w:t>
                  </w:r>
                </w:p>
              </w:tc>
              <w:tc>
                <w:tcPr>
                  <w:tcW w:w="2737" w:type="dxa"/>
                  <w:vAlign w:val="center"/>
                </w:tcPr>
                <w:p>
                  <w:pPr>
                    <w:jc w:val="center"/>
                    <w:rPr>
                      <w:rFonts w:hint="default" w:ascii="Times New Roman" w:hAnsi="Times New Roman" w:cs="Times New Roman"/>
                      <w:kern w:val="0"/>
                      <w:sz w:val="21"/>
                      <w:szCs w:val="21"/>
                    </w:rPr>
                  </w:pPr>
                  <w:r>
                    <w:rPr>
                      <w:rFonts w:hint="default" w:ascii="Times New Roman" w:hAnsi="Times New Roman" w:cs="Times New Roman"/>
                      <w:sz w:val="21"/>
                      <w:szCs w:val="21"/>
                    </w:rPr>
                    <w:t>台时产量</w:t>
                  </w:r>
                  <w:r>
                    <w:rPr>
                      <w:rFonts w:hint="default" w:ascii="Times New Roman" w:hAnsi="Times New Roman" w:cs="Times New Roman"/>
                      <w:kern w:val="0"/>
                      <w:sz w:val="21"/>
                      <w:szCs w:val="21"/>
                    </w:rPr>
                    <w:t>：30-40t/h</w:t>
                  </w:r>
                </w:p>
              </w:tc>
              <w:tc>
                <w:tcPr>
                  <w:tcW w:w="1358" w:type="dxa"/>
                  <w:vAlign w:val="center"/>
                </w:tcPr>
                <w:p>
                  <w:pPr>
                    <w:widowControl/>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1</w:t>
                  </w:r>
                </w:p>
              </w:tc>
            </w:tr>
          </w:tbl>
          <w:p>
            <w:pPr>
              <w:spacing w:line="440" w:lineRule="exact"/>
              <w:ind w:firstLine="480" w:firstLineChars="200"/>
              <w:rPr>
                <w:rFonts w:hint="default" w:ascii="Times New Roman" w:hAnsi="Times New Roman" w:cs="Times New Roman"/>
              </w:rPr>
            </w:pPr>
            <w:r>
              <w:rPr>
                <w:rFonts w:hint="default" w:ascii="Times New Roman" w:hAnsi="Times New Roman" w:cs="Times New Roman"/>
              </w:rPr>
              <w:t>设备设施与产能的适配性分析：项目产能由破碎机、振动筛、干式磁选机、湿式球磨机、分级机、湿式磁选机等设备决定，根据上表，破碎机、振动筛、分级机设备的台时产量最小，为30~35t/h，对应的产能为9万~10.5万t/年，与备案规模（10万t/年）基本匹配。</w:t>
            </w:r>
          </w:p>
          <w:p>
            <w:pPr>
              <w:spacing w:line="460" w:lineRule="exact"/>
              <w:rPr>
                <w:rFonts w:hint="default" w:ascii="Times New Roman" w:hAnsi="Times New Roman" w:eastAsia="黑体" w:cs="Times New Roman"/>
                <w:b/>
                <w:bCs/>
              </w:rPr>
            </w:pPr>
            <w:r>
              <w:rPr>
                <w:rFonts w:hint="default" w:ascii="Times New Roman" w:hAnsi="Times New Roman" w:eastAsia="黑体" w:cs="Times New Roman"/>
                <w:b/>
                <w:bCs/>
              </w:rPr>
              <w:t>2.2.6主要原辅材料</w:t>
            </w:r>
          </w:p>
          <w:p>
            <w:pPr>
              <w:adjustRightInd w:val="0"/>
              <w:snapToGrid w:val="0"/>
              <w:spacing w:line="440" w:lineRule="exact"/>
              <w:rPr>
                <w:rFonts w:hint="default" w:ascii="Times New Roman" w:hAnsi="Times New Roman" w:eastAsia="黑体" w:cs="Times New Roman"/>
                <w:b/>
                <w:bCs/>
              </w:rPr>
            </w:pPr>
            <w:r>
              <w:rPr>
                <w:rFonts w:hint="default" w:ascii="Times New Roman" w:hAnsi="Times New Roman" w:eastAsia="黑体" w:cs="Times New Roman"/>
                <w:b/>
                <w:bCs/>
              </w:rPr>
              <w:t>2.2.6.1主要原辅材料及用量</w:t>
            </w:r>
          </w:p>
          <w:p>
            <w:pPr>
              <w:spacing w:line="440" w:lineRule="exact"/>
              <w:ind w:firstLine="480" w:firstLineChars="200"/>
              <w:rPr>
                <w:rFonts w:hint="default" w:ascii="Times New Roman" w:hAnsi="Times New Roman" w:cs="Times New Roman"/>
              </w:rPr>
            </w:pPr>
            <w:r>
              <w:rPr>
                <w:rFonts w:hint="default" w:ascii="Times New Roman" w:hAnsi="Times New Roman" w:cs="Times New Roman"/>
              </w:rPr>
              <w:t>本项目原料的主要来源为大田县及周边县市生产企业产生的一般固体废物（铸铁渣、铸造砂、转炉渣及钢渣），运输过程中车辆采取覆盖措施防止扬尘。原料方案见下表。</w:t>
            </w:r>
          </w:p>
          <w:p>
            <w:pPr>
              <w:pStyle w:val="34"/>
              <w:spacing w:before="120"/>
              <w:ind w:firstLine="422"/>
              <w:rPr>
                <w:rFonts w:hint="default" w:ascii="Times New Roman" w:hAnsi="Times New Roman" w:cs="Times New Roman"/>
              </w:rPr>
            </w:pPr>
            <w:r>
              <w:rPr>
                <w:rFonts w:hint="default" w:ascii="Times New Roman" w:hAnsi="Times New Roman" w:cs="Times New Roman"/>
                <w:b/>
                <w:bCs/>
                <w:sz w:val="21"/>
                <w:szCs w:val="21"/>
              </w:rPr>
              <w:t>表2.2-4原料方案一览表</w:t>
            </w:r>
          </w:p>
          <w:tbl>
            <w:tblPr>
              <w:tblStyle w:val="25"/>
              <w:tblW w:w="7996"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555"/>
              <w:gridCol w:w="2136"/>
              <w:gridCol w:w="3305"/>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555" w:type="dxa"/>
                  <w:vAlign w:val="center"/>
                </w:tcPr>
                <w:p>
                  <w:pPr>
                    <w:pStyle w:val="34"/>
                    <w:spacing w:before="0" w:beforeLines="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原材料名称</w:t>
                  </w:r>
                </w:p>
              </w:tc>
              <w:tc>
                <w:tcPr>
                  <w:tcW w:w="2136" w:type="dxa"/>
                  <w:vAlign w:val="center"/>
                </w:tcPr>
                <w:p>
                  <w:pPr>
                    <w:pStyle w:val="34"/>
                    <w:spacing w:before="0" w:beforeLines="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原材料用量</w:t>
                  </w:r>
                </w:p>
              </w:tc>
              <w:tc>
                <w:tcPr>
                  <w:tcW w:w="3305" w:type="dxa"/>
                  <w:vAlign w:val="center"/>
                </w:tcPr>
                <w:p>
                  <w:pPr>
                    <w:pStyle w:val="34"/>
                    <w:spacing w:before="0" w:beforeLines="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原料来源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55" w:type="dxa"/>
                  <w:vMerge w:val="restart"/>
                  <w:vAlign w:val="center"/>
                </w:tcPr>
                <w:p>
                  <w:pPr>
                    <w:pStyle w:val="34"/>
                    <w:spacing w:before="0" w:beforeLines="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固体废物</w:t>
                  </w:r>
                </w:p>
                <w:p>
                  <w:pPr>
                    <w:pStyle w:val="34"/>
                    <w:spacing w:before="0" w:beforeLines="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（铸铁渣、铸造砂、转炉渣及钢渣）</w:t>
                  </w:r>
                </w:p>
              </w:tc>
              <w:tc>
                <w:tcPr>
                  <w:tcW w:w="2136" w:type="dxa"/>
                  <w:vMerge w:val="restart"/>
                  <w:vAlign w:val="center"/>
                </w:tcPr>
                <w:p>
                  <w:pPr>
                    <w:pStyle w:val="34"/>
                    <w:spacing w:before="0" w:beforeLines="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10万吨/年</w:t>
                  </w:r>
                </w:p>
              </w:tc>
              <w:tc>
                <w:tcPr>
                  <w:tcW w:w="3305" w:type="dxa"/>
                  <w:vAlign w:val="center"/>
                </w:tcPr>
                <w:p>
                  <w:pPr>
                    <w:pStyle w:val="34"/>
                    <w:spacing w:before="0" w:beforeLines="0"/>
                    <w:jc w:val="both"/>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铸铁渣、铸造砂：大田县周边县市的铸造企业产生的固体废物</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2555" w:type="dxa"/>
                  <w:vMerge w:val="continue"/>
                  <w:vAlign w:val="center"/>
                </w:tcPr>
                <w:p>
                  <w:pPr>
                    <w:pStyle w:val="34"/>
                    <w:spacing w:before="0" w:beforeLines="0"/>
                    <w:rPr>
                      <w:rFonts w:hint="default" w:ascii="Times New Roman" w:hAnsi="Times New Roman" w:eastAsia="宋体" w:cs="Times New Roman"/>
                      <w:sz w:val="21"/>
                      <w:szCs w:val="21"/>
                    </w:rPr>
                  </w:pPr>
                </w:p>
              </w:tc>
              <w:tc>
                <w:tcPr>
                  <w:tcW w:w="2136" w:type="dxa"/>
                  <w:vMerge w:val="continue"/>
                  <w:vAlign w:val="center"/>
                </w:tcPr>
                <w:p>
                  <w:pPr>
                    <w:pStyle w:val="34"/>
                    <w:spacing w:before="0" w:beforeLines="0"/>
                    <w:rPr>
                      <w:rFonts w:hint="default" w:ascii="Times New Roman" w:hAnsi="Times New Roman" w:eastAsia="宋体" w:cs="Times New Roman"/>
                      <w:sz w:val="21"/>
                      <w:szCs w:val="21"/>
                    </w:rPr>
                  </w:pPr>
                </w:p>
              </w:tc>
              <w:tc>
                <w:tcPr>
                  <w:tcW w:w="3305" w:type="dxa"/>
                  <w:vAlign w:val="center"/>
                </w:tcPr>
                <w:p>
                  <w:pPr>
                    <w:pStyle w:val="34"/>
                    <w:spacing w:before="0" w:beforeLines="0"/>
                    <w:jc w:val="both"/>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转炉渣、钢渣：福建三钢闽光股份有限公司等企业在生产过程中产生的固体废物</w:t>
                  </w:r>
                </w:p>
              </w:tc>
            </w:tr>
          </w:tbl>
          <w:p>
            <w:pPr>
              <w:adjustRightInd w:val="0"/>
              <w:snapToGrid w:val="0"/>
              <w:spacing w:line="440" w:lineRule="exact"/>
              <w:rPr>
                <w:rFonts w:hint="default" w:ascii="Times New Roman" w:hAnsi="Times New Roman" w:eastAsia="黑体" w:cs="Times New Roman"/>
                <w:b/>
                <w:bCs/>
              </w:rPr>
            </w:pPr>
            <w:r>
              <w:rPr>
                <w:rFonts w:hint="default" w:ascii="Times New Roman" w:hAnsi="Times New Roman" w:eastAsia="黑体" w:cs="Times New Roman"/>
                <w:b/>
                <w:bCs/>
              </w:rPr>
              <w:t>2.2.6.2主要原辅材料性质</w:t>
            </w:r>
          </w:p>
          <w:p>
            <w:pPr>
              <w:spacing w:line="440" w:lineRule="exact"/>
              <w:ind w:firstLine="480" w:firstLineChars="200"/>
              <w:rPr>
                <w:rFonts w:hint="default" w:ascii="Times New Roman" w:hAnsi="Times New Roman" w:cs="Times New Roman"/>
              </w:rPr>
            </w:pPr>
            <w:r>
              <w:rPr>
                <w:rFonts w:hint="default" w:ascii="Times New Roman" w:hAnsi="Times New Roman" w:cs="Times New Roman"/>
              </w:rPr>
              <w:t>（1）铸铁渣、铸造砂</w:t>
            </w:r>
          </w:p>
          <w:p>
            <w:pPr>
              <w:spacing w:line="440" w:lineRule="exact"/>
              <w:ind w:firstLine="480" w:firstLineChars="200"/>
              <w:rPr>
                <w:rFonts w:hint="default" w:ascii="Times New Roman" w:hAnsi="Times New Roman" w:cs="Times New Roman"/>
              </w:rPr>
            </w:pPr>
            <w:r>
              <w:rPr>
                <w:rFonts w:hint="default" w:ascii="Times New Roman" w:hAnsi="Times New Roman" w:cs="Times New Roman"/>
              </w:rPr>
              <w:t>本项目铸铁渣、铸造砂主要来源于大田县周边县市铸造企业，主要成分为铁、钙、镁等金属氧化物，属于《一般固体废物分类与代码》（GB/T39198-2020）中的“金属氧化物废物”类别，为一般固体废物。</w:t>
            </w:r>
          </w:p>
          <w:p>
            <w:pPr>
              <w:spacing w:line="440" w:lineRule="exact"/>
              <w:ind w:firstLine="480" w:firstLineChars="200"/>
              <w:rPr>
                <w:rFonts w:hint="default" w:ascii="Times New Roman" w:hAnsi="Times New Roman" w:cs="Times New Roman"/>
              </w:rPr>
            </w:pPr>
            <w:r>
              <w:rPr>
                <w:rFonts w:hint="default" w:ascii="Times New Roman" w:hAnsi="Times New Roman" w:cs="Times New Roman"/>
              </w:rPr>
              <w:t>参照岩盛公司《年产15000吨铸件生产线技改项目环境影响报告表》（田环批字[2018]38号），其铸造过程中产生</w:t>
            </w:r>
            <w:r>
              <w:rPr>
                <w:rFonts w:hint="default" w:ascii="Times New Roman" w:hAnsi="Times New Roman" w:cs="Times New Roman"/>
                <w:color w:val="auto"/>
                <w:highlight w:val="none"/>
              </w:rPr>
              <w:t>的</w:t>
            </w:r>
            <w:r>
              <w:rPr>
                <w:rFonts w:hint="default" w:ascii="Times New Roman" w:hAnsi="Times New Roman" w:cs="Times New Roman"/>
                <w:color w:val="auto"/>
                <w:highlight w:val="none"/>
                <w:lang w:val="en-US" w:eastAsia="zh-CN"/>
              </w:rPr>
              <w:t>铸造砂</w:t>
            </w:r>
            <w:r>
              <w:rPr>
                <w:rFonts w:hint="default" w:ascii="Times New Roman" w:hAnsi="Times New Roman" w:cs="Times New Roman"/>
                <w:color w:val="auto"/>
                <w:highlight w:val="none"/>
              </w:rPr>
              <w:t>为一般</w:t>
            </w:r>
            <w:r>
              <w:rPr>
                <w:rFonts w:hint="default" w:ascii="Times New Roman" w:hAnsi="Times New Roman" w:cs="Times New Roman"/>
              </w:rPr>
              <w:t>固体废物，主要成分为铁、钙、镁等金属氧化物。</w:t>
            </w:r>
          </w:p>
          <w:p>
            <w:pPr>
              <w:spacing w:line="440" w:lineRule="exact"/>
              <w:ind w:firstLine="480" w:firstLineChars="200"/>
              <w:rPr>
                <w:rFonts w:hint="default" w:ascii="Times New Roman" w:hAnsi="Times New Roman" w:cs="Times New Roman"/>
              </w:rPr>
            </w:pPr>
            <w:r>
              <w:rPr>
                <w:rFonts w:hint="default" w:ascii="Times New Roman" w:hAnsi="Times New Roman" w:cs="Times New Roman"/>
              </w:rPr>
              <w:t>（2）转炉渣、钢渣</w:t>
            </w:r>
          </w:p>
          <w:p>
            <w:pPr>
              <w:spacing w:line="440" w:lineRule="exact"/>
              <w:ind w:firstLine="480" w:firstLineChars="200"/>
              <w:rPr>
                <w:rFonts w:hint="default" w:ascii="Times New Roman" w:hAnsi="Times New Roman" w:cs="Times New Roman"/>
              </w:rPr>
            </w:pPr>
            <w:r>
              <w:rPr>
                <w:rFonts w:hint="default" w:ascii="Times New Roman" w:hAnsi="Times New Roman" w:cs="Times New Roman"/>
              </w:rPr>
              <w:t>本项目转炉渣、钢渣主要来源于福建三钢闽光股份有限公司等企业在生产过程中产生的固体废物，属于《一般固体废物分类与代码》（GB/T39198-2020）中的“钢渣”类别，为一般固体废物。</w:t>
            </w:r>
          </w:p>
          <w:p>
            <w:pPr>
              <w:spacing w:line="440" w:lineRule="exact"/>
              <w:ind w:firstLine="480" w:firstLineChars="200"/>
              <w:rPr>
                <w:rFonts w:hint="default" w:ascii="Times New Roman" w:hAnsi="Times New Roman" w:cs="Times New Roman"/>
              </w:rPr>
            </w:pPr>
            <w:r>
              <w:rPr>
                <w:rFonts w:hint="default" w:ascii="Times New Roman" w:hAnsi="Times New Roman" w:cs="Times New Roman"/>
              </w:rPr>
              <w:t>根据《三钢闽光产能置换（泉州闽光部分）炼钢项目环境影响报告书》（泉环评</w:t>
            </w:r>
            <w:r>
              <w:rPr>
                <w:rFonts w:hint="default" w:ascii="Times New Roman" w:hAnsi="Times New Roman" w:cs="Times New Roman"/>
                <w:lang w:val="en-US" w:eastAsia="zh-CN"/>
              </w:rPr>
              <w:t>[</w:t>
            </w:r>
            <w:r>
              <w:rPr>
                <w:rFonts w:hint="default" w:ascii="Times New Roman" w:hAnsi="Times New Roman" w:cs="Times New Roman"/>
              </w:rPr>
              <w:t>2022</w:t>
            </w:r>
            <w:r>
              <w:rPr>
                <w:rFonts w:hint="default" w:ascii="Times New Roman" w:hAnsi="Times New Roman" w:cs="Times New Roman"/>
                <w:lang w:val="en-US" w:eastAsia="zh-CN"/>
              </w:rPr>
              <w:t>]</w:t>
            </w:r>
            <w:r>
              <w:rPr>
                <w:rFonts w:hint="default" w:ascii="Times New Roman" w:hAnsi="Times New Roman" w:cs="Times New Roman"/>
              </w:rPr>
              <w:t>书22号），闽光公司</w:t>
            </w:r>
            <w:r>
              <w:rPr>
                <w:rFonts w:hint="default" w:ascii="Times New Roman" w:hAnsi="Times New Roman" w:cs="Times New Roman"/>
                <w:highlight w:val="none"/>
              </w:rPr>
              <w:t>生产过程中产生的钢渣、转炉渣</w:t>
            </w:r>
            <w:r>
              <w:rPr>
                <w:rFonts w:hint="default" w:ascii="Times New Roman" w:hAnsi="Times New Roman" w:cs="Times New Roman"/>
              </w:rPr>
              <w:t>属于一般固体废物</w:t>
            </w:r>
            <w:r>
              <w:rPr>
                <w:rFonts w:hint="default" w:ascii="Times New Roman" w:hAnsi="Times New Roman" w:cs="Times New Roman"/>
                <w:snapToGrid w:val="0"/>
              </w:rPr>
              <w:t>；钢渣的主要成分为CaO、SiO</w:t>
            </w:r>
            <w:r>
              <w:rPr>
                <w:rFonts w:hint="default" w:ascii="Times New Roman" w:hAnsi="Times New Roman" w:cs="Times New Roman"/>
                <w:snapToGrid w:val="0"/>
                <w:vertAlign w:val="subscript"/>
              </w:rPr>
              <w:t>2</w:t>
            </w:r>
            <w:r>
              <w:rPr>
                <w:rFonts w:hint="default" w:ascii="Times New Roman" w:hAnsi="Times New Roman" w:cs="Times New Roman"/>
                <w:snapToGrid w:val="0"/>
              </w:rPr>
              <w:t>、FeO和TFe，转炉渣主要成分为CaO、SiO</w:t>
            </w:r>
            <w:r>
              <w:rPr>
                <w:rFonts w:hint="default" w:ascii="Times New Roman" w:hAnsi="Times New Roman" w:cs="Times New Roman"/>
                <w:snapToGrid w:val="0"/>
                <w:vertAlign w:val="subscript"/>
              </w:rPr>
              <w:t>2</w:t>
            </w:r>
            <w:r>
              <w:rPr>
                <w:rFonts w:hint="default" w:ascii="Times New Roman" w:hAnsi="Times New Roman" w:cs="Times New Roman"/>
                <w:snapToGrid w:val="0"/>
              </w:rPr>
              <w:t>和Al</w:t>
            </w:r>
            <w:r>
              <w:rPr>
                <w:rFonts w:hint="default" w:ascii="Times New Roman" w:hAnsi="Times New Roman" w:cs="Times New Roman"/>
                <w:snapToGrid w:val="0"/>
                <w:vertAlign w:val="subscript"/>
              </w:rPr>
              <w:t>2</w:t>
            </w:r>
            <w:r>
              <w:rPr>
                <w:rFonts w:hint="default" w:ascii="Times New Roman" w:hAnsi="Times New Roman" w:cs="Times New Roman"/>
                <w:snapToGrid w:val="0"/>
              </w:rPr>
              <w:t>O</w:t>
            </w:r>
            <w:r>
              <w:rPr>
                <w:rFonts w:hint="default" w:ascii="Times New Roman" w:hAnsi="Times New Roman" w:cs="Times New Roman"/>
                <w:snapToGrid w:val="0"/>
                <w:vertAlign w:val="subscript"/>
              </w:rPr>
              <w:t>3</w:t>
            </w:r>
            <w:r>
              <w:rPr>
                <w:rFonts w:hint="default" w:ascii="Times New Roman" w:hAnsi="Times New Roman" w:cs="Times New Roman"/>
                <w:snapToGrid w:val="0"/>
              </w:rPr>
              <w:t>。</w:t>
            </w:r>
          </w:p>
          <w:p>
            <w:pPr>
              <w:spacing w:line="440" w:lineRule="exact"/>
              <w:ind w:firstLine="480" w:firstLineChars="200"/>
              <w:rPr>
                <w:rFonts w:hint="default" w:ascii="Times New Roman" w:hAnsi="Times New Roman" w:cs="Times New Roman"/>
              </w:rPr>
            </w:pPr>
            <w:r>
              <w:rPr>
                <w:rFonts w:hint="default" w:ascii="Times New Roman" w:hAnsi="Times New Roman" w:cs="Times New Roman"/>
              </w:rPr>
              <w:t>因此，本项目铁渣、铸造砂、转炉渣、钢渣等原辅材料属于一般工业固废</w:t>
            </w:r>
            <w:r>
              <w:rPr>
                <w:rStyle w:val="32"/>
                <w:rFonts w:hint="default" w:ascii="Times New Roman" w:hAnsi="Times New Roman" w:cs="Times New Roman"/>
                <w:kern w:val="0"/>
                <w:szCs w:val="20"/>
              </w:rPr>
              <w:t>。</w:t>
            </w:r>
          </w:p>
          <w:p>
            <w:pPr>
              <w:spacing w:line="460" w:lineRule="exact"/>
              <w:rPr>
                <w:rFonts w:hint="default" w:ascii="Times New Roman" w:hAnsi="Times New Roman" w:eastAsia="黑体" w:cs="Times New Roman"/>
                <w:b/>
                <w:bCs/>
              </w:rPr>
            </w:pPr>
            <w:r>
              <w:rPr>
                <w:rFonts w:hint="default" w:ascii="Times New Roman" w:hAnsi="Times New Roman" w:eastAsia="黑体" w:cs="Times New Roman"/>
                <w:b/>
                <w:bCs/>
              </w:rPr>
              <w:t>2.2.7物料平衡</w:t>
            </w:r>
          </w:p>
          <w:p>
            <w:pPr>
              <w:spacing w:line="440" w:lineRule="exact"/>
              <w:ind w:firstLine="480" w:firstLineChars="200"/>
              <w:rPr>
                <w:rFonts w:hint="default" w:ascii="Times New Roman" w:hAnsi="Times New Roman" w:cs="Times New Roman"/>
              </w:rPr>
            </w:pPr>
            <w:r>
              <w:rPr>
                <w:rFonts w:hint="default" w:ascii="Times New Roman" w:hAnsi="Times New Roman" w:cs="Times New Roman"/>
              </w:rPr>
              <w:t>本项目物料平衡如下：</w:t>
            </w:r>
          </w:p>
          <w:p>
            <w:pPr>
              <w:pStyle w:val="34"/>
              <w:spacing w:before="120"/>
              <w:ind w:firstLine="422"/>
              <w:rPr>
                <w:rFonts w:hint="default" w:ascii="Times New Roman" w:hAnsi="Times New Roman" w:cs="Times New Roman"/>
                <w:b/>
                <w:bCs/>
                <w:sz w:val="21"/>
                <w:szCs w:val="21"/>
              </w:rPr>
            </w:pPr>
            <w:r>
              <w:rPr>
                <w:rFonts w:hint="default" w:ascii="Times New Roman" w:hAnsi="Times New Roman" w:cs="Times New Roman"/>
                <w:b/>
                <w:bCs/>
                <w:sz w:val="21"/>
                <w:szCs w:val="21"/>
              </w:rPr>
              <w:t>表2.2-5项目物料平衡表</w:t>
            </w:r>
          </w:p>
          <w:tbl>
            <w:tblPr>
              <w:tblStyle w:val="26"/>
              <w:tblW w:w="7998"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708"/>
              <w:gridCol w:w="1413"/>
              <w:gridCol w:w="779"/>
              <w:gridCol w:w="693"/>
              <w:gridCol w:w="1523"/>
              <w:gridCol w:w="1882"/>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121" w:type="dxa"/>
                  <w:gridSpan w:val="2"/>
                  <w:tcBorders>
                    <w:tl2br w:val="nil"/>
                    <w:tr2bl w:val="nil"/>
                  </w:tcBorders>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输入</w:t>
                  </w:r>
                </w:p>
              </w:tc>
              <w:tc>
                <w:tcPr>
                  <w:tcW w:w="4877" w:type="dxa"/>
                  <w:gridSpan w:val="4"/>
                  <w:tcBorders>
                    <w:tl2br w:val="nil"/>
                    <w:tr2bl w:val="nil"/>
                  </w:tcBorders>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输出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708" w:type="dxa"/>
                  <w:tcBorders>
                    <w:tl2br w:val="nil"/>
                    <w:tr2bl w:val="nil"/>
                  </w:tcBorders>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原料种类</w:t>
                  </w:r>
                </w:p>
              </w:tc>
              <w:tc>
                <w:tcPr>
                  <w:tcW w:w="1413" w:type="dxa"/>
                  <w:tcBorders>
                    <w:tl2br w:val="nil"/>
                    <w:tr2bl w:val="nil"/>
                  </w:tcBorders>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投入量（t/a）</w:t>
                  </w:r>
                </w:p>
              </w:tc>
              <w:tc>
                <w:tcPr>
                  <w:tcW w:w="2995" w:type="dxa"/>
                  <w:gridSpan w:val="3"/>
                  <w:tcBorders>
                    <w:tl2br w:val="nil"/>
                    <w:tr2bl w:val="nil"/>
                  </w:tcBorders>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名称</w:t>
                  </w:r>
                </w:p>
              </w:tc>
              <w:tc>
                <w:tcPr>
                  <w:tcW w:w="1882" w:type="dxa"/>
                  <w:tcBorders>
                    <w:tl2br w:val="nil"/>
                    <w:tr2bl w:val="nil"/>
                  </w:tcBorders>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产出量（t/a）</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708" w:type="dxa"/>
                  <w:vMerge w:val="restart"/>
                  <w:tcBorders>
                    <w:tl2br w:val="nil"/>
                    <w:tr2bl w:val="nil"/>
                  </w:tcBorders>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铸铁渣、铸造砂、转炉渣、钢渣</w:t>
                  </w:r>
                </w:p>
                <w:p>
                  <w:pPr>
                    <w:jc w:val="center"/>
                    <w:rPr>
                      <w:rFonts w:hint="default" w:ascii="Times New Roman" w:hAnsi="Times New Roman" w:cs="Times New Roman"/>
                      <w:sz w:val="18"/>
                      <w:szCs w:val="18"/>
                    </w:rPr>
                  </w:pPr>
                  <w:r>
                    <w:rPr>
                      <w:rFonts w:hint="default" w:ascii="Times New Roman" w:hAnsi="Times New Roman" w:cs="Times New Roman"/>
                      <w:sz w:val="18"/>
                      <w:szCs w:val="18"/>
                    </w:rPr>
                    <w:t>（含水率8%）</w:t>
                  </w:r>
                </w:p>
              </w:tc>
              <w:tc>
                <w:tcPr>
                  <w:tcW w:w="1413" w:type="dxa"/>
                  <w:vMerge w:val="restart"/>
                  <w:tcBorders>
                    <w:tl2br w:val="nil"/>
                    <w:tr2bl w:val="nil"/>
                  </w:tcBorders>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100000）</w:t>
                  </w:r>
                </w:p>
                <w:p>
                  <w:pPr>
                    <w:jc w:val="center"/>
                    <w:rPr>
                      <w:rFonts w:hint="default" w:ascii="Times New Roman" w:hAnsi="Times New Roman" w:cs="Times New Roman"/>
                      <w:sz w:val="18"/>
                      <w:szCs w:val="18"/>
                    </w:rPr>
                  </w:pPr>
                  <w:r>
                    <w:rPr>
                      <w:rFonts w:hint="default" w:ascii="Times New Roman" w:hAnsi="Times New Roman" w:cs="Times New Roman"/>
                      <w:sz w:val="18"/>
                      <w:szCs w:val="18"/>
                    </w:rPr>
                    <w:t>（固含量92000）</w:t>
                  </w:r>
                </w:p>
              </w:tc>
              <w:tc>
                <w:tcPr>
                  <w:tcW w:w="779" w:type="dxa"/>
                  <w:tcBorders>
                    <w:tl2br w:val="nil"/>
                    <w:tr2bl w:val="nil"/>
                  </w:tcBorders>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产品</w:t>
                  </w:r>
                </w:p>
              </w:tc>
              <w:tc>
                <w:tcPr>
                  <w:tcW w:w="2216" w:type="dxa"/>
                  <w:gridSpan w:val="2"/>
                  <w:tcBorders>
                    <w:tl2br w:val="nil"/>
                    <w:tr2bl w:val="nil"/>
                  </w:tcBorders>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铁粉（含水率10%）</w:t>
                  </w:r>
                </w:p>
              </w:tc>
              <w:tc>
                <w:tcPr>
                  <w:tcW w:w="1882" w:type="dxa"/>
                  <w:tcBorders>
                    <w:tl2br w:val="nil"/>
                    <w:tr2bl w:val="nil"/>
                  </w:tcBorders>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30000</w:t>
                  </w:r>
                </w:p>
                <w:p>
                  <w:pPr>
                    <w:jc w:val="center"/>
                    <w:rPr>
                      <w:rFonts w:hint="default" w:ascii="Times New Roman" w:hAnsi="Times New Roman" w:cs="Times New Roman"/>
                      <w:sz w:val="18"/>
                      <w:szCs w:val="18"/>
                    </w:rPr>
                  </w:pPr>
                  <w:r>
                    <w:rPr>
                      <w:rFonts w:hint="default" w:ascii="Times New Roman" w:hAnsi="Times New Roman" w:cs="Times New Roman"/>
                      <w:sz w:val="18"/>
                      <w:szCs w:val="18"/>
                    </w:rPr>
                    <w:t>（固含量：27000）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c>
                <w:tcPr>
                  <w:tcW w:w="1708" w:type="dxa"/>
                  <w:vMerge w:val="continue"/>
                  <w:tcBorders>
                    <w:tl2br w:val="nil"/>
                    <w:tr2bl w:val="nil"/>
                  </w:tcBorders>
                  <w:vAlign w:val="center"/>
                </w:tcPr>
                <w:p>
                  <w:pPr>
                    <w:jc w:val="center"/>
                    <w:rPr>
                      <w:rFonts w:hint="default" w:ascii="Times New Roman" w:hAnsi="Times New Roman" w:cs="Times New Roman"/>
                      <w:sz w:val="18"/>
                      <w:szCs w:val="18"/>
                    </w:rPr>
                  </w:pPr>
                </w:p>
              </w:tc>
              <w:tc>
                <w:tcPr>
                  <w:tcW w:w="1413" w:type="dxa"/>
                  <w:vMerge w:val="continue"/>
                  <w:tcBorders>
                    <w:tl2br w:val="nil"/>
                    <w:tr2bl w:val="nil"/>
                  </w:tcBorders>
                  <w:vAlign w:val="center"/>
                </w:tcPr>
                <w:p>
                  <w:pPr>
                    <w:jc w:val="center"/>
                    <w:rPr>
                      <w:rFonts w:hint="default" w:ascii="Times New Roman" w:hAnsi="Times New Roman" w:cs="Times New Roman"/>
                      <w:sz w:val="18"/>
                      <w:szCs w:val="18"/>
                    </w:rPr>
                  </w:pPr>
                </w:p>
              </w:tc>
              <w:tc>
                <w:tcPr>
                  <w:tcW w:w="779" w:type="dxa"/>
                  <w:tcBorders>
                    <w:tl2br w:val="nil"/>
                    <w:tr2bl w:val="nil"/>
                  </w:tcBorders>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废气</w:t>
                  </w:r>
                </w:p>
              </w:tc>
              <w:tc>
                <w:tcPr>
                  <w:tcW w:w="2216" w:type="dxa"/>
                  <w:gridSpan w:val="2"/>
                  <w:tcBorders>
                    <w:tl2br w:val="nil"/>
                    <w:tr2bl w:val="nil"/>
                  </w:tcBorders>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颗粒物</w:t>
                  </w:r>
                </w:p>
              </w:tc>
              <w:tc>
                <w:tcPr>
                  <w:tcW w:w="1882" w:type="dxa"/>
                  <w:tcBorders>
                    <w:tl2br w:val="nil"/>
                    <w:tr2bl w:val="nil"/>
                  </w:tcBorders>
                  <w:vAlign w:val="center"/>
                </w:tcPr>
                <w:p>
                  <w:pPr>
                    <w:jc w:val="center"/>
                    <w:rPr>
                      <w:rFonts w:hint="default" w:ascii="Times New Roman" w:hAnsi="Times New Roman" w:cs="Times New Roman"/>
                      <w:sz w:val="18"/>
                      <w:szCs w:val="18"/>
                    </w:rPr>
                  </w:pPr>
                  <w:r>
                    <w:rPr>
                      <w:rFonts w:hint="default" w:ascii="Times New Roman" w:hAnsi="Times New Roman" w:cs="Times New Roman"/>
                      <w:kern w:val="0"/>
                      <w:sz w:val="18"/>
                      <w:szCs w:val="18"/>
                    </w:rPr>
                    <w:t>4.31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708" w:type="dxa"/>
                  <w:vMerge w:val="continue"/>
                  <w:tcBorders>
                    <w:tl2br w:val="nil"/>
                    <w:tr2bl w:val="nil"/>
                  </w:tcBorders>
                  <w:vAlign w:val="center"/>
                </w:tcPr>
                <w:p>
                  <w:pPr>
                    <w:jc w:val="center"/>
                    <w:rPr>
                      <w:rFonts w:hint="default" w:ascii="Times New Roman" w:hAnsi="Times New Roman" w:cs="Times New Roman"/>
                      <w:sz w:val="18"/>
                      <w:szCs w:val="18"/>
                    </w:rPr>
                  </w:pPr>
                </w:p>
              </w:tc>
              <w:tc>
                <w:tcPr>
                  <w:tcW w:w="1413" w:type="dxa"/>
                  <w:vMerge w:val="continue"/>
                  <w:tcBorders>
                    <w:tl2br w:val="nil"/>
                    <w:tr2bl w:val="nil"/>
                  </w:tcBorders>
                  <w:vAlign w:val="center"/>
                </w:tcPr>
                <w:p>
                  <w:pPr>
                    <w:jc w:val="center"/>
                    <w:rPr>
                      <w:rFonts w:hint="default" w:ascii="Times New Roman" w:hAnsi="Times New Roman" w:cs="Times New Roman"/>
                      <w:sz w:val="18"/>
                      <w:szCs w:val="18"/>
                    </w:rPr>
                  </w:pPr>
                </w:p>
              </w:tc>
              <w:tc>
                <w:tcPr>
                  <w:tcW w:w="779" w:type="dxa"/>
                  <w:vMerge w:val="restart"/>
                  <w:tcBorders>
                    <w:tl2br w:val="nil"/>
                    <w:tr2bl w:val="nil"/>
                  </w:tcBorders>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固废</w:t>
                  </w:r>
                </w:p>
              </w:tc>
              <w:tc>
                <w:tcPr>
                  <w:tcW w:w="2216" w:type="dxa"/>
                  <w:gridSpan w:val="2"/>
                  <w:tcBorders>
                    <w:tl2br w:val="nil"/>
                    <w:tr2bl w:val="nil"/>
                  </w:tcBorders>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干选尾渣（含水率8%）</w:t>
                  </w:r>
                </w:p>
              </w:tc>
              <w:tc>
                <w:tcPr>
                  <w:tcW w:w="1882" w:type="dxa"/>
                  <w:tcBorders>
                    <w:tl2br w:val="nil"/>
                    <w:tr2bl w:val="nil"/>
                  </w:tcBorders>
                  <w:vAlign w:val="center"/>
                </w:tcPr>
                <w:p>
                  <w:pPr>
                    <w:pStyle w:val="39"/>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40000</w:t>
                  </w:r>
                </w:p>
                <w:p>
                  <w:pPr>
                    <w:pStyle w:val="39"/>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（固含量：36800）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1708" w:type="dxa"/>
                  <w:vMerge w:val="restart"/>
                  <w:tcBorders>
                    <w:tl2br w:val="nil"/>
                    <w:tr2bl w:val="nil"/>
                  </w:tcBorders>
                  <w:vAlign w:val="center"/>
                </w:tcPr>
                <w:p>
                  <w:pPr>
                    <w:pStyle w:val="39"/>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水（含初期雨水）</w:t>
                  </w:r>
                </w:p>
              </w:tc>
              <w:tc>
                <w:tcPr>
                  <w:tcW w:w="1413" w:type="dxa"/>
                  <w:vMerge w:val="restart"/>
                  <w:tcBorders>
                    <w:tl2br w:val="nil"/>
                    <w:tr2bl w:val="nil"/>
                  </w:tcBorders>
                  <w:vAlign w:val="center"/>
                </w:tcPr>
                <w:p>
                  <w:pPr>
                    <w:pStyle w:val="39"/>
                    <w:jc w:val="center"/>
                    <w:rPr>
                      <w:rFonts w:hint="default" w:ascii="Times New Roman" w:hAnsi="Times New Roman" w:cs="Times New Roman"/>
                      <w:color w:val="auto"/>
                      <w:sz w:val="18"/>
                      <w:szCs w:val="18"/>
                    </w:rPr>
                  </w:pPr>
                  <w:r>
                    <w:rPr>
                      <w:rFonts w:hint="default" w:ascii="Times New Roman" w:hAnsi="Times New Roman" w:cs="Times New Roman"/>
                      <w:color w:val="auto"/>
                      <w:kern w:val="2"/>
                      <w:sz w:val="18"/>
                      <w:szCs w:val="18"/>
                    </w:rPr>
                    <w:t>6278.31</w:t>
                  </w:r>
                </w:p>
              </w:tc>
              <w:tc>
                <w:tcPr>
                  <w:tcW w:w="779" w:type="dxa"/>
                  <w:vMerge w:val="continue"/>
                  <w:tcBorders>
                    <w:tl2br w:val="nil"/>
                    <w:tr2bl w:val="nil"/>
                  </w:tcBorders>
                  <w:vAlign w:val="center"/>
                </w:tcPr>
                <w:p>
                  <w:pPr>
                    <w:pStyle w:val="39"/>
                    <w:jc w:val="center"/>
                    <w:rPr>
                      <w:rFonts w:hint="default" w:ascii="Times New Roman" w:hAnsi="Times New Roman" w:cs="Times New Roman"/>
                      <w:color w:val="auto"/>
                      <w:sz w:val="18"/>
                      <w:szCs w:val="18"/>
                    </w:rPr>
                  </w:pPr>
                </w:p>
              </w:tc>
              <w:tc>
                <w:tcPr>
                  <w:tcW w:w="693" w:type="dxa"/>
                  <w:vMerge w:val="restart"/>
                  <w:tcBorders>
                    <w:tl2br w:val="nil"/>
                    <w:tr2bl w:val="nil"/>
                  </w:tcBorders>
                  <w:vAlign w:val="center"/>
                </w:tcPr>
                <w:p>
                  <w:pPr>
                    <w:pStyle w:val="39"/>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磁选尾渣</w:t>
                  </w:r>
                </w:p>
              </w:tc>
              <w:tc>
                <w:tcPr>
                  <w:tcW w:w="1523" w:type="dxa"/>
                  <w:tcBorders>
                    <w:tl2br w:val="nil"/>
                    <w:tr2bl w:val="nil"/>
                  </w:tcBorders>
                  <w:vAlign w:val="center"/>
                </w:tcPr>
                <w:p>
                  <w:pPr>
                    <w:pStyle w:val="39"/>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粗渣（含水率12%）</w:t>
                  </w:r>
                </w:p>
              </w:tc>
              <w:tc>
                <w:tcPr>
                  <w:tcW w:w="1882" w:type="dxa"/>
                  <w:tcBorders>
                    <w:tl2br w:val="nil"/>
                    <w:tr2bl w:val="nil"/>
                  </w:tcBorders>
                  <w:vAlign w:val="center"/>
                </w:tcPr>
                <w:p>
                  <w:pPr>
                    <w:pStyle w:val="39"/>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15000</w:t>
                  </w:r>
                </w:p>
                <w:p>
                  <w:pPr>
                    <w:pStyle w:val="39"/>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（固含量：13200）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708" w:type="dxa"/>
                  <w:vMerge w:val="continue"/>
                  <w:tcBorders>
                    <w:tl2br w:val="nil"/>
                    <w:tr2bl w:val="nil"/>
                  </w:tcBorders>
                  <w:vAlign w:val="center"/>
                </w:tcPr>
                <w:p>
                  <w:pPr>
                    <w:pStyle w:val="39"/>
                    <w:jc w:val="center"/>
                    <w:rPr>
                      <w:rFonts w:hint="default" w:ascii="Times New Roman" w:hAnsi="Times New Roman" w:cs="Times New Roman"/>
                      <w:color w:val="auto"/>
                      <w:sz w:val="18"/>
                      <w:szCs w:val="18"/>
                    </w:rPr>
                  </w:pPr>
                </w:p>
              </w:tc>
              <w:tc>
                <w:tcPr>
                  <w:tcW w:w="1413" w:type="dxa"/>
                  <w:vMerge w:val="continue"/>
                  <w:tcBorders>
                    <w:tl2br w:val="nil"/>
                    <w:tr2bl w:val="nil"/>
                  </w:tcBorders>
                  <w:vAlign w:val="center"/>
                </w:tcPr>
                <w:p>
                  <w:pPr>
                    <w:pStyle w:val="39"/>
                    <w:jc w:val="center"/>
                    <w:rPr>
                      <w:rFonts w:hint="default" w:ascii="Times New Roman" w:hAnsi="Times New Roman" w:cs="Times New Roman"/>
                      <w:color w:val="auto"/>
                      <w:sz w:val="18"/>
                      <w:szCs w:val="18"/>
                    </w:rPr>
                  </w:pPr>
                </w:p>
              </w:tc>
              <w:tc>
                <w:tcPr>
                  <w:tcW w:w="779" w:type="dxa"/>
                  <w:vMerge w:val="continue"/>
                  <w:tcBorders>
                    <w:tl2br w:val="nil"/>
                    <w:tr2bl w:val="nil"/>
                  </w:tcBorders>
                  <w:vAlign w:val="center"/>
                </w:tcPr>
                <w:p>
                  <w:pPr>
                    <w:pStyle w:val="39"/>
                    <w:jc w:val="center"/>
                    <w:rPr>
                      <w:rFonts w:hint="default" w:ascii="Times New Roman" w:hAnsi="Times New Roman" w:cs="Times New Roman"/>
                      <w:color w:val="auto"/>
                      <w:sz w:val="18"/>
                      <w:szCs w:val="18"/>
                    </w:rPr>
                  </w:pPr>
                </w:p>
              </w:tc>
              <w:tc>
                <w:tcPr>
                  <w:tcW w:w="693" w:type="dxa"/>
                  <w:vMerge w:val="continue"/>
                  <w:tcBorders>
                    <w:tl2br w:val="nil"/>
                    <w:tr2bl w:val="nil"/>
                  </w:tcBorders>
                  <w:vAlign w:val="center"/>
                </w:tcPr>
                <w:p>
                  <w:pPr>
                    <w:pStyle w:val="39"/>
                    <w:jc w:val="center"/>
                    <w:rPr>
                      <w:rFonts w:hint="default" w:ascii="Times New Roman" w:hAnsi="Times New Roman" w:cs="Times New Roman"/>
                      <w:color w:val="auto"/>
                      <w:sz w:val="18"/>
                      <w:szCs w:val="18"/>
                    </w:rPr>
                  </w:pPr>
                </w:p>
              </w:tc>
              <w:tc>
                <w:tcPr>
                  <w:tcW w:w="1523" w:type="dxa"/>
                  <w:tcBorders>
                    <w:tl2br w:val="nil"/>
                    <w:tr2bl w:val="nil"/>
                  </w:tcBorders>
                  <w:vAlign w:val="center"/>
                </w:tcPr>
                <w:p>
                  <w:pPr>
                    <w:pStyle w:val="39"/>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细渣（含水率15-17%）</w:t>
                  </w:r>
                </w:p>
              </w:tc>
              <w:tc>
                <w:tcPr>
                  <w:tcW w:w="1882" w:type="dxa"/>
                  <w:tcBorders>
                    <w:tl2br w:val="nil"/>
                    <w:tr2bl w:val="nil"/>
                  </w:tcBorders>
                  <w:vAlign w:val="center"/>
                </w:tcPr>
                <w:p>
                  <w:pPr>
                    <w:pStyle w:val="39"/>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17800</w:t>
                  </w:r>
                </w:p>
                <w:p>
                  <w:pPr>
                    <w:pStyle w:val="39"/>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（固含量14971.69）</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708" w:type="dxa"/>
                  <w:vMerge w:val="continue"/>
                  <w:tcBorders>
                    <w:tl2br w:val="nil"/>
                    <w:tr2bl w:val="nil"/>
                  </w:tcBorders>
                  <w:vAlign w:val="center"/>
                </w:tcPr>
                <w:p>
                  <w:pPr>
                    <w:jc w:val="center"/>
                    <w:rPr>
                      <w:rFonts w:hint="default" w:ascii="Times New Roman" w:hAnsi="Times New Roman" w:cs="Times New Roman"/>
                      <w:sz w:val="18"/>
                      <w:szCs w:val="18"/>
                    </w:rPr>
                  </w:pPr>
                </w:p>
              </w:tc>
              <w:tc>
                <w:tcPr>
                  <w:tcW w:w="1413" w:type="dxa"/>
                  <w:vMerge w:val="continue"/>
                  <w:tcBorders>
                    <w:tl2br w:val="nil"/>
                    <w:tr2bl w:val="nil"/>
                  </w:tcBorders>
                  <w:vAlign w:val="center"/>
                </w:tcPr>
                <w:p>
                  <w:pPr>
                    <w:jc w:val="center"/>
                    <w:rPr>
                      <w:rFonts w:hint="default" w:ascii="Times New Roman" w:hAnsi="Times New Roman" w:cs="Times New Roman"/>
                      <w:sz w:val="18"/>
                      <w:szCs w:val="18"/>
                    </w:rPr>
                  </w:pPr>
                </w:p>
              </w:tc>
              <w:tc>
                <w:tcPr>
                  <w:tcW w:w="779" w:type="dxa"/>
                  <w:vMerge w:val="continue"/>
                  <w:tcBorders>
                    <w:tl2br w:val="nil"/>
                    <w:tr2bl w:val="nil"/>
                  </w:tcBorders>
                  <w:vAlign w:val="center"/>
                </w:tcPr>
                <w:p>
                  <w:pPr>
                    <w:jc w:val="center"/>
                    <w:rPr>
                      <w:rFonts w:hint="default" w:ascii="Times New Roman" w:hAnsi="Times New Roman" w:cs="Times New Roman"/>
                      <w:sz w:val="18"/>
                      <w:szCs w:val="18"/>
                    </w:rPr>
                  </w:pPr>
                </w:p>
              </w:tc>
              <w:tc>
                <w:tcPr>
                  <w:tcW w:w="2216" w:type="dxa"/>
                  <w:gridSpan w:val="2"/>
                  <w:tcBorders>
                    <w:tl2br w:val="nil"/>
                    <w:tr2bl w:val="nil"/>
                  </w:tcBorders>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沉淀池污泥</w:t>
                  </w:r>
                </w:p>
                <w:p>
                  <w:pPr>
                    <w:jc w:val="center"/>
                    <w:rPr>
                      <w:rFonts w:hint="default" w:ascii="Times New Roman" w:hAnsi="Times New Roman" w:cs="Times New Roman"/>
                      <w:sz w:val="18"/>
                      <w:szCs w:val="18"/>
                    </w:rPr>
                  </w:pPr>
                  <w:r>
                    <w:rPr>
                      <w:rFonts w:hint="default" w:ascii="Times New Roman" w:hAnsi="Times New Roman" w:cs="Times New Roman"/>
                      <w:sz w:val="18"/>
                      <w:szCs w:val="18"/>
                    </w:rPr>
                    <w:t>（含水率20%）</w:t>
                  </w:r>
                </w:p>
              </w:tc>
              <w:tc>
                <w:tcPr>
                  <w:tcW w:w="1882" w:type="dxa"/>
                  <w:tcBorders>
                    <w:tl2br w:val="nil"/>
                    <w:tr2bl w:val="nil"/>
                  </w:tcBorders>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30</w:t>
                  </w:r>
                </w:p>
                <w:p>
                  <w:pPr>
                    <w:jc w:val="center"/>
                    <w:rPr>
                      <w:rFonts w:hint="default" w:ascii="Times New Roman" w:hAnsi="Times New Roman" w:cs="Times New Roman"/>
                      <w:sz w:val="18"/>
                      <w:szCs w:val="18"/>
                    </w:rPr>
                  </w:pPr>
                  <w:r>
                    <w:rPr>
                      <w:rFonts w:hint="default" w:ascii="Times New Roman" w:hAnsi="Times New Roman" w:cs="Times New Roman"/>
                      <w:sz w:val="18"/>
                      <w:szCs w:val="18"/>
                    </w:rPr>
                    <w:t>（固含量24）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1708" w:type="dxa"/>
                  <w:vMerge w:val="continue"/>
                  <w:tcBorders>
                    <w:tl2br w:val="nil"/>
                    <w:tr2bl w:val="nil"/>
                  </w:tcBorders>
                  <w:vAlign w:val="center"/>
                </w:tcPr>
                <w:p>
                  <w:pPr>
                    <w:jc w:val="center"/>
                    <w:rPr>
                      <w:rFonts w:hint="default" w:ascii="Times New Roman" w:hAnsi="Times New Roman" w:cs="Times New Roman"/>
                      <w:sz w:val="18"/>
                      <w:szCs w:val="18"/>
                    </w:rPr>
                  </w:pPr>
                </w:p>
              </w:tc>
              <w:tc>
                <w:tcPr>
                  <w:tcW w:w="1413" w:type="dxa"/>
                  <w:vMerge w:val="continue"/>
                  <w:tcBorders>
                    <w:tl2br w:val="nil"/>
                    <w:tr2bl w:val="nil"/>
                  </w:tcBorders>
                  <w:vAlign w:val="center"/>
                </w:tcPr>
                <w:p>
                  <w:pPr>
                    <w:jc w:val="center"/>
                    <w:rPr>
                      <w:rFonts w:hint="default" w:ascii="Times New Roman" w:hAnsi="Times New Roman" w:cs="Times New Roman"/>
                      <w:sz w:val="18"/>
                      <w:szCs w:val="18"/>
                    </w:rPr>
                  </w:pPr>
                </w:p>
              </w:tc>
              <w:tc>
                <w:tcPr>
                  <w:tcW w:w="2995" w:type="dxa"/>
                  <w:gridSpan w:val="3"/>
                  <w:tcBorders>
                    <w:tl2br w:val="nil"/>
                    <w:tr2bl w:val="nil"/>
                  </w:tcBorders>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水蒸发损耗</w:t>
                  </w:r>
                </w:p>
              </w:tc>
              <w:tc>
                <w:tcPr>
                  <w:tcW w:w="1882" w:type="dxa"/>
                  <w:tcBorders>
                    <w:tl2br w:val="nil"/>
                    <w:tr2bl w:val="nil"/>
                  </w:tcBorders>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3444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708" w:type="dxa"/>
                  <w:tcBorders>
                    <w:tl2br w:val="nil"/>
                    <w:tr2bl w:val="nil"/>
                  </w:tcBorders>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合计</w:t>
                  </w:r>
                </w:p>
              </w:tc>
              <w:tc>
                <w:tcPr>
                  <w:tcW w:w="1413" w:type="dxa"/>
                  <w:tcBorders>
                    <w:tl2br w:val="nil"/>
                    <w:tr2bl w:val="nil"/>
                  </w:tcBorders>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106278.31</w:t>
                  </w:r>
                </w:p>
                <w:p>
                  <w:pPr>
                    <w:jc w:val="center"/>
                    <w:rPr>
                      <w:rFonts w:hint="default" w:ascii="Times New Roman" w:hAnsi="Times New Roman" w:cs="Times New Roman"/>
                      <w:sz w:val="18"/>
                      <w:szCs w:val="18"/>
                    </w:rPr>
                  </w:pPr>
                  <w:r>
                    <w:rPr>
                      <w:rFonts w:hint="default" w:ascii="Times New Roman" w:hAnsi="Times New Roman" w:cs="Times New Roman"/>
                      <w:sz w:val="18"/>
                      <w:szCs w:val="18"/>
                    </w:rPr>
                    <w:t>（固含量：92000</w:t>
                  </w:r>
                </w:p>
              </w:tc>
              <w:tc>
                <w:tcPr>
                  <w:tcW w:w="2995" w:type="dxa"/>
                  <w:gridSpan w:val="3"/>
                  <w:tcBorders>
                    <w:tl2br w:val="nil"/>
                    <w:tr2bl w:val="nil"/>
                  </w:tcBorders>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合计</w:t>
                  </w:r>
                </w:p>
              </w:tc>
              <w:tc>
                <w:tcPr>
                  <w:tcW w:w="1882" w:type="dxa"/>
                  <w:tcBorders>
                    <w:tl2br w:val="nil"/>
                    <w:tr2bl w:val="nil"/>
                  </w:tcBorders>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106278.31</w:t>
                  </w:r>
                </w:p>
                <w:p>
                  <w:pPr>
                    <w:jc w:val="center"/>
                    <w:rPr>
                      <w:rFonts w:hint="default" w:ascii="Times New Roman" w:hAnsi="Times New Roman" w:cs="Times New Roman"/>
                      <w:sz w:val="18"/>
                      <w:szCs w:val="18"/>
                    </w:rPr>
                  </w:pPr>
                  <w:r>
                    <w:rPr>
                      <w:rFonts w:hint="default" w:ascii="Times New Roman" w:hAnsi="Times New Roman" w:cs="Times New Roman"/>
                      <w:sz w:val="18"/>
                      <w:szCs w:val="18"/>
                    </w:rPr>
                    <w:t>（固含量：92000）</w:t>
                  </w:r>
                </w:p>
              </w:tc>
            </w:tr>
          </w:tbl>
          <w:p>
            <w:pPr>
              <w:spacing w:line="440" w:lineRule="exact"/>
              <w:rPr>
                <w:rFonts w:hint="default" w:ascii="Times New Roman" w:hAnsi="Times New Roman" w:cs="Times New Roman"/>
              </w:rPr>
            </w:pPr>
            <w:r>
              <w:rPr>
                <w:rFonts w:hint="default" w:ascii="Times New Roman" w:hAnsi="Times New Roman" w:eastAsia="黑体" w:cs="Times New Roman"/>
                <w:b/>
                <w:bCs/>
              </w:rPr>
              <w:t>2.2.8</w:t>
            </w:r>
            <w:r>
              <w:rPr>
                <w:rFonts w:hint="default" w:ascii="Times New Roman" w:hAnsi="Times New Roman" w:cs="Times New Roman"/>
                <w:b/>
                <w:bCs/>
              </w:rPr>
              <w:t>供排水工程</w:t>
            </w:r>
          </w:p>
          <w:p>
            <w:pPr>
              <w:adjustRightInd w:val="0"/>
              <w:snapToGrid w:val="0"/>
              <w:spacing w:line="440" w:lineRule="exact"/>
              <w:rPr>
                <w:rFonts w:hint="default" w:ascii="Times New Roman" w:hAnsi="Times New Roman" w:eastAsia="黑体" w:cs="Times New Roman"/>
                <w:b/>
                <w:bCs/>
              </w:rPr>
            </w:pPr>
            <w:r>
              <w:rPr>
                <w:rFonts w:hint="default" w:ascii="Times New Roman" w:hAnsi="Times New Roman" w:eastAsia="黑体" w:cs="Times New Roman"/>
                <w:b/>
                <w:bCs/>
              </w:rPr>
              <w:t>2.2.8.1供水系统</w:t>
            </w:r>
          </w:p>
          <w:p>
            <w:pPr>
              <w:pStyle w:val="3"/>
              <w:spacing w:line="440" w:lineRule="exact"/>
              <w:ind w:right="-120" w:firstLine="480" w:firstLineChars="200"/>
              <w:jc w:val="left"/>
              <w:rPr>
                <w:rFonts w:hint="default" w:ascii="Times New Roman" w:hAnsi="Times New Roman" w:cs="Times New Roman"/>
              </w:rPr>
            </w:pPr>
            <w:r>
              <w:rPr>
                <w:rFonts w:hint="default" w:ascii="Times New Roman" w:hAnsi="Times New Roman" w:cs="Times New Roman"/>
              </w:rPr>
              <w:t>项目用水取自山泉水，全厂新鲜用水量为</w:t>
            </w:r>
            <w:r>
              <w:rPr>
                <w:rFonts w:hint="default" w:ascii="Times New Roman" w:hAnsi="Times New Roman" w:cs="Times New Roman"/>
                <w:highlight w:val="none"/>
              </w:rPr>
              <w:t>20.26</w:t>
            </w:r>
            <w:r>
              <w:rPr>
                <w:rFonts w:hint="default" w:ascii="Times New Roman" w:hAnsi="Times New Roman" w:cs="Times New Roman"/>
                <w:highlight w:val="none"/>
                <w:lang w:val="en-US" w:eastAsia="zh-CN"/>
              </w:rPr>
              <w:t>m</w:t>
            </w:r>
            <w:r>
              <w:rPr>
                <w:rFonts w:hint="default" w:ascii="Times New Roman" w:hAnsi="Times New Roman" w:cs="Times New Roman"/>
                <w:highlight w:val="none"/>
                <w:vertAlign w:val="superscript"/>
                <w:lang w:val="en-US" w:eastAsia="zh-CN"/>
              </w:rPr>
              <w:t>3</w:t>
            </w:r>
            <w:r>
              <w:rPr>
                <w:rFonts w:hint="default" w:ascii="Times New Roman" w:hAnsi="Times New Roman" w:cs="Times New Roman"/>
                <w:highlight w:val="none"/>
              </w:rPr>
              <w:t>/d。山泉</w:t>
            </w:r>
            <w:r>
              <w:rPr>
                <w:rFonts w:hint="default" w:ascii="Times New Roman" w:hAnsi="Times New Roman" w:cs="Times New Roman"/>
              </w:rPr>
              <w:t>水通过管道引至蓄水池储存后，通过水泵及水管用于本项目生产用水。项目用水量较小，不会对当地农业、工业、生态及环境用水等造成影响。</w:t>
            </w:r>
          </w:p>
          <w:p>
            <w:pPr>
              <w:adjustRightInd w:val="0"/>
              <w:snapToGrid w:val="0"/>
              <w:spacing w:line="440" w:lineRule="exact"/>
              <w:rPr>
                <w:rFonts w:hint="default" w:ascii="Times New Roman" w:hAnsi="Times New Roman" w:eastAsia="黑体" w:cs="Times New Roman"/>
                <w:b/>
                <w:bCs/>
              </w:rPr>
            </w:pPr>
            <w:r>
              <w:rPr>
                <w:rFonts w:hint="default" w:ascii="Times New Roman" w:hAnsi="Times New Roman" w:eastAsia="黑体" w:cs="Times New Roman"/>
                <w:b/>
                <w:bCs/>
              </w:rPr>
              <w:t>2.2.8.2排水系统</w:t>
            </w:r>
          </w:p>
          <w:p>
            <w:pPr>
              <w:spacing w:line="440" w:lineRule="exact"/>
              <w:ind w:firstLine="480" w:firstLineChars="200"/>
              <w:rPr>
                <w:rFonts w:hint="default" w:ascii="Times New Roman" w:hAnsi="Times New Roman" w:cs="Times New Roman"/>
              </w:rPr>
            </w:pPr>
            <w:r>
              <w:rPr>
                <w:rFonts w:hint="default" w:ascii="Times New Roman" w:hAnsi="Times New Roman" w:cs="Times New Roman"/>
              </w:rPr>
              <w:t>项目用水主要包括球磨、磁选等生产用水，原料堆场、生产设备、道路等抑尘用水和绿化用水、生活用水。生产废水经“隔油池+沉淀池”处理后全部回用，不外排；道路浇洒用水全部挥发损耗；绿化用水被植物吸收。生活污水经地埋式生活污水处理设施处理后用于周边山林地灌溉。</w:t>
            </w:r>
          </w:p>
          <w:p>
            <w:pPr>
              <w:adjustRightInd w:val="0"/>
              <w:snapToGrid w:val="0"/>
              <w:spacing w:line="440" w:lineRule="exact"/>
              <w:rPr>
                <w:rFonts w:hint="default" w:ascii="Times New Roman" w:hAnsi="Times New Roman" w:eastAsia="黑体" w:cs="Times New Roman"/>
                <w:b/>
                <w:bCs/>
              </w:rPr>
            </w:pPr>
            <w:r>
              <w:rPr>
                <w:rFonts w:hint="default" w:ascii="Times New Roman" w:hAnsi="Times New Roman" w:eastAsia="黑体" w:cs="Times New Roman"/>
                <w:b/>
                <w:bCs/>
              </w:rPr>
              <w:t>2.2.8.3供排水平衡</w:t>
            </w:r>
          </w:p>
          <w:p>
            <w:pPr>
              <w:spacing w:line="440" w:lineRule="exact"/>
              <w:ind w:firstLine="480"/>
              <w:rPr>
                <w:rFonts w:hint="default" w:ascii="Times New Roman" w:hAnsi="Times New Roman" w:cs="Times New Roman"/>
              </w:rPr>
            </w:pPr>
            <w:r>
              <w:rPr>
                <w:rFonts w:hint="default" w:ascii="Times New Roman" w:hAnsi="Times New Roman" w:cs="Times New Roman"/>
              </w:rPr>
              <w:t>本项目用水包括生产用水、道路抑尘用水、生活用水和绿化用水。项目厂内给排水情况如下：</w:t>
            </w:r>
          </w:p>
          <w:p>
            <w:pPr>
              <w:pStyle w:val="73"/>
              <w:numPr>
                <w:ilvl w:val="0"/>
                <w:numId w:val="7"/>
              </w:numPr>
              <w:spacing w:after="0" w:line="440" w:lineRule="exact"/>
              <w:ind w:right="-120" w:firstLine="480"/>
              <w:rPr>
                <w:rFonts w:hint="default" w:ascii="Times New Roman" w:hAnsi="Times New Roman" w:cs="Times New Roman"/>
                <w:color w:val="auto"/>
                <w:sz w:val="24"/>
              </w:rPr>
            </w:pPr>
            <w:r>
              <w:rPr>
                <w:rFonts w:hint="default" w:ascii="Times New Roman" w:hAnsi="Times New Roman" w:cs="Times New Roman"/>
                <w:color w:val="auto"/>
                <w:sz w:val="24"/>
              </w:rPr>
              <w:t>生产用水、排水</w:t>
            </w:r>
          </w:p>
          <w:p>
            <w:pPr>
              <w:pStyle w:val="73"/>
              <w:spacing w:after="0" w:line="440" w:lineRule="exact"/>
              <w:ind w:left="480" w:leftChars="200" w:right="-120" w:firstLine="0" w:firstLineChars="0"/>
              <w:rPr>
                <w:rFonts w:hint="default" w:ascii="Times New Roman" w:hAnsi="Times New Roman" w:cs="Times New Roman"/>
                <w:color w:val="auto"/>
                <w:sz w:val="24"/>
              </w:rPr>
            </w:pPr>
            <w:r>
              <w:rPr>
                <w:rFonts w:hint="default" w:ascii="Times New Roman" w:hAnsi="Times New Roman" w:cs="Times New Roman"/>
                <w:color w:val="auto"/>
                <w:sz w:val="24"/>
              </w:rPr>
              <w:t>①原料堆场</w:t>
            </w:r>
          </w:p>
          <w:p>
            <w:pPr>
              <w:pStyle w:val="73"/>
              <w:spacing w:after="0" w:line="440" w:lineRule="exact"/>
              <w:ind w:right="-120" w:firstLine="480"/>
              <w:rPr>
                <w:rFonts w:hint="default" w:ascii="Times New Roman" w:hAnsi="Times New Roman" w:cs="Times New Roman"/>
                <w:color w:val="auto"/>
                <w:sz w:val="24"/>
              </w:rPr>
            </w:pPr>
            <w:r>
              <w:rPr>
                <w:rFonts w:hint="default" w:ascii="Times New Roman" w:hAnsi="Times New Roman" w:cs="Times New Roman"/>
                <w:color w:val="auto"/>
                <w:sz w:val="24"/>
              </w:rPr>
              <w:t>原料堆场采用喷雾装置抑尘，在堆场四周设置10个喷嘴，确保喷雾可以覆盖整个原料堆场。抑尘用水见下表。</w:t>
            </w:r>
          </w:p>
          <w:p>
            <w:pPr>
              <w:pStyle w:val="34"/>
              <w:spacing w:before="120"/>
              <w:ind w:firstLine="422"/>
              <w:rPr>
                <w:rFonts w:hint="default" w:ascii="Times New Roman" w:hAnsi="Times New Roman" w:cs="Times New Roman"/>
              </w:rPr>
            </w:pPr>
            <w:r>
              <w:rPr>
                <w:rFonts w:hint="default" w:ascii="Times New Roman" w:hAnsi="Times New Roman" w:cs="Times New Roman"/>
                <w:b/>
                <w:bCs/>
                <w:sz w:val="21"/>
                <w:szCs w:val="21"/>
              </w:rPr>
              <w:t>表2.2-6原料堆场抑尘用水</w:t>
            </w:r>
          </w:p>
          <w:tbl>
            <w:tblPr>
              <w:tblStyle w:val="26"/>
              <w:tblW w:w="7996"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520"/>
              <w:gridCol w:w="1520"/>
              <w:gridCol w:w="1865"/>
              <w:gridCol w:w="1537"/>
              <w:gridCol w:w="1554"/>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520" w:type="dxa"/>
                  <w:tcBorders>
                    <w:tl2br w:val="nil"/>
                    <w:tr2bl w:val="nil"/>
                  </w:tcBorders>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产尘点</w:t>
                  </w:r>
                </w:p>
              </w:tc>
              <w:tc>
                <w:tcPr>
                  <w:tcW w:w="1520" w:type="dxa"/>
                  <w:tcBorders>
                    <w:tl2br w:val="nil"/>
                    <w:tr2bl w:val="nil"/>
                  </w:tcBorders>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抑尘方式</w:t>
                  </w:r>
                </w:p>
              </w:tc>
              <w:tc>
                <w:tcPr>
                  <w:tcW w:w="1865" w:type="dxa"/>
                  <w:tcBorders>
                    <w:tl2br w:val="nil"/>
                    <w:tr2bl w:val="nil"/>
                  </w:tcBorders>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喷水强度</w:t>
                  </w:r>
                </w:p>
                <w:p>
                  <w:pPr>
                    <w:jc w:val="center"/>
                    <w:rPr>
                      <w:rFonts w:hint="default" w:ascii="Times New Roman" w:hAnsi="Times New Roman" w:cs="Times New Roman"/>
                      <w:sz w:val="21"/>
                      <w:szCs w:val="21"/>
                    </w:rPr>
                  </w:pPr>
                  <w:r>
                    <w:rPr>
                      <w:rFonts w:hint="default" w:ascii="Times New Roman" w:hAnsi="Times New Roman" w:cs="Times New Roman"/>
                      <w:sz w:val="21"/>
                      <w:szCs w:val="21"/>
                    </w:rPr>
                    <w:t>（L/min</w:t>
                  </w:r>
                  <w:r>
                    <w:rPr>
                      <w:rFonts w:hint="eastAsia" w:ascii="Times New Roman" w:hAnsi="Times New Roman" w:cs="Times New Roman"/>
                      <w:sz w:val="21"/>
                      <w:szCs w:val="21"/>
                      <w:lang w:val="en-US" w:eastAsia="zh-CN"/>
                    </w:rPr>
                    <w:t>·</w:t>
                  </w:r>
                  <w:r>
                    <w:rPr>
                      <w:rFonts w:hint="default" w:ascii="Times New Roman" w:hAnsi="Times New Roman" w:cs="Times New Roman"/>
                      <w:sz w:val="21"/>
                      <w:szCs w:val="21"/>
                    </w:rPr>
                    <w:t>个）</w:t>
                  </w:r>
                </w:p>
              </w:tc>
              <w:tc>
                <w:tcPr>
                  <w:tcW w:w="1537" w:type="dxa"/>
                  <w:tcBorders>
                    <w:tl2br w:val="nil"/>
                    <w:tr2bl w:val="nil"/>
                  </w:tcBorders>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喷水时间</w:t>
                  </w:r>
                </w:p>
                <w:p>
                  <w:pPr>
                    <w:jc w:val="center"/>
                    <w:rPr>
                      <w:rFonts w:hint="default" w:ascii="Times New Roman" w:hAnsi="Times New Roman" w:cs="Times New Roman"/>
                      <w:sz w:val="21"/>
                      <w:szCs w:val="21"/>
                    </w:rPr>
                  </w:pPr>
                  <w:r>
                    <w:rPr>
                      <w:rFonts w:hint="default" w:ascii="Times New Roman" w:hAnsi="Times New Roman" w:cs="Times New Roman"/>
                      <w:sz w:val="21"/>
                      <w:szCs w:val="21"/>
                    </w:rPr>
                    <w:t>（h/d）</w:t>
                  </w:r>
                </w:p>
              </w:tc>
              <w:tc>
                <w:tcPr>
                  <w:tcW w:w="1554" w:type="dxa"/>
                  <w:tcBorders>
                    <w:tl2br w:val="nil"/>
                    <w:tr2bl w:val="nil"/>
                  </w:tcBorders>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喷水量</w:t>
                  </w:r>
                </w:p>
                <w:p>
                  <w:pPr>
                    <w:jc w:val="center"/>
                    <w:rPr>
                      <w:rFonts w:hint="default" w:ascii="Times New Roman" w:hAnsi="Times New Roman" w:cs="Times New Roman"/>
                      <w:sz w:val="21"/>
                      <w:szCs w:val="21"/>
                    </w:rPr>
                  </w:pPr>
                  <w:r>
                    <w:rPr>
                      <w:rFonts w:hint="default" w:ascii="Times New Roman" w:hAnsi="Times New Roman" w:cs="Times New Roman"/>
                      <w:sz w:val="21"/>
                      <w:szCs w:val="21"/>
                    </w:rPr>
                    <w:t>（m</w:t>
                  </w:r>
                  <w:r>
                    <w:rPr>
                      <w:rFonts w:hint="default" w:ascii="Times New Roman" w:hAnsi="Times New Roman" w:cs="Times New Roman"/>
                      <w:sz w:val="21"/>
                      <w:szCs w:val="21"/>
                      <w:vertAlign w:val="superscript"/>
                    </w:rPr>
                    <w:t>3</w:t>
                  </w:r>
                  <w:r>
                    <w:rPr>
                      <w:rFonts w:hint="default" w:ascii="Times New Roman" w:hAnsi="Times New Roman" w:cs="Times New Roman"/>
                      <w:sz w:val="21"/>
                      <w:szCs w:val="21"/>
                    </w:rPr>
                    <w:t>/d）</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520" w:type="dxa"/>
                  <w:tcBorders>
                    <w:tl2br w:val="nil"/>
                    <w:tr2bl w:val="nil"/>
                  </w:tcBorders>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原料堆场（卸料点）</w:t>
                  </w:r>
                </w:p>
              </w:tc>
              <w:tc>
                <w:tcPr>
                  <w:tcW w:w="1520" w:type="dxa"/>
                  <w:tcBorders>
                    <w:tl2br w:val="nil"/>
                    <w:tr2bl w:val="nil"/>
                  </w:tcBorders>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干雾喷嘴</w:t>
                  </w:r>
                </w:p>
                <w:p>
                  <w:pPr>
                    <w:jc w:val="center"/>
                    <w:rPr>
                      <w:rFonts w:hint="default" w:ascii="Times New Roman" w:hAnsi="Times New Roman" w:cs="Times New Roman"/>
                      <w:sz w:val="21"/>
                      <w:szCs w:val="21"/>
                    </w:rPr>
                  </w:pPr>
                  <w:r>
                    <w:rPr>
                      <w:rFonts w:hint="default" w:ascii="Times New Roman" w:hAnsi="Times New Roman" w:cs="Times New Roman"/>
                      <w:sz w:val="21"/>
                      <w:szCs w:val="21"/>
                    </w:rPr>
                    <w:t>（10个）</w:t>
                  </w:r>
                </w:p>
              </w:tc>
              <w:tc>
                <w:tcPr>
                  <w:tcW w:w="1865" w:type="dxa"/>
                  <w:tcBorders>
                    <w:tl2br w:val="nil"/>
                    <w:tr2bl w:val="nil"/>
                  </w:tcBorders>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0.5L/min</w:t>
                  </w:r>
                  <w:r>
                    <w:rPr>
                      <w:rFonts w:hint="eastAsia" w:ascii="Times New Roman" w:hAnsi="Times New Roman" w:cs="Times New Roman"/>
                      <w:sz w:val="21"/>
                      <w:szCs w:val="21"/>
                      <w:lang w:val="en-US" w:eastAsia="zh-CN"/>
                    </w:rPr>
                    <w:t>·</w:t>
                  </w:r>
                  <w:r>
                    <w:rPr>
                      <w:rFonts w:hint="default" w:ascii="Times New Roman" w:hAnsi="Times New Roman" w:cs="Times New Roman"/>
                      <w:sz w:val="21"/>
                      <w:szCs w:val="21"/>
                    </w:rPr>
                    <w:t>个</w:t>
                  </w:r>
                </w:p>
              </w:tc>
              <w:tc>
                <w:tcPr>
                  <w:tcW w:w="1537" w:type="dxa"/>
                  <w:tcBorders>
                    <w:tl2br w:val="nil"/>
                    <w:tr2bl w:val="nil"/>
                  </w:tcBorders>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10</w:t>
                  </w:r>
                </w:p>
              </w:tc>
              <w:tc>
                <w:tcPr>
                  <w:tcW w:w="1554" w:type="dxa"/>
                  <w:tcBorders>
                    <w:tl2br w:val="nil"/>
                    <w:tr2bl w:val="nil"/>
                  </w:tcBorders>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3</w:t>
                  </w:r>
                </w:p>
              </w:tc>
            </w:tr>
          </w:tbl>
          <w:p>
            <w:pPr>
              <w:pStyle w:val="73"/>
              <w:spacing w:after="0" w:line="440" w:lineRule="exact"/>
              <w:ind w:right="-120" w:firstLine="480"/>
              <w:rPr>
                <w:rFonts w:hint="default" w:ascii="Times New Roman" w:hAnsi="Times New Roman" w:cs="Times New Roman"/>
                <w:color w:val="auto"/>
                <w:sz w:val="24"/>
              </w:rPr>
            </w:pPr>
            <w:r>
              <w:rPr>
                <w:rFonts w:hint="default" w:ascii="Times New Roman" w:hAnsi="Times New Roman" w:cs="Times New Roman"/>
                <w:color w:val="auto"/>
                <w:sz w:val="24"/>
              </w:rPr>
              <w:t>由上表可知，项目用于原料堆场抑尘的用水量为3m</w:t>
            </w:r>
            <w:r>
              <w:rPr>
                <w:rFonts w:hint="default" w:ascii="Times New Roman" w:hAnsi="Times New Roman" w:cs="Times New Roman"/>
                <w:color w:val="auto"/>
                <w:sz w:val="24"/>
                <w:vertAlign w:val="superscript"/>
              </w:rPr>
              <w:t>3</w:t>
            </w:r>
            <w:r>
              <w:rPr>
                <w:rFonts w:hint="default" w:ascii="Times New Roman" w:hAnsi="Times New Roman" w:cs="Times New Roman"/>
                <w:color w:val="auto"/>
                <w:sz w:val="24"/>
              </w:rPr>
              <w:t>/d，其中损耗量按10%计，即损耗0.3m</w:t>
            </w:r>
            <w:r>
              <w:rPr>
                <w:rFonts w:hint="default" w:ascii="Times New Roman" w:hAnsi="Times New Roman" w:cs="Times New Roman"/>
                <w:color w:val="auto"/>
                <w:sz w:val="24"/>
                <w:vertAlign w:val="superscript"/>
              </w:rPr>
              <w:t>3</w:t>
            </w:r>
            <w:r>
              <w:rPr>
                <w:rFonts w:hint="default" w:ascii="Times New Roman" w:hAnsi="Times New Roman" w:cs="Times New Roman"/>
                <w:color w:val="auto"/>
                <w:sz w:val="24"/>
              </w:rPr>
              <w:t>/d。</w:t>
            </w:r>
          </w:p>
          <w:p>
            <w:pPr>
              <w:pStyle w:val="73"/>
              <w:spacing w:after="0" w:line="440" w:lineRule="exact"/>
              <w:ind w:left="480" w:leftChars="200" w:right="-120" w:firstLine="0" w:firstLineChars="0"/>
              <w:rPr>
                <w:rFonts w:hint="default" w:ascii="Times New Roman" w:hAnsi="Times New Roman" w:cs="Times New Roman"/>
                <w:color w:val="auto"/>
                <w:sz w:val="24"/>
              </w:rPr>
            </w:pPr>
            <w:r>
              <w:rPr>
                <w:rFonts w:hint="default" w:ascii="Times New Roman" w:hAnsi="Times New Roman" w:cs="Times New Roman"/>
                <w:color w:val="auto"/>
                <w:sz w:val="24"/>
              </w:rPr>
              <w:t>②破碎、筛分</w:t>
            </w:r>
          </w:p>
          <w:p>
            <w:pPr>
              <w:pStyle w:val="73"/>
              <w:spacing w:after="0" w:line="440" w:lineRule="exact"/>
              <w:ind w:right="-120" w:firstLine="480"/>
              <w:rPr>
                <w:rFonts w:hint="default" w:ascii="Times New Roman" w:hAnsi="Times New Roman" w:cs="Times New Roman"/>
                <w:color w:val="auto"/>
                <w:sz w:val="24"/>
              </w:rPr>
            </w:pPr>
            <w:r>
              <w:rPr>
                <w:rFonts w:hint="default" w:ascii="Times New Roman" w:hAnsi="Times New Roman" w:cs="Times New Roman"/>
                <w:color w:val="auto"/>
                <w:sz w:val="24"/>
              </w:rPr>
              <w:t>本项目在破碎、筛分工序采用喷水抑尘，初破、筛分、二破均采取喷淋抑尘措施，在破碎机进料口上方、设备内和振动筛上方分别设置喷淋水管。</w:t>
            </w:r>
          </w:p>
          <w:p>
            <w:pPr>
              <w:pStyle w:val="73"/>
              <w:spacing w:after="0" w:line="440" w:lineRule="exact"/>
              <w:ind w:right="-120" w:firstLine="480"/>
              <w:rPr>
                <w:rFonts w:hint="default" w:ascii="Times New Roman" w:hAnsi="Times New Roman" w:cs="Times New Roman"/>
                <w:color w:val="auto"/>
                <w:sz w:val="24"/>
              </w:rPr>
            </w:pPr>
            <w:r>
              <w:rPr>
                <w:rFonts w:hint="default" w:ascii="Times New Roman" w:hAnsi="Times New Roman" w:cs="Times New Roman"/>
                <w:color w:val="auto"/>
                <w:sz w:val="24"/>
              </w:rPr>
              <w:t>原料含水率为8%，为了有效抑制在破碎、筛分过程产生的粉尘，</w:t>
            </w:r>
            <w:r>
              <w:rPr>
                <w:rFonts w:hint="default" w:ascii="Times New Roman" w:hAnsi="Times New Roman" w:cs="Times New Roman"/>
                <w:sz w:val="24"/>
              </w:rPr>
              <w:t>物料应浇湿，使其</w:t>
            </w:r>
            <w:r>
              <w:rPr>
                <w:rFonts w:hint="default" w:ascii="Times New Roman" w:hAnsi="Times New Roman" w:cs="Times New Roman"/>
                <w:sz w:val="24"/>
                <w:lang w:val="en-US" w:eastAsia="zh-CN"/>
              </w:rPr>
              <w:t>表面含水率</w:t>
            </w:r>
            <w:r>
              <w:rPr>
                <w:rFonts w:hint="default" w:ascii="Times New Roman" w:hAnsi="Times New Roman" w:cs="Times New Roman"/>
                <w:sz w:val="24"/>
              </w:rPr>
              <w:t>达到10%以上</w:t>
            </w:r>
            <w:r>
              <w:rPr>
                <w:rFonts w:hint="default" w:ascii="Times New Roman" w:hAnsi="Times New Roman" w:cs="Times New Roman"/>
                <w:color w:val="auto"/>
                <w:sz w:val="24"/>
              </w:rPr>
              <w:t>。参考《逸散性工业粉尘控制技术》第十八章粒料加工控制技术，本项目初破工序喷淋用水量为0.02m</w:t>
            </w:r>
            <w:r>
              <w:rPr>
                <w:rFonts w:hint="default" w:ascii="Times New Roman" w:hAnsi="Times New Roman" w:cs="Times New Roman"/>
                <w:color w:val="auto"/>
                <w:sz w:val="24"/>
                <w:vertAlign w:val="superscript"/>
              </w:rPr>
              <w:t>3</w:t>
            </w:r>
            <w:r>
              <w:rPr>
                <w:rFonts w:hint="default" w:ascii="Times New Roman" w:hAnsi="Times New Roman" w:cs="Times New Roman"/>
                <w:color w:val="auto"/>
                <w:sz w:val="24"/>
              </w:rPr>
              <w:t>/t物料；初破工序物料喷淋浇湿后，筛分及二破的物料含水率较高，喷淋用水量可大幅减少，喷淋水量分别取0.002m</w:t>
            </w:r>
            <w:r>
              <w:rPr>
                <w:rFonts w:hint="default" w:ascii="Times New Roman" w:hAnsi="Times New Roman" w:cs="Times New Roman"/>
                <w:color w:val="auto"/>
                <w:sz w:val="24"/>
                <w:vertAlign w:val="superscript"/>
              </w:rPr>
              <w:t>3</w:t>
            </w:r>
            <w:r>
              <w:rPr>
                <w:rFonts w:hint="default" w:ascii="Times New Roman" w:hAnsi="Times New Roman" w:cs="Times New Roman"/>
                <w:color w:val="auto"/>
                <w:sz w:val="24"/>
              </w:rPr>
              <w:t>/t物料和0.001m</w:t>
            </w:r>
            <w:r>
              <w:rPr>
                <w:rFonts w:hint="default" w:ascii="Times New Roman" w:hAnsi="Times New Roman" w:cs="Times New Roman"/>
                <w:color w:val="auto"/>
                <w:sz w:val="24"/>
                <w:vertAlign w:val="superscript"/>
              </w:rPr>
              <w:t>3</w:t>
            </w:r>
            <w:r>
              <w:rPr>
                <w:rFonts w:hint="default" w:ascii="Times New Roman" w:hAnsi="Times New Roman" w:cs="Times New Roman"/>
                <w:color w:val="auto"/>
                <w:sz w:val="24"/>
              </w:rPr>
              <w:t>/t物料。初破、筛分物料处理量各为10万t/a，二破物料处理量为4万t/a，则初破喷淋用水量为2000m</w:t>
            </w:r>
            <w:r>
              <w:rPr>
                <w:rFonts w:hint="default" w:ascii="Times New Roman" w:hAnsi="Times New Roman" w:cs="Times New Roman"/>
                <w:color w:val="auto"/>
                <w:sz w:val="24"/>
                <w:vertAlign w:val="superscript"/>
              </w:rPr>
              <w:t>3</w:t>
            </w:r>
            <w:r>
              <w:rPr>
                <w:rFonts w:hint="default" w:ascii="Times New Roman" w:hAnsi="Times New Roman" w:cs="Times New Roman"/>
                <w:color w:val="auto"/>
                <w:sz w:val="24"/>
              </w:rPr>
              <w:t>/a（6.67m</w:t>
            </w:r>
            <w:r>
              <w:rPr>
                <w:rFonts w:hint="default" w:ascii="Times New Roman" w:hAnsi="Times New Roman" w:cs="Times New Roman"/>
                <w:color w:val="auto"/>
                <w:sz w:val="24"/>
                <w:vertAlign w:val="superscript"/>
              </w:rPr>
              <w:t>3</w:t>
            </w:r>
            <w:r>
              <w:rPr>
                <w:rFonts w:hint="default" w:ascii="Times New Roman" w:hAnsi="Times New Roman" w:cs="Times New Roman"/>
                <w:color w:val="auto"/>
                <w:sz w:val="24"/>
              </w:rPr>
              <w:t>/d），筛分和二破喷淋用水量分别为200m</w:t>
            </w:r>
            <w:r>
              <w:rPr>
                <w:rFonts w:hint="default" w:ascii="Times New Roman" w:hAnsi="Times New Roman" w:cs="Times New Roman"/>
                <w:color w:val="auto"/>
                <w:sz w:val="24"/>
                <w:vertAlign w:val="superscript"/>
              </w:rPr>
              <w:t>3</w:t>
            </w:r>
            <w:r>
              <w:rPr>
                <w:rFonts w:hint="default" w:ascii="Times New Roman" w:hAnsi="Times New Roman" w:cs="Times New Roman"/>
                <w:color w:val="auto"/>
                <w:sz w:val="24"/>
              </w:rPr>
              <w:t>/a（0.67m</w:t>
            </w:r>
            <w:r>
              <w:rPr>
                <w:rFonts w:hint="default" w:ascii="Times New Roman" w:hAnsi="Times New Roman" w:cs="Times New Roman"/>
                <w:color w:val="auto"/>
                <w:sz w:val="24"/>
                <w:vertAlign w:val="superscript"/>
              </w:rPr>
              <w:t>3</w:t>
            </w:r>
            <w:r>
              <w:rPr>
                <w:rFonts w:hint="default" w:ascii="Times New Roman" w:hAnsi="Times New Roman" w:cs="Times New Roman"/>
                <w:color w:val="auto"/>
                <w:sz w:val="24"/>
              </w:rPr>
              <w:t>/d）、40m</w:t>
            </w:r>
            <w:r>
              <w:rPr>
                <w:rFonts w:hint="default" w:ascii="Times New Roman" w:hAnsi="Times New Roman" w:cs="Times New Roman"/>
                <w:color w:val="auto"/>
                <w:sz w:val="24"/>
                <w:vertAlign w:val="superscript"/>
              </w:rPr>
              <w:t>3</w:t>
            </w:r>
            <w:r>
              <w:rPr>
                <w:rFonts w:hint="default" w:ascii="Times New Roman" w:hAnsi="Times New Roman" w:cs="Times New Roman"/>
                <w:color w:val="auto"/>
                <w:sz w:val="24"/>
              </w:rPr>
              <w:t>/a（0.13m</w:t>
            </w:r>
            <w:r>
              <w:rPr>
                <w:rFonts w:hint="default" w:ascii="Times New Roman" w:hAnsi="Times New Roman" w:cs="Times New Roman"/>
                <w:color w:val="auto"/>
                <w:sz w:val="24"/>
                <w:vertAlign w:val="superscript"/>
              </w:rPr>
              <w:t>3</w:t>
            </w:r>
            <w:r>
              <w:rPr>
                <w:rFonts w:hint="default" w:ascii="Times New Roman" w:hAnsi="Times New Roman" w:cs="Times New Roman"/>
                <w:color w:val="auto"/>
                <w:sz w:val="24"/>
              </w:rPr>
              <w:t>/d），总喷淋用水量合计为2240m</w:t>
            </w:r>
            <w:r>
              <w:rPr>
                <w:rFonts w:hint="default" w:ascii="Times New Roman" w:hAnsi="Times New Roman" w:cs="Times New Roman"/>
                <w:color w:val="auto"/>
                <w:sz w:val="24"/>
                <w:vertAlign w:val="superscript"/>
              </w:rPr>
              <w:t>3</w:t>
            </w:r>
            <w:r>
              <w:rPr>
                <w:rFonts w:hint="default" w:ascii="Times New Roman" w:hAnsi="Times New Roman" w:cs="Times New Roman"/>
                <w:color w:val="auto"/>
                <w:sz w:val="24"/>
              </w:rPr>
              <w:t>/a（7.47m</w:t>
            </w:r>
            <w:r>
              <w:rPr>
                <w:rFonts w:hint="default" w:ascii="Times New Roman" w:hAnsi="Times New Roman" w:cs="Times New Roman"/>
                <w:color w:val="auto"/>
                <w:sz w:val="24"/>
                <w:vertAlign w:val="superscript"/>
              </w:rPr>
              <w:t>3</w:t>
            </w:r>
            <w:r>
              <w:rPr>
                <w:rFonts w:hint="default" w:ascii="Times New Roman" w:hAnsi="Times New Roman" w:cs="Times New Roman"/>
                <w:color w:val="auto"/>
                <w:sz w:val="24"/>
              </w:rPr>
              <w:t>/d）。</w:t>
            </w:r>
          </w:p>
          <w:p>
            <w:pPr>
              <w:pStyle w:val="73"/>
              <w:spacing w:after="0" w:line="440" w:lineRule="exact"/>
              <w:ind w:right="-120" w:firstLine="480"/>
              <w:rPr>
                <w:rFonts w:hint="default" w:ascii="Times New Roman" w:hAnsi="Times New Roman" w:cs="Times New Roman"/>
                <w:color w:val="auto"/>
                <w:sz w:val="24"/>
              </w:rPr>
            </w:pPr>
            <w:r>
              <w:rPr>
                <w:rFonts w:hint="default" w:ascii="Times New Roman" w:hAnsi="Times New Roman" w:cs="Times New Roman"/>
                <w:color w:val="auto"/>
                <w:sz w:val="24"/>
              </w:rPr>
              <w:t>破碎筛分总用水量为36.84m</w:t>
            </w:r>
            <w:r>
              <w:rPr>
                <w:rFonts w:hint="default" w:ascii="Times New Roman" w:hAnsi="Times New Roman" w:cs="Times New Roman"/>
                <w:color w:val="auto"/>
                <w:sz w:val="24"/>
                <w:vertAlign w:val="superscript"/>
              </w:rPr>
              <w:t>3</w:t>
            </w:r>
            <w:r>
              <w:rPr>
                <w:rFonts w:hint="default" w:ascii="Times New Roman" w:hAnsi="Times New Roman" w:cs="Times New Roman"/>
                <w:color w:val="auto"/>
                <w:sz w:val="24"/>
              </w:rPr>
              <w:t>/d（原料带入水29.37m</w:t>
            </w:r>
            <w:r>
              <w:rPr>
                <w:rFonts w:hint="default" w:ascii="Times New Roman" w:hAnsi="Times New Roman" w:cs="Times New Roman"/>
                <w:color w:val="auto"/>
                <w:sz w:val="24"/>
                <w:vertAlign w:val="superscript"/>
              </w:rPr>
              <w:t>3</w:t>
            </w:r>
            <w:r>
              <w:rPr>
                <w:rFonts w:hint="default" w:ascii="Times New Roman" w:hAnsi="Times New Roman" w:cs="Times New Roman"/>
                <w:color w:val="auto"/>
                <w:sz w:val="24"/>
              </w:rPr>
              <w:t>/d，喷淋用水7.47m</w:t>
            </w:r>
            <w:r>
              <w:rPr>
                <w:rFonts w:hint="default" w:ascii="Times New Roman" w:hAnsi="Times New Roman" w:cs="Times New Roman"/>
                <w:color w:val="auto"/>
                <w:sz w:val="24"/>
                <w:vertAlign w:val="superscript"/>
              </w:rPr>
              <w:t>3</w:t>
            </w:r>
            <w:r>
              <w:rPr>
                <w:rFonts w:hint="default" w:ascii="Times New Roman" w:hAnsi="Times New Roman" w:cs="Times New Roman"/>
                <w:color w:val="auto"/>
                <w:sz w:val="24"/>
              </w:rPr>
              <w:t>/d），用水量部分损耗，部分进入产品，损耗量按水量的10%计算，则破碎、筛分用水损耗量为3.68m</w:t>
            </w:r>
            <w:r>
              <w:rPr>
                <w:rFonts w:hint="default" w:ascii="Times New Roman" w:hAnsi="Times New Roman" w:cs="Times New Roman"/>
                <w:color w:val="auto"/>
                <w:sz w:val="24"/>
                <w:vertAlign w:val="superscript"/>
              </w:rPr>
              <w:t>3</w:t>
            </w:r>
            <w:r>
              <w:rPr>
                <w:rFonts w:hint="default" w:ascii="Times New Roman" w:hAnsi="Times New Roman" w:cs="Times New Roman"/>
                <w:color w:val="auto"/>
                <w:sz w:val="24"/>
              </w:rPr>
              <w:t>/d，其余33.16m</w:t>
            </w:r>
            <w:r>
              <w:rPr>
                <w:rFonts w:hint="default" w:ascii="Times New Roman" w:hAnsi="Times New Roman" w:cs="Times New Roman"/>
                <w:color w:val="auto"/>
                <w:sz w:val="24"/>
                <w:vertAlign w:val="superscript"/>
              </w:rPr>
              <w:t>3</w:t>
            </w:r>
            <w:r>
              <w:rPr>
                <w:rFonts w:hint="default" w:ascii="Times New Roman" w:hAnsi="Times New Roman" w:cs="Times New Roman"/>
                <w:color w:val="auto"/>
                <w:sz w:val="24"/>
              </w:rPr>
              <w:t>/d随物料进入后续生产工序。</w:t>
            </w:r>
          </w:p>
          <w:p>
            <w:pPr>
              <w:pStyle w:val="73"/>
              <w:spacing w:after="0" w:line="440" w:lineRule="exact"/>
              <w:ind w:left="480" w:leftChars="200" w:right="-120" w:firstLine="0" w:firstLineChars="0"/>
              <w:rPr>
                <w:rFonts w:hint="default" w:ascii="Times New Roman" w:hAnsi="Times New Roman" w:cs="Times New Roman"/>
                <w:color w:val="auto"/>
                <w:sz w:val="24"/>
              </w:rPr>
            </w:pPr>
            <w:r>
              <w:rPr>
                <w:rFonts w:hint="default" w:ascii="Times New Roman" w:hAnsi="Times New Roman" w:cs="Times New Roman"/>
                <w:color w:val="auto"/>
                <w:sz w:val="24"/>
              </w:rPr>
              <w:t>③干式磁选</w:t>
            </w:r>
          </w:p>
          <w:p>
            <w:pPr>
              <w:spacing w:line="440" w:lineRule="exact"/>
              <w:ind w:firstLine="480"/>
              <w:rPr>
                <w:rFonts w:hint="default" w:ascii="Times New Roman" w:hAnsi="Times New Roman" w:cs="Times New Roman"/>
              </w:rPr>
            </w:pPr>
            <w:r>
              <w:rPr>
                <w:rFonts w:hint="default" w:ascii="Times New Roman" w:hAnsi="Times New Roman" w:cs="Times New Roman"/>
              </w:rPr>
              <w:t>干式磁选工序不需用水。物料经干式磁选后产生非磁性物料和磁性物料，磁性物料进入下一工序；非磁性物料作为尾渣出售，带走水量约10.67m</w:t>
            </w:r>
            <w:r>
              <w:rPr>
                <w:rFonts w:hint="default" w:ascii="Times New Roman" w:hAnsi="Times New Roman" w:cs="Times New Roman"/>
                <w:vertAlign w:val="superscript"/>
              </w:rPr>
              <w:t>3</w:t>
            </w:r>
            <w:r>
              <w:rPr>
                <w:rFonts w:hint="default" w:ascii="Times New Roman" w:hAnsi="Times New Roman" w:cs="Times New Roman"/>
              </w:rPr>
              <w:t>/d。</w:t>
            </w:r>
          </w:p>
          <w:p>
            <w:pPr>
              <w:pStyle w:val="34"/>
              <w:spacing w:before="120"/>
              <w:ind w:firstLine="422"/>
              <w:rPr>
                <w:rFonts w:hint="default" w:ascii="Times New Roman" w:hAnsi="Times New Roman" w:cs="Times New Roman"/>
              </w:rPr>
            </w:pPr>
            <w:r>
              <w:rPr>
                <w:rFonts w:hint="default" w:ascii="Times New Roman" w:hAnsi="Times New Roman" w:cs="Times New Roman"/>
                <w:b/>
                <w:bCs/>
                <w:sz w:val="21"/>
                <w:szCs w:val="21"/>
              </w:rPr>
              <w:t>表2.2-7干式磁选尾渣带走水</w:t>
            </w:r>
          </w:p>
          <w:tbl>
            <w:tblPr>
              <w:tblStyle w:val="26"/>
              <w:tblW w:w="7996"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475"/>
              <w:gridCol w:w="1680"/>
              <w:gridCol w:w="1995"/>
              <w:gridCol w:w="1846"/>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2475" w:type="dxa"/>
                  <w:tcBorders>
                    <w:tl2br w:val="nil"/>
                    <w:tr2bl w:val="nil"/>
                  </w:tcBorders>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产品</w:t>
                  </w:r>
                </w:p>
              </w:tc>
              <w:tc>
                <w:tcPr>
                  <w:tcW w:w="1680" w:type="dxa"/>
                  <w:tcBorders>
                    <w:tl2br w:val="nil"/>
                    <w:tr2bl w:val="nil"/>
                  </w:tcBorders>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产量（</w:t>
                  </w:r>
                  <w:r>
                    <w:rPr>
                      <w:rFonts w:hint="default" w:ascii="Times New Roman" w:hAnsi="Times New Roman" w:cs="Times New Roman"/>
                    </w:rPr>
                    <w:t>t</w:t>
                  </w:r>
                  <w:r>
                    <w:rPr>
                      <w:rFonts w:hint="default" w:ascii="Times New Roman" w:hAnsi="Times New Roman" w:cs="Times New Roman"/>
                      <w:sz w:val="21"/>
                      <w:szCs w:val="21"/>
                    </w:rPr>
                    <w:t>）</w:t>
                  </w:r>
                </w:p>
              </w:tc>
              <w:tc>
                <w:tcPr>
                  <w:tcW w:w="1995" w:type="dxa"/>
                  <w:tcBorders>
                    <w:tl2br w:val="nil"/>
                    <w:tr2bl w:val="nil"/>
                  </w:tcBorders>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物料含水率（%）</w:t>
                  </w:r>
                </w:p>
              </w:tc>
              <w:tc>
                <w:tcPr>
                  <w:tcW w:w="1846" w:type="dxa"/>
                  <w:tcBorders>
                    <w:tl2br w:val="nil"/>
                    <w:tr2bl w:val="nil"/>
                  </w:tcBorders>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带走水（m</w:t>
                  </w:r>
                  <w:r>
                    <w:rPr>
                      <w:rFonts w:hint="default" w:ascii="Times New Roman" w:hAnsi="Times New Roman" w:cs="Times New Roman"/>
                      <w:sz w:val="21"/>
                      <w:szCs w:val="21"/>
                      <w:vertAlign w:val="superscript"/>
                    </w:rPr>
                    <w:t>3</w:t>
                  </w:r>
                  <w:r>
                    <w:rPr>
                      <w:rFonts w:hint="default" w:ascii="Times New Roman" w:hAnsi="Times New Roman" w:cs="Times New Roman"/>
                      <w:sz w:val="21"/>
                      <w:szCs w:val="21"/>
                    </w:rPr>
                    <w:t>/d）</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2475" w:type="dxa"/>
                  <w:tcBorders>
                    <w:tl2br w:val="nil"/>
                    <w:tr2bl w:val="nil"/>
                  </w:tcBorders>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干选尾渣</w:t>
                  </w:r>
                </w:p>
              </w:tc>
              <w:tc>
                <w:tcPr>
                  <w:tcW w:w="1680" w:type="dxa"/>
                  <w:tcBorders>
                    <w:tl2br w:val="nil"/>
                    <w:tr2bl w:val="nil"/>
                  </w:tcBorders>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40000</w:t>
                  </w:r>
                </w:p>
              </w:tc>
              <w:tc>
                <w:tcPr>
                  <w:tcW w:w="1995" w:type="dxa"/>
                  <w:tcBorders>
                    <w:tl2br w:val="nil"/>
                    <w:tr2bl w:val="nil"/>
                  </w:tcBorders>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8</w:t>
                  </w:r>
                </w:p>
              </w:tc>
              <w:tc>
                <w:tcPr>
                  <w:tcW w:w="1846" w:type="dxa"/>
                  <w:tcBorders>
                    <w:tl2br w:val="nil"/>
                    <w:tr2bl w:val="nil"/>
                  </w:tcBorders>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10.67</w:t>
                  </w:r>
                </w:p>
              </w:tc>
            </w:tr>
          </w:tbl>
          <w:p>
            <w:pPr>
              <w:pStyle w:val="73"/>
              <w:spacing w:after="0" w:line="440" w:lineRule="exact"/>
              <w:ind w:left="480" w:leftChars="200" w:right="-120" w:firstLine="0" w:firstLineChars="0"/>
              <w:rPr>
                <w:rFonts w:hint="default" w:ascii="Times New Roman" w:hAnsi="Times New Roman" w:cs="Times New Roman"/>
                <w:color w:val="auto"/>
                <w:sz w:val="24"/>
              </w:rPr>
            </w:pPr>
            <w:r>
              <w:rPr>
                <w:rFonts w:hint="default" w:ascii="Times New Roman" w:hAnsi="Times New Roman" w:cs="Times New Roman"/>
                <w:color w:val="auto"/>
                <w:sz w:val="24"/>
              </w:rPr>
              <w:t>④湿式球磨、分级</w:t>
            </w:r>
          </w:p>
          <w:p>
            <w:pPr>
              <w:spacing w:line="440" w:lineRule="exact"/>
              <w:ind w:firstLine="480"/>
              <w:rPr>
                <w:rFonts w:hint="default" w:ascii="Times New Roman" w:hAnsi="Times New Roman" w:cs="Times New Roman"/>
              </w:rPr>
            </w:pPr>
            <w:r>
              <w:rPr>
                <w:rFonts w:hint="default" w:ascii="Times New Roman" w:hAnsi="Times New Roman" w:cs="Times New Roman"/>
              </w:rPr>
              <w:t>干式磁选后的磁性物料进入球磨机，加水进行球磨；球磨后的物料与水一并进入螺旋分级机，螺旋分级机不需补充水，螺旋分级机的细粉料与水进入湿式磁选机，粗粉料返回球磨工序再次球磨后进入湿式磁选机。球磨用水量约为物料的30%。球磨机物料处理量33.33t/h，用水量为10m</w:t>
            </w:r>
            <w:r>
              <w:rPr>
                <w:rFonts w:hint="default" w:ascii="Times New Roman" w:hAnsi="Times New Roman" w:cs="Times New Roman"/>
                <w:vertAlign w:val="superscript"/>
              </w:rPr>
              <w:t>3</w:t>
            </w:r>
            <w:r>
              <w:rPr>
                <w:rFonts w:hint="default" w:ascii="Times New Roman" w:hAnsi="Times New Roman" w:cs="Times New Roman"/>
              </w:rPr>
              <w:t>/h（100m</w:t>
            </w:r>
            <w:r>
              <w:rPr>
                <w:rFonts w:hint="default" w:ascii="Times New Roman" w:hAnsi="Times New Roman" w:cs="Times New Roman"/>
                <w:vertAlign w:val="superscript"/>
              </w:rPr>
              <w:t>3</w:t>
            </w:r>
            <w:r>
              <w:rPr>
                <w:rFonts w:hint="default" w:ascii="Times New Roman" w:hAnsi="Times New Roman" w:cs="Times New Roman"/>
              </w:rPr>
              <w:t>/d），其中物料带入水22.49m</w:t>
            </w:r>
            <w:r>
              <w:rPr>
                <w:rFonts w:hint="default" w:ascii="Times New Roman" w:hAnsi="Times New Roman" w:cs="Times New Roman"/>
                <w:vertAlign w:val="superscript"/>
              </w:rPr>
              <w:t>3</w:t>
            </w:r>
            <w:r>
              <w:rPr>
                <w:rFonts w:hint="default" w:ascii="Times New Roman" w:hAnsi="Times New Roman" w:cs="Times New Roman"/>
              </w:rPr>
              <w:t>/d，回用水72m</w:t>
            </w:r>
            <w:r>
              <w:rPr>
                <w:rFonts w:hint="default" w:ascii="Times New Roman" w:hAnsi="Times New Roman" w:cs="Times New Roman"/>
                <w:vertAlign w:val="superscript"/>
              </w:rPr>
              <w:t>3</w:t>
            </w:r>
            <w:r>
              <w:rPr>
                <w:rFonts w:hint="default" w:ascii="Times New Roman" w:hAnsi="Times New Roman" w:cs="Times New Roman"/>
              </w:rPr>
              <w:t>/d，补充新鲜水5.51m</w:t>
            </w:r>
            <w:r>
              <w:rPr>
                <w:rFonts w:hint="default" w:ascii="Times New Roman" w:hAnsi="Times New Roman" w:cs="Times New Roman"/>
                <w:vertAlign w:val="superscript"/>
              </w:rPr>
              <w:t>3</w:t>
            </w:r>
            <w:r>
              <w:rPr>
                <w:rFonts w:hint="default" w:ascii="Times New Roman" w:hAnsi="Times New Roman" w:cs="Times New Roman"/>
              </w:rPr>
              <w:t>/d，损耗水量按用水量3%计，即损耗水量为3m</w:t>
            </w:r>
            <w:r>
              <w:rPr>
                <w:rFonts w:hint="default" w:ascii="Times New Roman" w:hAnsi="Times New Roman" w:cs="Times New Roman"/>
                <w:vertAlign w:val="superscript"/>
              </w:rPr>
              <w:t>3</w:t>
            </w:r>
            <w:r>
              <w:rPr>
                <w:rFonts w:hint="default" w:ascii="Times New Roman" w:hAnsi="Times New Roman" w:cs="Times New Roman"/>
              </w:rPr>
              <w:t>/d。</w:t>
            </w:r>
          </w:p>
          <w:p>
            <w:pPr>
              <w:spacing w:line="440" w:lineRule="exact"/>
              <w:ind w:firstLine="480"/>
              <w:rPr>
                <w:rFonts w:hint="default" w:ascii="Times New Roman" w:hAnsi="Times New Roman" w:cs="Times New Roman"/>
              </w:rPr>
            </w:pPr>
            <w:r>
              <w:rPr>
                <w:rFonts w:hint="default" w:ascii="Times New Roman" w:hAnsi="Times New Roman" w:cs="Times New Roman"/>
              </w:rPr>
              <w:t>⑤湿式磁选、浓缩、压滤</w:t>
            </w:r>
          </w:p>
          <w:p>
            <w:pPr>
              <w:spacing w:line="440" w:lineRule="exact"/>
              <w:ind w:firstLine="480"/>
              <w:rPr>
                <w:rFonts w:hint="default" w:ascii="Times New Roman" w:hAnsi="Times New Roman" w:cs="Times New Roman"/>
              </w:rPr>
            </w:pPr>
            <w:r>
              <w:rPr>
                <w:rFonts w:hint="default" w:ascii="Times New Roman" w:hAnsi="Times New Roman" w:cs="Times New Roman"/>
              </w:rPr>
              <w:t>经球磨、分级后的物料与水进入湿式磁选机。湿式磁选工序用水量为15m</w:t>
            </w:r>
            <w:r>
              <w:rPr>
                <w:rFonts w:hint="default" w:ascii="Times New Roman" w:hAnsi="Times New Roman" w:cs="Times New Roman"/>
                <w:vertAlign w:val="superscript"/>
              </w:rPr>
              <w:t>3</w:t>
            </w:r>
            <w:r>
              <w:rPr>
                <w:rFonts w:hint="default" w:ascii="Times New Roman" w:hAnsi="Times New Roman" w:cs="Times New Roman"/>
              </w:rPr>
              <w:t>/h（150m</w:t>
            </w:r>
            <w:r>
              <w:rPr>
                <w:rFonts w:hint="default" w:ascii="Times New Roman" w:hAnsi="Times New Roman" w:cs="Times New Roman"/>
                <w:vertAlign w:val="superscript"/>
              </w:rPr>
              <w:t>3</w:t>
            </w:r>
            <w:r>
              <w:rPr>
                <w:rFonts w:hint="default" w:ascii="Times New Roman" w:hAnsi="Times New Roman" w:cs="Times New Roman"/>
              </w:rPr>
              <w:t>/d），其中分级机物料带入水97m</w:t>
            </w:r>
            <w:r>
              <w:rPr>
                <w:rFonts w:hint="default" w:ascii="Times New Roman" w:hAnsi="Times New Roman" w:cs="Times New Roman"/>
                <w:vertAlign w:val="superscript"/>
              </w:rPr>
              <w:t>3</w:t>
            </w:r>
            <w:r>
              <w:rPr>
                <w:rFonts w:hint="default" w:ascii="Times New Roman" w:hAnsi="Times New Roman" w:cs="Times New Roman"/>
              </w:rPr>
              <w:t>/d，回用水</w:t>
            </w:r>
            <w:r>
              <w:rPr>
                <w:rFonts w:hint="eastAsia" w:ascii="Times New Roman" w:hAnsi="Times New Roman" w:cs="Times New Roman"/>
                <w:lang w:val="en-US" w:eastAsia="zh-CN"/>
              </w:rPr>
              <w:t xml:space="preserve">   </w:t>
            </w:r>
            <w:r>
              <w:rPr>
                <w:rFonts w:hint="default" w:ascii="Times New Roman" w:hAnsi="Times New Roman" w:cs="Times New Roman"/>
              </w:rPr>
              <w:t>m</w:t>
            </w:r>
            <w:r>
              <w:rPr>
                <w:rFonts w:hint="default" w:ascii="Times New Roman" w:hAnsi="Times New Roman" w:cs="Times New Roman"/>
                <w:vertAlign w:val="superscript"/>
              </w:rPr>
              <w:t>3</w:t>
            </w:r>
            <w:r>
              <w:rPr>
                <w:rFonts w:hint="default" w:ascii="Times New Roman" w:hAnsi="Times New Roman" w:cs="Times New Roman"/>
              </w:rPr>
              <w:t>/d，补充新鲜水1.94m</w:t>
            </w:r>
            <w:r>
              <w:rPr>
                <w:rFonts w:hint="default" w:ascii="Times New Roman" w:hAnsi="Times New Roman" w:cs="Times New Roman"/>
                <w:vertAlign w:val="superscript"/>
              </w:rPr>
              <w:t>3</w:t>
            </w:r>
            <w:r>
              <w:rPr>
                <w:rFonts w:hint="default" w:ascii="Times New Roman" w:hAnsi="Times New Roman" w:cs="Times New Roman"/>
              </w:rPr>
              <w:t>/d。损耗水量按用水量3%计，即损耗水量为4.5m</w:t>
            </w:r>
            <w:r>
              <w:rPr>
                <w:rFonts w:hint="default" w:ascii="Times New Roman" w:hAnsi="Times New Roman" w:cs="Times New Roman"/>
                <w:vertAlign w:val="superscript"/>
              </w:rPr>
              <w:t>3</w:t>
            </w:r>
            <w:r>
              <w:rPr>
                <w:rFonts w:hint="default" w:ascii="Times New Roman" w:hAnsi="Times New Roman" w:cs="Times New Roman"/>
              </w:rPr>
              <w:t>/d。</w:t>
            </w:r>
          </w:p>
          <w:p>
            <w:pPr>
              <w:spacing w:line="440" w:lineRule="exact"/>
              <w:ind w:firstLine="480"/>
              <w:rPr>
                <w:rFonts w:hint="default" w:ascii="Times New Roman" w:hAnsi="Times New Roman" w:cs="Times New Roman"/>
              </w:rPr>
            </w:pPr>
            <w:r>
              <w:rPr>
                <w:rFonts w:hint="default" w:ascii="Times New Roman" w:hAnsi="Times New Roman" w:cs="Times New Roman"/>
              </w:rPr>
              <w:t>经湿式磁选机磁选后的物料分为铁粉（含水）及磁选尾渣（含水）。铁粉通过管道运至铁粉仓，铁粉堆干过程产生的渗滤水通过收集沟收集至“隔油池+沉淀池”处理后回用，渗滤水产生量为61.3m</w:t>
            </w:r>
            <w:r>
              <w:rPr>
                <w:rFonts w:hint="default" w:ascii="Times New Roman" w:hAnsi="Times New Roman" w:cs="Times New Roman"/>
                <w:vertAlign w:val="superscript"/>
              </w:rPr>
              <w:t>3</w:t>
            </w:r>
            <w:r>
              <w:rPr>
                <w:rFonts w:hint="default" w:ascii="Times New Roman" w:hAnsi="Times New Roman" w:cs="Times New Roman"/>
              </w:rPr>
              <w:t>/d；磁选尾渣（含水）通过磁选尾渣管道运至暂存池，经脱水筛脱水后物料分为粗磁选尾渣和细磁选尾渣，粗磁选尾渣直接外售，细磁选尾渣（含水）再经浓缩罐、板框压滤机脱水后外售，浓缩罐浓缩过程产生的废水为55.81m</w:t>
            </w:r>
            <w:r>
              <w:rPr>
                <w:rFonts w:hint="default" w:ascii="Times New Roman" w:hAnsi="Times New Roman" w:cs="Times New Roman"/>
                <w:vertAlign w:val="superscript"/>
              </w:rPr>
              <w:t>3</w:t>
            </w:r>
            <w:r>
              <w:rPr>
                <w:rFonts w:hint="default" w:ascii="Times New Roman" w:hAnsi="Times New Roman" w:cs="Times New Roman"/>
              </w:rPr>
              <w:t>/d，经板框压滤产生的压滤废水为2.97m</w:t>
            </w:r>
            <w:r>
              <w:rPr>
                <w:rFonts w:hint="default" w:ascii="Times New Roman" w:hAnsi="Times New Roman" w:cs="Times New Roman"/>
                <w:vertAlign w:val="superscript"/>
              </w:rPr>
              <w:t>3</w:t>
            </w:r>
            <w:r>
              <w:rPr>
                <w:rFonts w:hint="default" w:ascii="Times New Roman" w:hAnsi="Times New Roman" w:cs="Times New Roman"/>
              </w:rPr>
              <w:t>/d，废水产生量合计120.08m</w:t>
            </w:r>
            <w:r>
              <w:rPr>
                <w:rFonts w:hint="default" w:ascii="Times New Roman" w:hAnsi="Times New Roman" w:cs="Times New Roman"/>
                <w:vertAlign w:val="superscript"/>
              </w:rPr>
              <w:t>3</w:t>
            </w:r>
            <w:r>
              <w:rPr>
                <w:rFonts w:hint="default" w:ascii="Times New Roman" w:hAnsi="Times New Roman" w:cs="Times New Roman"/>
              </w:rPr>
              <w:t>/d，经收集至“隔油池+沉淀池”处理后回用，其中污泥带走水量为0.02m</w:t>
            </w:r>
            <w:r>
              <w:rPr>
                <w:rFonts w:hint="default" w:ascii="Times New Roman" w:hAnsi="Times New Roman" w:cs="Times New Roman"/>
                <w:vertAlign w:val="superscript"/>
              </w:rPr>
              <w:t>3</w:t>
            </w:r>
            <w:r>
              <w:rPr>
                <w:rFonts w:hint="default" w:ascii="Times New Roman" w:hAnsi="Times New Roman" w:cs="Times New Roman"/>
              </w:rPr>
              <w:t>/d。</w:t>
            </w:r>
          </w:p>
          <w:p>
            <w:pPr>
              <w:pStyle w:val="73"/>
              <w:spacing w:after="0" w:line="440" w:lineRule="exact"/>
              <w:ind w:left="480" w:leftChars="200" w:right="-120" w:firstLine="0" w:firstLineChars="0"/>
              <w:rPr>
                <w:rFonts w:hint="default" w:ascii="Times New Roman" w:hAnsi="Times New Roman" w:cs="Times New Roman"/>
                <w:color w:val="auto"/>
                <w:sz w:val="24"/>
              </w:rPr>
            </w:pPr>
            <w:r>
              <w:rPr>
                <w:rFonts w:hint="default" w:ascii="Times New Roman" w:hAnsi="Times New Roman" w:cs="Times New Roman"/>
                <w:color w:val="auto"/>
                <w:sz w:val="24"/>
              </w:rPr>
              <w:t>⑥小结</w:t>
            </w:r>
          </w:p>
          <w:p>
            <w:pPr>
              <w:spacing w:line="440" w:lineRule="exact"/>
              <w:ind w:firstLine="480"/>
              <w:rPr>
                <w:rFonts w:hint="default" w:ascii="Times New Roman" w:hAnsi="Times New Roman" w:cs="Times New Roman"/>
              </w:rPr>
            </w:pPr>
            <w:r>
              <w:rPr>
                <w:rFonts w:hint="default" w:ascii="Times New Roman" w:hAnsi="Times New Roman" w:cs="Times New Roman"/>
              </w:rPr>
              <w:t>项目生产过程中物料用水包括原料带入水、原料堆场喷淋抑尘用水和球磨、湿式磁选用水，用水量共167.65m</w:t>
            </w:r>
            <w:r>
              <w:rPr>
                <w:rFonts w:hint="default" w:ascii="Times New Roman" w:hAnsi="Times New Roman" w:cs="Times New Roman"/>
                <w:vertAlign w:val="superscript"/>
              </w:rPr>
              <w:t>3</w:t>
            </w:r>
            <w:r>
              <w:rPr>
                <w:rFonts w:hint="default" w:ascii="Times New Roman" w:hAnsi="Times New Roman" w:cs="Times New Roman"/>
              </w:rPr>
              <w:t>/d（原料带入水26.67m</w:t>
            </w:r>
            <w:r>
              <w:rPr>
                <w:rFonts w:hint="default" w:ascii="Times New Roman" w:hAnsi="Times New Roman" w:cs="Times New Roman"/>
                <w:vertAlign w:val="superscript"/>
              </w:rPr>
              <w:t>3</w:t>
            </w:r>
            <w:r>
              <w:rPr>
                <w:rFonts w:hint="default" w:ascii="Times New Roman" w:hAnsi="Times New Roman" w:cs="Times New Roman"/>
              </w:rPr>
              <w:t>/d、回用水123.06m</w:t>
            </w:r>
            <w:r>
              <w:rPr>
                <w:rFonts w:hint="default" w:ascii="Times New Roman" w:hAnsi="Times New Roman" w:cs="Times New Roman"/>
                <w:vertAlign w:val="superscript"/>
              </w:rPr>
              <w:t>3</w:t>
            </w:r>
            <w:r>
              <w:rPr>
                <w:rFonts w:hint="default" w:ascii="Times New Roman" w:hAnsi="Times New Roman" w:cs="Times New Roman"/>
              </w:rPr>
              <w:t>/d、新鲜水17.92m</w:t>
            </w:r>
            <w:r>
              <w:rPr>
                <w:rFonts w:hint="default" w:ascii="Times New Roman" w:hAnsi="Times New Roman" w:cs="Times New Roman"/>
                <w:vertAlign w:val="superscript"/>
              </w:rPr>
              <w:t>3</w:t>
            </w:r>
            <w:r>
              <w:rPr>
                <w:rFonts w:hint="default" w:ascii="Times New Roman" w:hAnsi="Times New Roman" w:cs="Times New Roman"/>
              </w:rPr>
              <w:t>/d）；生产中用水损耗量47.59m</w:t>
            </w:r>
            <w:r>
              <w:rPr>
                <w:rFonts w:hint="default" w:ascii="Times New Roman" w:hAnsi="Times New Roman" w:cs="Times New Roman"/>
                <w:vertAlign w:val="superscript"/>
              </w:rPr>
              <w:t>3</w:t>
            </w:r>
            <w:r>
              <w:rPr>
                <w:rFonts w:hint="default" w:ascii="Times New Roman" w:hAnsi="Times New Roman" w:cs="Times New Roman"/>
              </w:rPr>
              <w:t>/d（其中生产过程蒸发损耗11.48m</w:t>
            </w:r>
            <w:r>
              <w:rPr>
                <w:rFonts w:hint="default" w:ascii="Times New Roman" w:hAnsi="Times New Roman" w:cs="Times New Roman"/>
                <w:vertAlign w:val="superscript"/>
              </w:rPr>
              <w:t>3</w:t>
            </w:r>
            <w:r>
              <w:rPr>
                <w:rFonts w:hint="default" w:ascii="Times New Roman" w:hAnsi="Times New Roman" w:cs="Times New Roman"/>
              </w:rPr>
              <w:t>/d，产品、尾渣、污泥带走36.11m</w:t>
            </w:r>
            <w:r>
              <w:rPr>
                <w:rFonts w:hint="default" w:ascii="Times New Roman" w:hAnsi="Times New Roman" w:cs="Times New Roman"/>
                <w:vertAlign w:val="superscript"/>
              </w:rPr>
              <w:t>3</w:t>
            </w:r>
            <w:r>
              <w:rPr>
                <w:rFonts w:hint="default" w:ascii="Times New Roman" w:hAnsi="Times New Roman" w:cs="Times New Roman"/>
              </w:rPr>
              <w:t>/d）、生产废水产生量约123.06m</w:t>
            </w:r>
            <w:r>
              <w:rPr>
                <w:rFonts w:hint="default" w:ascii="Times New Roman" w:hAnsi="Times New Roman" w:cs="Times New Roman"/>
                <w:vertAlign w:val="superscript"/>
              </w:rPr>
              <w:t>3</w:t>
            </w:r>
            <w:r>
              <w:rPr>
                <w:rFonts w:hint="default" w:ascii="Times New Roman" w:hAnsi="Times New Roman" w:cs="Times New Roman"/>
              </w:rPr>
              <w:t>/d（含初期雨水3m</w:t>
            </w:r>
            <w:r>
              <w:rPr>
                <w:rFonts w:hint="default" w:ascii="Times New Roman" w:hAnsi="Times New Roman" w:cs="Times New Roman"/>
                <w:vertAlign w:val="superscript"/>
              </w:rPr>
              <w:t>3</w:t>
            </w:r>
            <w:r>
              <w:rPr>
                <w:rFonts w:hint="default" w:ascii="Times New Roman" w:hAnsi="Times New Roman" w:cs="Times New Roman"/>
              </w:rPr>
              <w:t>/d），处理后全部回用。生产用水排水水平衡见下图：</w:t>
            </w:r>
          </w:p>
          <w:p>
            <w:pPr>
              <w:pStyle w:val="2"/>
              <w:rPr>
                <w:rFonts w:hint="eastAsia" w:ascii="Times New Roman" w:hAnsi="Times New Roman" w:eastAsia="黑体" w:cs="Times New Roman"/>
                <w:lang w:eastAsia="zh-CN"/>
              </w:rPr>
            </w:pPr>
            <w:r>
              <w:rPr>
                <w:rFonts w:hint="eastAsia" w:ascii="Times New Roman" w:hAnsi="Times New Roman" w:eastAsia="黑体" w:cs="Times New Roman"/>
                <w:lang w:eastAsia="zh-CN"/>
              </w:rPr>
              <w:drawing>
                <wp:inline distT="0" distB="0" distL="114300" distR="114300">
                  <wp:extent cx="5254625" cy="4645025"/>
                  <wp:effectExtent l="0" t="0" r="3175" b="3175"/>
                  <wp:docPr id="104" name="图片 104" descr="水平衡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图片 104" descr="水平衡图"/>
                          <pic:cNvPicPr>
                            <a:picLocks noChangeAspect="1"/>
                          </pic:cNvPicPr>
                        </pic:nvPicPr>
                        <pic:blipFill>
                          <a:blip r:embed="rId10"/>
                          <a:srcRect l="13564" t="4515" r="13440" b="4164"/>
                          <a:stretch>
                            <a:fillRect/>
                          </a:stretch>
                        </pic:blipFill>
                        <pic:spPr>
                          <a:xfrm>
                            <a:off x="0" y="0"/>
                            <a:ext cx="5254625" cy="4645025"/>
                          </a:xfrm>
                          <a:prstGeom prst="rect">
                            <a:avLst/>
                          </a:prstGeom>
                        </pic:spPr>
                      </pic:pic>
                    </a:graphicData>
                  </a:graphic>
                </wp:inline>
              </w:drawing>
            </w:r>
          </w:p>
          <w:p>
            <w:pPr>
              <w:pStyle w:val="2"/>
              <w:rPr>
                <w:rFonts w:hint="default" w:ascii="Times New Roman" w:hAnsi="Times New Roman" w:cs="Times New Roman"/>
                <w:color w:val="auto"/>
              </w:rPr>
            </w:pPr>
            <w:r>
              <w:rPr>
                <w:rFonts w:hint="default" w:ascii="Times New Roman" w:hAnsi="Times New Roman" w:cs="Times New Roman"/>
                <w:color w:val="auto"/>
              </w:rPr>
              <w:t>图2.2-1项目生产用水水平衡示意图（单位：m</w:t>
            </w:r>
            <w:r>
              <w:rPr>
                <w:rFonts w:hint="default" w:ascii="Times New Roman" w:hAnsi="Times New Roman" w:cs="Times New Roman"/>
                <w:color w:val="auto"/>
                <w:vertAlign w:val="superscript"/>
              </w:rPr>
              <w:t>3</w:t>
            </w:r>
            <w:r>
              <w:rPr>
                <w:rFonts w:hint="default" w:ascii="Times New Roman" w:hAnsi="Times New Roman" w:cs="Times New Roman"/>
                <w:color w:val="auto"/>
              </w:rPr>
              <w:t>/d）</w:t>
            </w:r>
          </w:p>
          <w:p>
            <w:pPr>
              <w:spacing w:line="440" w:lineRule="exact"/>
              <w:ind w:firstLine="480" w:firstLineChars="200"/>
              <w:rPr>
                <w:rFonts w:hint="default" w:ascii="Times New Roman" w:hAnsi="Times New Roman" w:cs="Times New Roman"/>
              </w:rPr>
            </w:pPr>
            <w:r>
              <w:rPr>
                <w:rFonts w:hint="default" w:ascii="Times New Roman" w:hAnsi="Times New Roman" w:cs="Times New Roman"/>
              </w:rPr>
              <w:t>（2）车辆冲洗水</w:t>
            </w:r>
          </w:p>
          <w:p>
            <w:pPr>
              <w:spacing w:line="440" w:lineRule="exact"/>
              <w:ind w:firstLine="480" w:firstLineChars="200"/>
              <w:rPr>
                <w:rFonts w:hint="default" w:ascii="Times New Roman" w:hAnsi="Times New Roman" w:cs="Times New Roman"/>
              </w:rPr>
            </w:pPr>
            <w:r>
              <w:rPr>
                <w:rFonts w:hint="default" w:ascii="Times New Roman" w:hAnsi="Times New Roman" w:cs="Times New Roman"/>
              </w:rPr>
              <w:t>周边道路均水泥硬化，且道路通过洒水抑尘，车辆出入带尘量少，因此本项目可不考虑运输车辆冲洗水，仅考虑厂区道路抑尘用水。厂区道路抑尘浇洒用水见下。</w:t>
            </w:r>
          </w:p>
          <w:p>
            <w:pPr>
              <w:pStyle w:val="73"/>
              <w:spacing w:after="0" w:line="440" w:lineRule="exact"/>
              <w:ind w:left="480" w:leftChars="200" w:right="-120" w:firstLine="0" w:firstLineChars="0"/>
              <w:rPr>
                <w:rFonts w:hint="default" w:ascii="Times New Roman" w:hAnsi="Times New Roman" w:cs="Times New Roman"/>
                <w:color w:val="auto"/>
                <w:sz w:val="24"/>
              </w:rPr>
            </w:pPr>
            <w:r>
              <w:rPr>
                <w:rFonts w:hint="default" w:ascii="Times New Roman" w:hAnsi="Times New Roman" w:cs="Times New Roman"/>
                <w:color w:val="auto"/>
                <w:sz w:val="24"/>
              </w:rPr>
              <w:t>（3）道路抑尘浇洒</w:t>
            </w:r>
          </w:p>
          <w:p>
            <w:pPr>
              <w:spacing w:line="440" w:lineRule="exact"/>
              <w:ind w:firstLine="480" w:firstLineChars="200"/>
              <w:rPr>
                <w:rFonts w:hint="default" w:ascii="Times New Roman" w:hAnsi="Times New Roman" w:cs="Times New Roman"/>
              </w:rPr>
            </w:pPr>
            <w:r>
              <w:rPr>
                <w:rFonts w:hint="default" w:ascii="Times New Roman" w:hAnsi="Times New Roman" w:cs="Times New Roman"/>
              </w:rPr>
              <w:t>本项目原料通过厂区北侧道路利用落差卸料，原料运输无需经过厂区内道路。厂内道路长度约100m，宽度约2m，产品及尾渣运输车辆要经过厂区道路，道路采取洒水抑尘，用水量约为0.9m</w:t>
            </w:r>
            <w:r>
              <w:rPr>
                <w:rFonts w:hint="default" w:ascii="Times New Roman" w:hAnsi="Times New Roman" w:cs="Times New Roman"/>
                <w:vertAlign w:val="superscript"/>
              </w:rPr>
              <w:t>3</w:t>
            </w:r>
            <w:r>
              <w:rPr>
                <w:rFonts w:hint="default" w:ascii="Times New Roman" w:hAnsi="Times New Roman" w:cs="Times New Roman"/>
              </w:rPr>
              <w:t>/d，具体分析见下表：</w:t>
            </w:r>
          </w:p>
          <w:p>
            <w:pPr>
              <w:pStyle w:val="34"/>
              <w:spacing w:before="120"/>
              <w:ind w:firstLine="422"/>
              <w:rPr>
                <w:rFonts w:hint="default" w:ascii="Times New Roman" w:hAnsi="Times New Roman" w:cs="Times New Roman"/>
                <w:b/>
                <w:bCs/>
                <w:sz w:val="21"/>
                <w:szCs w:val="21"/>
              </w:rPr>
            </w:pPr>
          </w:p>
          <w:p>
            <w:pPr>
              <w:pStyle w:val="34"/>
              <w:spacing w:before="120"/>
              <w:ind w:firstLine="422"/>
              <w:rPr>
                <w:rFonts w:hint="default" w:ascii="Times New Roman" w:hAnsi="Times New Roman" w:cs="Times New Roman"/>
              </w:rPr>
            </w:pPr>
            <w:r>
              <w:rPr>
                <w:rFonts w:hint="default" w:ascii="Times New Roman" w:hAnsi="Times New Roman" w:cs="Times New Roman"/>
                <w:b/>
                <w:bCs/>
                <w:sz w:val="21"/>
                <w:szCs w:val="21"/>
              </w:rPr>
              <w:t>表2.2-8厂区道路抑尘用水</w:t>
            </w:r>
          </w:p>
          <w:tbl>
            <w:tblPr>
              <w:tblStyle w:val="26"/>
              <w:tblW w:w="7996"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520"/>
              <w:gridCol w:w="1520"/>
              <w:gridCol w:w="1865"/>
              <w:gridCol w:w="1537"/>
              <w:gridCol w:w="1554"/>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520" w:type="dxa"/>
                  <w:tcBorders>
                    <w:tl2br w:val="nil"/>
                    <w:tr2bl w:val="nil"/>
                  </w:tcBorders>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产尘点</w:t>
                  </w:r>
                </w:p>
              </w:tc>
              <w:tc>
                <w:tcPr>
                  <w:tcW w:w="1520" w:type="dxa"/>
                  <w:tcBorders>
                    <w:tl2br w:val="nil"/>
                    <w:tr2bl w:val="nil"/>
                  </w:tcBorders>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抑尘方式</w:t>
                  </w:r>
                </w:p>
              </w:tc>
              <w:tc>
                <w:tcPr>
                  <w:tcW w:w="1865" w:type="dxa"/>
                  <w:tcBorders>
                    <w:tl2br w:val="nil"/>
                    <w:tr2bl w:val="nil"/>
                  </w:tcBorders>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数量（面积）</w:t>
                  </w:r>
                </w:p>
              </w:tc>
              <w:tc>
                <w:tcPr>
                  <w:tcW w:w="1537" w:type="dxa"/>
                  <w:tcBorders>
                    <w:tl2br w:val="nil"/>
                    <w:tr2bl w:val="nil"/>
                  </w:tcBorders>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单位用水量</w:t>
                  </w:r>
                </w:p>
              </w:tc>
              <w:tc>
                <w:tcPr>
                  <w:tcW w:w="1554" w:type="dxa"/>
                  <w:tcBorders>
                    <w:tl2br w:val="nil"/>
                    <w:tr2bl w:val="nil"/>
                  </w:tcBorders>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用水量</w:t>
                  </w:r>
                </w:p>
                <w:p>
                  <w:pPr>
                    <w:jc w:val="center"/>
                    <w:rPr>
                      <w:rFonts w:hint="default" w:ascii="Times New Roman" w:hAnsi="Times New Roman" w:cs="Times New Roman"/>
                      <w:sz w:val="21"/>
                      <w:szCs w:val="21"/>
                    </w:rPr>
                  </w:pPr>
                  <w:r>
                    <w:rPr>
                      <w:rFonts w:hint="default" w:ascii="Times New Roman" w:hAnsi="Times New Roman" w:cs="Times New Roman"/>
                      <w:sz w:val="21"/>
                      <w:szCs w:val="21"/>
                    </w:rPr>
                    <w:t>（m</w:t>
                  </w:r>
                  <w:r>
                    <w:rPr>
                      <w:rFonts w:hint="default" w:ascii="Times New Roman" w:hAnsi="Times New Roman" w:cs="Times New Roman"/>
                      <w:sz w:val="21"/>
                      <w:szCs w:val="21"/>
                      <w:vertAlign w:val="superscript"/>
                    </w:rPr>
                    <w:t>3</w:t>
                  </w:r>
                  <w:r>
                    <w:rPr>
                      <w:rFonts w:hint="default" w:ascii="Times New Roman" w:hAnsi="Times New Roman" w:cs="Times New Roman"/>
                      <w:sz w:val="21"/>
                      <w:szCs w:val="21"/>
                    </w:rPr>
                    <w:t>/d）</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520" w:type="dxa"/>
                  <w:tcBorders>
                    <w:tl2br w:val="nil"/>
                    <w:tr2bl w:val="nil"/>
                  </w:tcBorders>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厂区道路</w:t>
                  </w:r>
                </w:p>
              </w:tc>
              <w:tc>
                <w:tcPr>
                  <w:tcW w:w="1520" w:type="dxa"/>
                  <w:tcBorders>
                    <w:tl2br w:val="nil"/>
                    <w:tr2bl w:val="nil"/>
                  </w:tcBorders>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洒水抑尘</w:t>
                  </w:r>
                </w:p>
              </w:tc>
              <w:tc>
                <w:tcPr>
                  <w:tcW w:w="1865" w:type="dxa"/>
                  <w:tcBorders>
                    <w:tl2br w:val="nil"/>
                    <w:tr2bl w:val="nil"/>
                  </w:tcBorders>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3次（200m</w:t>
                  </w:r>
                  <w:r>
                    <w:rPr>
                      <w:rFonts w:hint="default" w:ascii="Times New Roman" w:hAnsi="Times New Roman" w:cs="Times New Roman"/>
                      <w:sz w:val="21"/>
                      <w:szCs w:val="21"/>
                      <w:vertAlign w:val="superscript"/>
                    </w:rPr>
                    <w:t>2</w:t>
                  </w:r>
                  <w:r>
                    <w:rPr>
                      <w:rFonts w:hint="default" w:ascii="Times New Roman" w:hAnsi="Times New Roman" w:cs="Times New Roman"/>
                      <w:sz w:val="21"/>
                      <w:szCs w:val="21"/>
                    </w:rPr>
                    <w:t>）</w:t>
                  </w:r>
                </w:p>
              </w:tc>
              <w:tc>
                <w:tcPr>
                  <w:tcW w:w="1537" w:type="dxa"/>
                  <w:tcBorders>
                    <w:tl2br w:val="nil"/>
                    <w:tr2bl w:val="nil"/>
                  </w:tcBorders>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1.5L/m</w:t>
                  </w:r>
                  <w:r>
                    <w:rPr>
                      <w:rFonts w:hint="default" w:ascii="Times New Roman" w:hAnsi="Times New Roman" w:cs="Times New Roman"/>
                      <w:sz w:val="21"/>
                      <w:szCs w:val="21"/>
                      <w:vertAlign w:val="superscript"/>
                    </w:rPr>
                    <w:t>2</w:t>
                  </w:r>
                  <w:r>
                    <w:rPr>
                      <w:rFonts w:hint="default" w:ascii="Times New Roman" w:hAnsi="Times New Roman" w:cs="Times New Roman"/>
                      <w:sz w:val="21"/>
                      <w:szCs w:val="21"/>
                    </w:rPr>
                    <w:t>·次</w:t>
                  </w:r>
                </w:p>
              </w:tc>
              <w:tc>
                <w:tcPr>
                  <w:tcW w:w="1554" w:type="dxa"/>
                  <w:tcBorders>
                    <w:tl2br w:val="nil"/>
                    <w:tr2bl w:val="nil"/>
                  </w:tcBorders>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0.9</w:t>
                  </w:r>
                </w:p>
              </w:tc>
            </w:tr>
          </w:tbl>
          <w:p>
            <w:pPr>
              <w:spacing w:line="440" w:lineRule="exact"/>
              <w:ind w:firstLine="480" w:firstLineChars="200"/>
              <w:rPr>
                <w:rFonts w:hint="default" w:ascii="Times New Roman" w:hAnsi="Times New Roman" w:cs="Times New Roman"/>
              </w:rPr>
            </w:pPr>
            <w:r>
              <w:rPr>
                <w:rFonts w:hint="default" w:ascii="Times New Roman" w:hAnsi="Times New Roman" w:cs="Times New Roman"/>
              </w:rPr>
              <w:t>（4）生活用水、排水</w:t>
            </w:r>
          </w:p>
          <w:p>
            <w:pPr>
              <w:spacing w:line="440" w:lineRule="exact"/>
              <w:ind w:firstLine="480" w:firstLineChars="200"/>
              <w:rPr>
                <w:rFonts w:hint="default" w:ascii="Times New Roman" w:hAnsi="Times New Roman" w:cs="Times New Roman"/>
              </w:rPr>
            </w:pPr>
            <w:r>
              <w:rPr>
                <w:rFonts w:hint="default" w:ascii="Times New Roman" w:hAnsi="Times New Roman" w:cs="Times New Roman"/>
              </w:rPr>
              <w:t>项目职工定员10人，均不住厂，参照《室外给水设计标准》（GB50013-2018）及《建筑给排水设计标准》（GB50015-2019）等有关规定，不住厂职工生活用水量定额取50L/d·人，那么项目生活用水量约为0.5m</w:t>
            </w:r>
            <w:r>
              <w:rPr>
                <w:rFonts w:hint="default" w:ascii="Times New Roman" w:hAnsi="Times New Roman" w:cs="Times New Roman"/>
                <w:vertAlign w:val="superscript"/>
              </w:rPr>
              <w:t>3</w:t>
            </w:r>
            <w:r>
              <w:rPr>
                <w:rFonts w:hint="default" w:ascii="Times New Roman" w:hAnsi="Times New Roman" w:cs="Times New Roman"/>
              </w:rPr>
              <w:t>/d，按年工作300天计，则生活用水量为150m</w:t>
            </w:r>
            <w:r>
              <w:rPr>
                <w:rFonts w:hint="default" w:ascii="Times New Roman" w:hAnsi="Times New Roman" w:cs="Times New Roman"/>
                <w:vertAlign w:val="superscript"/>
              </w:rPr>
              <w:t>3</w:t>
            </w:r>
            <w:r>
              <w:rPr>
                <w:rFonts w:hint="default" w:ascii="Times New Roman" w:hAnsi="Times New Roman" w:cs="Times New Roman"/>
              </w:rPr>
              <w:t>/a。产污系数取0.9，则项目生活污水产生量约为135m</w:t>
            </w:r>
            <w:r>
              <w:rPr>
                <w:rFonts w:hint="default" w:ascii="Times New Roman" w:hAnsi="Times New Roman" w:cs="Times New Roman"/>
                <w:vertAlign w:val="superscript"/>
              </w:rPr>
              <w:t>3</w:t>
            </w:r>
            <w:r>
              <w:rPr>
                <w:rFonts w:hint="default" w:ascii="Times New Roman" w:hAnsi="Times New Roman" w:cs="Times New Roman"/>
              </w:rPr>
              <w:t>/a（0.45m</w:t>
            </w:r>
            <w:r>
              <w:rPr>
                <w:rFonts w:hint="default" w:ascii="Times New Roman" w:hAnsi="Times New Roman" w:cs="Times New Roman"/>
                <w:vertAlign w:val="superscript"/>
              </w:rPr>
              <w:t>3</w:t>
            </w:r>
            <w:r>
              <w:rPr>
                <w:rFonts w:hint="default" w:ascii="Times New Roman" w:hAnsi="Times New Roman" w:cs="Times New Roman"/>
              </w:rPr>
              <w:t>/d）。</w:t>
            </w:r>
          </w:p>
          <w:p>
            <w:pPr>
              <w:spacing w:line="440" w:lineRule="exact"/>
              <w:ind w:firstLine="480" w:firstLineChars="200"/>
              <w:rPr>
                <w:rFonts w:hint="default" w:ascii="Times New Roman" w:hAnsi="Times New Roman" w:cs="Times New Roman"/>
              </w:rPr>
            </w:pPr>
            <w:r>
              <w:rPr>
                <w:rFonts w:hint="default" w:ascii="Times New Roman" w:hAnsi="Times New Roman" w:cs="Times New Roman"/>
              </w:rPr>
              <w:t>（5）绿化用水</w:t>
            </w:r>
          </w:p>
          <w:p>
            <w:pPr>
              <w:spacing w:line="440" w:lineRule="exact"/>
              <w:ind w:firstLine="480" w:firstLineChars="200"/>
              <w:rPr>
                <w:rFonts w:hint="default" w:ascii="Times New Roman" w:hAnsi="Times New Roman" w:cs="Times New Roman"/>
              </w:rPr>
            </w:pPr>
            <w:r>
              <w:rPr>
                <w:rFonts w:hint="default" w:ascii="Times New Roman" w:hAnsi="Times New Roman" w:cs="Times New Roman"/>
              </w:rPr>
              <w:t>根据《建筑给水排水设计标准》（GB50015-2019），绿化用水量定额可按浇灌面积取值1~3L/m</w:t>
            </w:r>
            <w:r>
              <w:rPr>
                <w:rFonts w:hint="default" w:ascii="Times New Roman" w:hAnsi="Times New Roman" w:cs="Times New Roman"/>
                <w:vertAlign w:val="superscript"/>
              </w:rPr>
              <w:t>2</w:t>
            </w:r>
            <w:r>
              <w:rPr>
                <w:rFonts w:hint="default" w:ascii="Times New Roman" w:hAnsi="Times New Roman" w:cs="Times New Roman"/>
              </w:rPr>
              <w:t>·d，本项目按2L/m</w:t>
            </w:r>
            <w:r>
              <w:rPr>
                <w:rFonts w:hint="default" w:ascii="Times New Roman" w:hAnsi="Times New Roman" w:cs="Times New Roman"/>
                <w:vertAlign w:val="superscript"/>
              </w:rPr>
              <w:t>2</w:t>
            </w:r>
            <w:r>
              <w:rPr>
                <w:rFonts w:hint="default" w:ascii="Times New Roman" w:hAnsi="Times New Roman" w:cs="Times New Roman"/>
              </w:rPr>
              <w:t>·d计。项目的绿化面积约为470m</w:t>
            </w:r>
            <w:r>
              <w:rPr>
                <w:rFonts w:hint="default" w:ascii="Times New Roman" w:hAnsi="Times New Roman" w:cs="Times New Roman"/>
                <w:vertAlign w:val="superscript"/>
              </w:rPr>
              <w:t>2</w:t>
            </w:r>
            <w:r>
              <w:rPr>
                <w:rFonts w:hint="default" w:ascii="Times New Roman" w:hAnsi="Times New Roman" w:cs="Times New Roman"/>
              </w:rPr>
              <w:t>，则绿化用水量为0.94m</w:t>
            </w:r>
            <w:r>
              <w:rPr>
                <w:rFonts w:hint="default" w:ascii="Times New Roman" w:hAnsi="Times New Roman" w:cs="Times New Roman"/>
                <w:vertAlign w:val="superscript"/>
              </w:rPr>
              <w:t>3</w:t>
            </w:r>
            <w:r>
              <w:rPr>
                <w:rFonts w:hint="default" w:ascii="Times New Roman" w:hAnsi="Times New Roman" w:cs="Times New Roman"/>
              </w:rPr>
              <w:t>/d，绿化水通过植物吸收、蒸发。</w:t>
            </w:r>
          </w:p>
          <w:p>
            <w:pPr>
              <w:spacing w:line="440" w:lineRule="exact"/>
              <w:ind w:left="480" w:leftChars="200"/>
              <w:rPr>
                <w:rFonts w:hint="default" w:ascii="Times New Roman" w:hAnsi="Times New Roman" w:cs="Times New Roman"/>
                <w:szCs w:val="22"/>
              </w:rPr>
            </w:pPr>
            <w:r>
              <w:rPr>
                <w:rFonts w:hint="default" w:ascii="Times New Roman" w:hAnsi="Times New Roman" w:cs="Times New Roman"/>
                <w:szCs w:val="22"/>
              </w:rPr>
              <w:t>（6）初期雨水</w:t>
            </w:r>
          </w:p>
          <w:p>
            <w:pPr>
              <w:spacing w:line="440" w:lineRule="exact"/>
              <w:ind w:firstLine="480" w:firstLineChars="200"/>
              <w:rPr>
                <w:rFonts w:hint="default" w:ascii="Times New Roman" w:hAnsi="Times New Roman" w:cs="Times New Roman"/>
              </w:rPr>
            </w:pPr>
            <w:r>
              <w:rPr>
                <w:rFonts w:hint="default" w:ascii="Times New Roman" w:hAnsi="Times New Roman" w:cs="Times New Roman"/>
              </w:rPr>
              <w:t>项目厂区原料堆场、生产车间、尾渣堆场均设置顶棚，顶棚设置雨水收集管道；下雨期间，原料堆场的顶棚水进入雨水沟，与厂内道路雨水一起排至厂区东侧门口；生产车间、尾渣堆场雨水管道接至厂区外，雨水通过管道直接排入厂区东侧的武陵溪。</w:t>
            </w:r>
          </w:p>
          <w:p>
            <w:pPr>
              <w:spacing w:line="440" w:lineRule="exact"/>
              <w:ind w:firstLine="480" w:firstLineChars="200"/>
              <w:rPr>
                <w:rFonts w:hint="default" w:ascii="Times New Roman" w:hAnsi="Times New Roman" w:cs="Times New Roman"/>
              </w:rPr>
            </w:pPr>
            <w:r>
              <w:rPr>
                <w:rFonts w:hint="default" w:ascii="Times New Roman" w:hAnsi="Times New Roman" w:cs="Times New Roman"/>
              </w:rPr>
              <w:t>原料运输车辆在厂区外西侧运输至原料堆场卸料，不经过厂区；厂内铲车会在厂区北部原料堆场和尾渣堆场区域之间的道路行驶；成品、尾渣运输车辆在厂区大门至尾渣堆场之间的道路行驶。车辆运输过程中会撒落很少量的物料，在雨季，厂区内道路会产生污染雨水，应进行收集处理，初期雨水汇水区域为原料堆场及厂区内道路。</w:t>
            </w:r>
          </w:p>
          <w:p>
            <w:pPr>
              <w:spacing w:line="420" w:lineRule="atLeast"/>
              <w:ind w:firstLine="480" w:firstLineChars="200"/>
              <w:rPr>
                <w:rFonts w:hint="default" w:ascii="Times New Roman" w:hAnsi="Times New Roman" w:cs="Times New Roman"/>
              </w:rPr>
            </w:pPr>
            <w:r>
              <w:rPr>
                <w:rFonts w:hint="default" w:ascii="Times New Roman" w:hAnsi="Times New Roman" w:cs="Times New Roman"/>
                <w:bCs/>
              </w:rPr>
              <w:t>初期雨水是在旱季后的首次降雨过程，经雨水冲洗的含有少量污染物的地面排水。</w:t>
            </w:r>
            <w:r>
              <w:rPr>
                <w:rFonts w:hint="default" w:ascii="Times New Roman" w:hAnsi="Times New Roman" w:cs="Times New Roman"/>
              </w:rPr>
              <w:t>参考《化学工业污水处理与回用设计规范》（GB50684—2011），初期雨污水的核算方式采用降雨深度与污染区面积的乘积法，污染雨水量按降水量10mm~30mm与污染区面积的乘积来计算。本项目原料运输车辆不经过厂区，原料堆场、生产车间、尾渣堆场均设置顶棚，生产设施均采取了喷淋除尘措施，最大程度减少粉尘无组织排放。降雨初期产生污染雨水量按降水量10mm与污染区面积的乘积来计算。</w:t>
            </w:r>
          </w:p>
          <w:p>
            <w:pPr>
              <w:spacing w:line="420" w:lineRule="atLeast"/>
              <w:ind w:firstLine="480" w:firstLineChars="200"/>
              <w:rPr>
                <w:rFonts w:hint="default" w:ascii="Times New Roman" w:hAnsi="Times New Roman" w:cs="Times New Roman"/>
              </w:rPr>
            </w:pPr>
            <w:r>
              <w:rPr>
                <w:rFonts w:hint="default" w:ascii="Times New Roman" w:hAnsi="Times New Roman" w:cs="Times New Roman"/>
              </w:rPr>
              <w:t>本项目生产车间、尾渣堆场雨水管道接至厂区外，原料堆场的顶棚水进入雨水沟，与厂内道路雨水一起排至厂区东侧门口。因此，污染区面积按原料堆场和厂区道路面积核算，约为900m</w:t>
            </w:r>
            <w:r>
              <w:rPr>
                <w:rFonts w:hint="default" w:ascii="Times New Roman" w:hAnsi="Times New Roman" w:cs="Times New Roman"/>
                <w:vertAlign w:val="superscript"/>
              </w:rPr>
              <w:t>2</w:t>
            </w:r>
            <w:r>
              <w:rPr>
                <w:rFonts w:hint="default" w:ascii="Times New Roman" w:hAnsi="Times New Roman" w:cs="Times New Roman"/>
              </w:rPr>
              <w:t>（</w:t>
            </w:r>
            <w:r>
              <w:rPr>
                <w:rFonts w:hint="default" w:ascii="Times New Roman" w:hAnsi="Times New Roman" w:cs="Times New Roman"/>
                <w:bCs/>
              </w:rPr>
              <w:t>初期雨水汇水区域见附图1</w:t>
            </w:r>
            <w:r>
              <w:rPr>
                <w:rFonts w:hint="default" w:ascii="Times New Roman" w:hAnsi="Times New Roman" w:cs="Times New Roman"/>
                <w:bCs/>
                <w:lang w:val="en-US" w:eastAsia="zh-CN"/>
              </w:rPr>
              <w:t>2</w:t>
            </w:r>
            <w:r>
              <w:rPr>
                <w:rFonts w:hint="default" w:ascii="Times New Roman" w:hAnsi="Times New Roman" w:cs="Times New Roman"/>
              </w:rPr>
              <w:t>）。经计算，初期雨水产生量约为9m</w:t>
            </w:r>
            <w:r>
              <w:rPr>
                <w:rFonts w:hint="default" w:ascii="Times New Roman" w:hAnsi="Times New Roman" w:cs="Times New Roman"/>
                <w:vertAlign w:val="superscript"/>
              </w:rPr>
              <w:t>3</w:t>
            </w:r>
            <w:r>
              <w:rPr>
                <w:rFonts w:hint="default" w:ascii="Times New Roman" w:hAnsi="Times New Roman" w:cs="Times New Roman"/>
              </w:rPr>
              <w:t>。</w:t>
            </w:r>
          </w:p>
          <w:p>
            <w:pPr>
              <w:spacing w:line="440" w:lineRule="exact"/>
              <w:ind w:firstLine="480" w:firstLineChars="200"/>
              <w:rPr>
                <w:rFonts w:hint="default" w:ascii="Times New Roman" w:hAnsi="Times New Roman" w:cs="Times New Roman"/>
                <w:bCs/>
              </w:rPr>
            </w:pPr>
            <w:r>
              <w:rPr>
                <w:rFonts w:hint="default" w:ascii="Times New Roman" w:hAnsi="Times New Roman" w:cs="Times New Roman"/>
                <w:bCs/>
              </w:rPr>
              <w:t>根据大田县近几年的气象数据，平均降雨天数取100d，则初期雨水产生量约为900t/a（折算平均3m</w:t>
            </w:r>
            <w:r>
              <w:rPr>
                <w:rFonts w:hint="default" w:ascii="Times New Roman" w:hAnsi="Times New Roman" w:cs="Times New Roman"/>
                <w:bCs/>
                <w:vertAlign w:val="superscript"/>
              </w:rPr>
              <w:t>3</w:t>
            </w:r>
            <w:r>
              <w:rPr>
                <w:rFonts w:hint="default" w:ascii="Times New Roman" w:hAnsi="Times New Roman" w:cs="Times New Roman"/>
                <w:bCs/>
              </w:rPr>
              <w:t>/d）。</w:t>
            </w:r>
          </w:p>
          <w:p>
            <w:pPr>
              <w:spacing w:line="440" w:lineRule="exact"/>
              <w:ind w:firstLine="480" w:firstLineChars="200"/>
              <w:rPr>
                <w:rFonts w:hint="default" w:ascii="Times New Roman" w:hAnsi="Times New Roman" w:cs="Times New Roman"/>
              </w:rPr>
            </w:pPr>
            <w:r>
              <w:rPr>
                <w:rFonts w:hint="default" w:ascii="Times New Roman" w:hAnsi="Times New Roman" w:cs="Times New Roman"/>
              </w:rPr>
              <w:t>根据厂区地形地势，要求企业在厂区大门口道路东侧设置一个容积不小于9</w:t>
            </w:r>
            <w:r>
              <w:rPr>
                <w:rFonts w:hint="default" w:ascii="Times New Roman" w:hAnsi="Times New Roman" w:cs="Times New Roman"/>
                <w:bCs/>
              </w:rPr>
              <w:t>m</w:t>
            </w:r>
            <w:r>
              <w:rPr>
                <w:rFonts w:hint="default" w:ascii="Times New Roman" w:hAnsi="Times New Roman" w:cs="Times New Roman"/>
                <w:bCs/>
                <w:vertAlign w:val="superscript"/>
              </w:rPr>
              <w:t>3</w:t>
            </w:r>
            <w:r>
              <w:rPr>
                <w:rFonts w:hint="default" w:ascii="Times New Roman" w:hAnsi="Times New Roman" w:cs="Times New Roman"/>
              </w:rPr>
              <w:t>的初期雨水沉淀池，并设置水泵和输送管道至生产废水回用水池。初期雨水经初期雨水沉淀池处理后泵入回用水池，作为生产用水回用，回用于球磨等工序，不外排。</w:t>
            </w:r>
          </w:p>
          <w:p>
            <w:pPr>
              <w:spacing w:line="440" w:lineRule="exact"/>
              <w:ind w:left="480" w:leftChars="200"/>
              <w:rPr>
                <w:rFonts w:hint="default" w:ascii="Times New Roman" w:hAnsi="Times New Roman" w:cs="Times New Roman"/>
                <w:szCs w:val="22"/>
              </w:rPr>
            </w:pPr>
            <w:r>
              <w:rPr>
                <w:rFonts w:hint="default" w:ascii="Times New Roman" w:hAnsi="Times New Roman" w:cs="Times New Roman"/>
                <w:szCs w:val="22"/>
              </w:rPr>
              <w:t>（7）全厂水平衡小结</w:t>
            </w:r>
          </w:p>
          <w:p>
            <w:pPr>
              <w:spacing w:line="440" w:lineRule="exact"/>
              <w:ind w:firstLine="480" w:firstLineChars="20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项目用水主要包括生产用水、道路抑尘用水、绿化用水及生活用水。其中生产用水量167.65m</w:t>
            </w:r>
            <w:r>
              <w:rPr>
                <w:rFonts w:hint="default" w:ascii="Times New Roman" w:hAnsi="Times New Roman" w:cs="Times New Roman"/>
                <w:color w:val="000000" w:themeColor="text1"/>
                <w:vertAlign w:val="superscript"/>
                <w14:textFill>
                  <w14:solidFill>
                    <w14:schemeClr w14:val="tx1"/>
                  </w14:solidFill>
                </w14:textFill>
              </w:rPr>
              <w:t>3</w:t>
            </w:r>
            <w:r>
              <w:rPr>
                <w:rFonts w:hint="default" w:ascii="Times New Roman" w:hAnsi="Times New Roman" w:cs="Times New Roman"/>
                <w:color w:val="000000" w:themeColor="text1"/>
                <w14:textFill>
                  <w14:solidFill>
                    <w14:schemeClr w14:val="tx1"/>
                  </w14:solidFill>
                </w14:textFill>
              </w:rPr>
              <w:t>/d（原料带入26.67m</w:t>
            </w:r>
            <w:r>
              <w:rPr>
                <w:rFonts w:hint="default" w:ascii="Times New Roman" w:hAnsi="Times New Roman" w:cs="Times New Roman"/>
                <w:color w:val="000000" w:themeColor="text1"/>
                <w:vertAlign w:val="superscript"/>
                <w14:textFill>
                  <w14:solidFill>
                    <w14:schemeClr w14:val="tx1"/>
                  </w14:solidFill>
                </w14:textFill>
              </w:rPr>
              <w:t>3</w:t>
            </w:r>
            <w:r>
              <w:rPr>
                <w:rFonts w:hint="default" w:ascii="Times New Roman" w:hAnsi="Times New Roman" w:cs="Times New Roman"/>
                <w:color w:val="000000" w:themeColor="text1"/>
                <w14:textFill>
                  <w14:solidFill>
                    <w14:schemeClr w14:val="tx1"/>
                  </w14:solidFill>
                </w14:textFill>
              </w:rPr>
              <w:t>/d，回用水123.06m</w:t>
            </w:r>
            <w:r>
              <w:rPr>
                <w:rFonts w:hint="default" w:ascii="Times New Roman" w:hAnsi="Times New Roman" w:cs="Times New Roman"/>
                <w:color w:val="000000" w:themeColor="text1"/>
                <w:vertAlign w:val="superscript"/>
                <w14:textFill>
                  <w14:solidFill>
                    <w14:schemeClr w14:val="tx1"/>
                  </w14:solidFill>
                </w14:textFill>
              </w:rPr>
              <w:t>3</w:t>
            </w:r>
            <w:r>
              <w:rPr>
                <w:rFonts w:hint="default" w:ascii="Times New Roman" w:hAnsi="Times New Roman" w:cs="Times New Roman"/>
                <w:color w:val="000000" w:themeColor="text1"/>
                <w14:textFill>
                  <w14:solidFill>
                    <w14:schemeClr w14:val="tx1"/>
                  </w14:solidFill>
                </w14:textFill>
              </w:rPr>
              <w:t>/d，补充新鲜水17.92m</w:t>
            </w:r>
            <w:r>
              <w:rPr>
                <w:rFonts w:hint="default" w:ascii="Times New Roman" w:hAnsi="Times New Roman" w:cs="Times New Roman"/>
                <w:color w:val="000000" w:themeColor="text1"/>
                <w:vertAlign w:val="superscript"/>
                <w14:textFill>
                  <w14:solidFill>
                    <w14:schemeClr w14:val="tx1"/>
                  </w14:solidFill>
                </w14:textFill>
              </w:rPr>
              <w:t>3</w:t>
            </w:r>
            <w:r>
              <w:rPr>
                <w:rFonts w:hint="default" w:ascii="Times New Roman" w:hAnsi="Times New Roman" w:cs="Times New Roman"/>
                <w:color w:val="000000" w:themeColor="text1"/>
                <w14:textFill>
                  <w14:solidFill>
                    <w14:schemeClr w14:val="tx1"/>
                  </w14:solidFill>
                </w14:textFill>
              </w:rPr>
              <w:t>/d），产品、尾渣、污泥带走36.11m</w:t>
            </w:r>
            <w:r>
              <w:rPr>
                <w:rFonts w:hint="default" w:ascii="Times New Roman" w:hAnsi="Times New Roman" w:cs="Times New Roman"/>
                <w:color w:val="000000" w:themeColor="text1"/>
                <w:vertAlign w:val="superscript"/>
                <w14:textFill>
                  <w14:solidFill>
                    <w14:schemeClr w14:val="tx1"/>
                  </w14:solidFill>
                </w14:textFill>
              </w:rPr>
              <w:t>3</w:t>
            </w:r>
            <w:r>
              <w:rPr>
                <w:rFonts w:hint="default" w:ascii="Times New Roman" w:hAnsi="Times New Roman" w:cs="Times New Roman"/>
                <w:color w:val="000000" w:themeColor="text1"/>
                <w14:textFill>
                  <w14:solidFill>
                    <w14:schemeClr w14:val="tx1"/>
                  </w14:solidFill>
                </w14:textFill>
              </w:rPr>
              <w:t>/d，蒸发损耗11.48m</w:t>
            </w:r>
            <w:r>
              <w:rPr>
                <w:rFonts w:hint="default" w:ascii="Times New Roman" w:hAnsi="Times New Roman" w:cs="Times New Roman"/>
                <w:color w:val="000000" w:themeColor="text1"/>
                <w:vertAlign w:val="superscript"/>
                <w14:textFill>
                  <w14:solidFill>
                    <w14:schemeClr w14:val="tx1"/>
                  </w14:solidFill>
                </w14:textFill>
              </w:rPr>
              <w:t>3</w:t>
            </w:r>
            <w:r>
              <w:rPr>
                <w:rFonts w:hint="default" w:ascii="Times New Roman" w:hAnsi="Times New Roman" w:cs="Times New Roman"/>
                <w:color w:val="000000" w:themeColor="text1"/>
                <w14:textFill>
                  <w14:solidFill>
                    <w14:schemeClr w14:val="tx1"/>
                  </w14:solidFill>
                </w14:textFill>
              </w:rPr>
              <w:t>/d，废水产生量120.06m</w:t>
            </w:r>
            <w:r>
              <w:rPr>
                <w:rFonts w:hint="default" w:ascii="Times New Roman" w:hAnsi="Times New Roman" w:cs="Times New Roman"/>
                <w:color w:val="000000" w:themeColor="text1"/>
                <w:vertAlign w:val="superscript"/>
                <w14:textFill>
                  <w14:solidFill>
                    <w14:schemeClr w14:val="tx1"/>
                  </w14:solidFill>
                </w14:textFill>
              </w:rPr>
              <w:t>3</w:t>
            </w:r>
            <w:r>
              <w:rPr>
                <w:rFonts w:hint="default" w:ascii="Times New Roman" w:hAnsi="Times New Roman" w:cs="Times New Roman"/>
                <w:color w:val="000000" w:themeColor="text1"/>
                <w14:textFill>
                  <w14:solidFill>
                    <w14:schemeClr w14:val="tx1"/>
                  </w14:solidFill>
                </w14:textFill>
              </w:rPr>
              <w:t>/d，生产废水处理后全部回用；道路浇洒0.9m</w:t>
            </w:r>
            <w:r>
              <w:rPr>
                <w:rFonts w:hint="default" w:ascii="Times New Roman" w:hAnsi="Times New Roman" w:cs="Times New Roman"/>
                <w:color w:val="000000" w:themeColor="text1"/>
                <w:vertAlign w:val="superscript"/>
                <w14:textFill>
                  <w14:solidFill>
                    <w14:schemeClr w14:val="tx1"/>
                  </w14:solidFill>
                </w14:textFill>
              </w:rPr>
              <w:t>3</w:t>
            </w:r>
            <w:r>
              <w:rPr>
                <w:rFonts w:hint="default" w:ascii="Times New Roman" w:hAnsi="Times New Roman" w:cs="Times New Roman"/>
                <w:color w:val="000000" w:themeColor="text1"/>
                <w14:textFill>
                  <w14:solidFill>
                    <w14:schemeClr w14:val="tx1"/>
                  </w14:solidFill>
                </w14:textFill>
              </w:rPr>
              <w:t>/d，全部挥发损耗；绿化用水0.94m</w:t>
            </w:r>
            <w:r>
              <w:rPr>
                <w:rFonts w:hint="default" w:ascii="Times New Roman" w:hAnsi="Times New Roman" w:cs="Times New Roman"/>
                <w:color w:val="000000" w:themeColor="text1"/>
                <w:vertAlign w:val="superscript"/>
                <w14:textFill>
                  <w14:solidFill>
                    <w14:schemeClr w14:val="tx1"/>
                  </w14:solidFill>
                </w14:textFill>
              </w:rPr>
              <w:t>3</w:t>
            </w:r>
            <w:r>
              <w:rPr>
                <w:rFonts w:hint="default" w:ascii="Times New Roman" w:hAnsi="Times New Roman" w:cs="Times New Roman"/>
                <w:color w:val="000000" w:themeColor="text1"/>
                <w14:textFill>
                  <w14:solidFill>
                    <w14:schemeClr w14:val="tx1"/>
                  </w14:solidFill>
                </w14:textFill>
              </w:rPr>
              <w:t>/d，全部被植物吸收、蒸发；生活用水量0.5m</w:t>
            </w:r>
            <w:r>
              <w:rPr>
                <w:rFonts w:hint="default" w:ascii="Times New Roman" w:hAnsi="Times New Roman" w:cs="Times New Roman"/>
                <w:color w:val="000000" w:themeColor="text1"/>
                <w:vertAlign w:val="superscript"/>
                <w14:textFill>
                  <w14:solidFill>
                    <w14:schemeClr w14:val="tx1"/>
                  </w14:solidFill>
                </w14:textFill>
              </w:rPr>
              <w:t>3</w:t>
            </w:r>
            <w:r>
              <w:rPr>
                <w:rFonts w:hint="default" w:ascii="Times New Roman" w:hAnsi="Times New Roman" w:cs="Times New Roman"/>
                <w:color w:val="000000" w:themeColor="text1"/>
                <w14:textFill>
                  <w14:solidFill>
                    <w14:schemeClr w14:val="tx1"/>
                  </w14:solidFill>
                </w14:textFill>
              </w:rPr>
              <w:t>/d，生活污水产生量0.45m</w:t>
            </w:r>
            <w:r>
              <w:rPr>
                <w:rFonts w:hint="default" w:ascii="Times New Roman" w:hAnsi="Times New Roman" w:cs="Times New Roman"/>
                <w:color w:val="000000" w:themeColor="text1"/>
                <w:vertAlign w:val="superscript"/>
                <w14:textFill>
                  <w14:solidFill>
                    <w14:schemeClr w14:val="tx1"/>
                  </w14:solidFill>
                </w14:textFill>
              </w:rPr>
              <w:t>3</w:t>
            </w:r>
            <w:r>
              <w:rPr>
                <w:rFonts w:hint="default" w:ascii="Times New Roman" w:hAnsi="Times New Roman" w:cs="Times New Roman"/>
                <w:color w:val="000000" w:themeColor="text1"/>
                <w14:textFill>
                  <w14:solidFill>
                    <w14:schemeClr w14:val="tx1"/>
                  </w14:solidFill>
                </w14:textFill>
              </w:rPr>
              <w:t>/d，用于周边山林地灌溉。全厂新鲜水用量20.26m</w:t>
            </w:r>
            <w:r>
              <w:rPr>
                <w:rFonts w:hint="default" w:ascii="Times New Roman" w:hAnsi="Times New Roman" w:cs="Times New Roman"/>
                <w:color w:val="000000" w:themeColor="text1"/>
                <w:vertAlign w:val="superscript"/>
                <w14:textFill>
                  <w14:solidFill>
                    <w14:schemeClr w14:val="tx1"/>
                  </w14:solidFill>
                </w14:textFill>
              </w:rPr>
              <w:t>3</w:t>
            </w:r>
            <w:r>
              <w:rPr>
                <w:rFonts w:hint="default" w:ascii="Times New Roman" w:hAnsi="Times New Roman" w:cs="Times New Roman"/>
                <w:color w:val="000000" w:themeColor="text1"/>
                <w14:textFill>
                  <w14:solidFill>
                    <w14:schemeClr w14:val="tx1"/>
                  </w14:solidFill>
                </w14:textFill>
              </w:rPr>
              <w:t>/d。</w:t>
            </w:r>
          </w:p>
          <w:p>
            <w:pPr>
              <w:spacing w:line="440" w:lineRule="exact"/>
              <w:ind w:firstLine="480" w:firstLineChars="20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全厂用水排水情况汇总表见下表。</w:t>
            </w:r>
          </w:p>
          <w:p>
            <w:pPr>
              <w:pStyle w:val="34"/>
              <w:spacing w:before="120"/>
              <w:ind w:firstLine="422"/>
              <w:rPr>
                <w:rFonts w:hint="default" w:ascii="Times New Roman" w:hAnsi="Times New Roman" w:cs="Times New Roman"/>
                <w:b/>
                <w:bCs/>
                <w:sz w:val="21"/>
                <w:szCs w:val="21"/>
              </w:rPr>
            </w:pPr>
            <w:r>
              <w:rPr>
                <w:rFonts w:hint="default" w:ascii="Times New Roman" w:hAnsi="Times New Roman" w:cs="Times New Roman"/>
                <w:b/>
                <w:bCs/>
                <w:sz w:val="21"/>
                <w:szCs w:val="21"/>
              </w:rPr>
              <w:t>表2.2-9  项目用水情况汇总表（m3/d）</w:t>
            </w:r>
          </w:p>
          <w:tbl>
            <w:tblPr>
              <w:tblStyle w:val="26"/>
              <w:tblW w:w="0" w:type="auto"/>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66"/>
              <w:gridCol w:w="748"/>
              <w:gridCol w:w="674"/>
              <w:gridCol w:w="670"/>
              <w:gridCol w:w="902"/>
              <w:gridCol w:w="713"/>
              <w:gridCol w:w="912"/>
              <w:gridCol w:w="734"/>
              <w:gridCol w:w="770"/>
              <w:gridCol w:w="672"/>
              <w:gridCol w:w="714"/>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66" w:type="dxa"/>
                  <w:vMerge w:val="restart"/>
                  <w:tcBorders>
                    <w:tl2br w:val="nil"/>
                    <w:tr2bl w:val="nil"/>
                  </w:tcBorders>
                  <w:vAlign w:val="center"/>
                </w:tcPr>
                <w:p>
                  <w:pPr>
                    <w:jc w:val="center"/>
                    <w:rPr>
                      <w:rFonts w:hint="default" w:ascii="Times New Roman" w:hAnsi="Times New Roman" w:cs="Times New Roman"/>
                      <w:sz w:val="15"/>
                      <w:szCs w:val="15"/>
                    </w:rPr>
                  </w:pPr>
                  <w:r>
                    <w:rPr>
                      <w:rFonts w:hint="default" w:ascii="Times New Roman" w:hAnsi="Times New Roman" w:cs="Times New Roman"/>
                      <w:sz w:val="15"/>
                      <w:szCs w:val="15"/>
                    </w:rPr>
                    <w:t>序号</w:t>
                  </w:r>
                </w:p>
              </w:tc>
              <w:tc>
                <w:tcPr>
                  <w:tcW w:w="748" w:type="dxa"/>
                  <w:vMerge w:val="restart"/>
                  <w:tcBorders>
                    <w:tl2br w:val="nil"/>
                    <w:tr2bl w:val="nil"/>
                  </w:tcBorders>
                  <w:vAlign w:val="center"/>
                </w:tcPr>
                <w:p>
                  <w:pPr>
                    <w:jc w:val="center"/>
                    <w:rPr>
                      <w:rFonts w:hint="default" w:ascii="Times New Roman" w:hAnsi="Times New Roman" w:cs="Times New Roman"/>
                      <w:sz w:val="15"/>
                      <w:szCs w:val="15"/>
                    </w:rPr>
                  </w:pPr>
                  <w:r>
                    <w:rPr>
                      <w:rFonts w:hint="default" w:ascii="Times New Roman" w:hAnsi="Times New Roman" w:cs="Times New Roman"/>
                      <w:sz w:val="15"/>
                      <w:szCs w:val="15"/>
                    </w:rPr>
                    <w:t>用水单元</w:t>
                  </w:r>
                </w:p>
              </w:tc>
              <w:tc>
                <w:tcPr>
                  <w:tcW w:w="2959" w:type="dxa"/>
                  <w:gridSpan w:val="4"/>
                  <w:tcBorders>
                    <w:tl2br w:val="nil"/>
                    <w:tr2bl w:val="nil"/>
                  </w:tcBorders>
                  <w:vAlign w:val="center"/>
                </w:tcPr>
                <w:p>
                  <w:pPr>
                    <w:jc w:val="center"/>
                    <w:rPr>
                      <w:rFonts w:hint="default" w:ascii="Times New Roman" w:hAnsi="Times New Roman" w:cs="Times New Roman"/>
                      <w:sz w:val="15"/>
                      <w:szCs w:val="15"/>
                    </w:rPr>
                  </w:pPr>
                  <w:r>
                    <w:rPr>
                      <w:rFonts w:hint="default" w:ascii="Times New Roman" w:hAnsi="Times New Roman" w:cs="Times New Roman"/>
                      <w:sz w:val="15"/>
                      <w:szCs w:val="15"/>
                    </w:rPr>
                    <w:t>用水量</w:t>
                  </w:r>
                </w:p>
              </w:tc>
              <w:tc>
                <w:tcPr>
                  <w:tcW w:w="1646" w:type="dxa"/>
                  <w:gridSpan w:val="2"/>
                  <w:tcBorders>
                    <w:tl2br w:val="nil"/>
                    <w:tr2bl w:val="nil"/>
                  </w:tcBorders>
                  <w:vAlign w:val="center"/>
                </w:tcPr>
                <w:p>
                  <w:pPr>
                    <w:jc w:val="center"/>
                    <w:rPr>
                      <w:rFonts w:hint="default" w:ascii="Times New Roman" w:hAnsi="Times New Roman" w:cs="Times New Roman"/>
                      <w:sz w:val="15"/>
                      <w:szCs w:val="15"/>
                    </w:rPr>
                  </w:pPr>
                  <w:r>
                    <w:rPr>
                      <w:rFonts w:hint="default" w:ascii="Times New Roman" w:hAnsi="Times New Roman" w:cs="Times New Roman"/>
                      <w:sz w:val="15"/>
                      <w:szCs w:val="15"/>
                    </w:rPr>
                    <w:t>损失</w:t>
                  </w:r>
                </w:p>
              </w:tc>
              <w:tc>
                <w:tcPr>
                  <w:tcW w:w="1442" w:type="dxa"/>
                  <w:gridSpan w:val="2"/>
                  <w:tcBorders>
                    <w:tl2br w:val="nil"/>
                    <w:tr2bl w:val="nil"/>
                  </w:tcBorders>
                  <w:vAlign w:val="center"/>
                </w:tcPr>
                <w:p>
                  <w:pPr>
                    <w:jc w:val="center"/>
                    <w:rPr>
                      <w:rFonts w:hint="default" w:ascii="Times New Roman" w:hAnsi="Times New Roman" w:cs="Times New Roman"/>
                      <w:sz w:val="15"/>
                      <w:szCs w:val="15"/>
                    </w:rPr>
                  </w:pPr>
                  <w:r>
                    <w:rPr>
                      <w:rFonts w:hint="default" w:ascii="Times New Roman" w:hAnsi="Times New Roman" w:cs="Times New Roman"/>
                      <w:sz w:val="15"/>
                      <w:szCs w:val="15"/>
                    </w:rPr>
                    <w:t>废水</w:t>
                  </w:r>
                </w:p>
              </w:tc>
              <w:tc>
                <w:tcPr>
                  <w:tcW w:w="714" w:type="dxa"/>
                  <w:vMerge w:val="restart"/>
                  <w:tcBorders>
                    <w:tl2br w:val="nil"/>
                    <w:tr2bl w:val="nil"/>
                  </w:tcBorders>
                  <w:vAlign w:val="center"/>
                </w:tcPr>
                <w:p>
                  <w:pPr>
                    <w:jc w:val="center"/>
                    <w:rPr>
                      <w:rFonts w:hint="default" w:ascii="Times New Roman" w:hAnsi="Times New Roman" w:cs="Times New Roman"/>
                      <w:sz w:val="15"/>
                      <w:szCs w:val="15"/>
                    </w:rPr>
                  </w:pPr>
                  <w:r>
                    <w:rPr>
                      <w:rFonts w:hint="default" w:ascii="Times New Roman" w:hAnsi="Times New Roman" w:cs="Times New Roman"/>
                      <w:sz w:val="15"/>
                      <w:szCs w:val="15"/>
                    </w:rPr>
                    <w:t>合计</w:t>
                  </w:r>
                </w:p>
                <w:p>
                  <w:pPr>
                    <w:pStyle w:val="2"/>
                    <w:rPr>
                      <w:rFonts w:hint="default" w:ascii="Times New Roman" w:hAnsi="Times New Roman" w:cs="Times New Roman"/>
                      <w:sz w:val="15"/>
                      <w:szCs w:val="15"/>
                    </w:rPr>
                  </w:pPr>
                  <w:r>
                    <w:rPr>
                      <w:rFonts w:hint="default" w:ascii="Times New Roman" w:hAnsi="Times New Roman" w:eastAsia="宋体" w:cs="Times New Roman"/>
                      <w:b w:val="0"/>
                      <w:bCs w:val="0"/>
                      <w:color w:val="auto"/>
                      <w:sz w:val="15"/>
                      <w:szCs w:val="15"/>
                    </w:rPr>
                    <w:t>（损失+废水）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66" w:type="dxa"/>
                  <w:vMerge w:val="continue"/>
                  <w:tcBorders>
                    <w:tl2br w:val="nil"/>
                    <w:tr2bl w:val="nil"/>
                  </w:tcBorders>
                  <w:vAlign w:val="center"/>
                </w:tcPr>
                <w:p>
                  <w:pPr>
                    <w:jc w:val="center"/>
                    <w:rPr>
                      <w:rFonts w:hint="default" w:ascii="Times New Roman" w:hAnsi="Times New Roman" w:cs="Times New Roman"/>
                      <w:sz w:val="15"/>
                      <w:szCs w:val="15"/>
                    </w:rPr>
                  </w:pPr>
                </w:p>
              </w:tc>
              <w:tc>
                <w:tcPr>
                  <w:tcW w:w="748" w:type="dxa"/>
                  <w:vMerge w:val="continue"/>
                  <w:tcBorders>
                    <w:tl2br w:val="nil"/>
                    <w:tr2bl w:val="nil"/>
                  </w:tcBorders>
                  <w:vAlign w:val="center"/>
                </w:tcPr>
                <w:p>
                  <w:pPr>
                    <w:jc w:val="center"/>
                    <w:rPr>
                      <w:rFonts w:hint="default" w:ascii="Times New Roman" w:hAnsi="Times New Roman" w:cs="Times New Roman"/>
                      <w:sz w:val="15"/>
                      <w:szCs w:val="15"/>
                    </w:rPr>
                  </w:pPr>
                </w:p>
              </w:tc>
              <w:tc>
                <w:tcPr>
                  <w:tcW w:w="674" w:type="dxa"/>
                  <w:tcBorders>
                    <w:tl2br w:val="nil"/>
                    <w:tr2bl w:val="nil"/>
                  </w:tcBorders>
                  <w:vAlign w:val="center"/>
                </w:tcPr>
                <w:p>
                  <w:pPr>
                    <w:jc w:val="center"/>
                    <w:rPr>
                      <w:rFonts w:hint="default" w:ascii="Times New Roman" w:hAnsi="Times New Roman" w:cs="Times New Roman"/>
                      <w:sz w:val="15"/>
                      <w:szCs w:val="15"/>
                    </w:rPr>
                  </w:pPr>
                  <w:r>
                    <w:rPr>
                      <w:rFonts w:hint="default" w:ascii="Times New Roman" w:hAnsi="Times New Roman" w:cs="Times New Roman"/>
                      <w:sz w:val="15"/>
                      <w:szCs w:val="15"/>
                    </w:rPr>
                    <w:t>新鲜水</w:t>
                  </w:r>
                </w:p>
              </w:tc>
              <w:tc>
                <w:tcPr>
                  <w:tcW w:w="670" w:type="dxa"/>
                  <w:tcBorders>
                    <w:tl2br w:val="nil"/>
                    <w:tr2bl w:val="nil"/>
                  </w:tcBorders>
                  <w:vAlign w:val="center"/>
                </w:tcPr>
                <w:p>
                  <w:pPr>
                    <w:jc w:val="center"/>
                    <w:rPr>
                      <w:rFonts w:hint="default" w:ascii="Times New Roman" w:hAnsi="Times New Roman" w:cs="Times New Roman"/>
                      <w:sz w:val="15"/>
                      <w:szCs w:val="15"/>
                    </w:rPr>
                  </w:pPr>
                  <w:r>
                    <w:rPr>
                      <w:rFonts w:hint="default" w:ascii="Times New Roman" w:hAnsi="Times New Roman" w:cs="Times New Roman"/>
                      <w:sz w:val="15"/>
                      <w:szCs w:val="15"/>
                    </w:rPr>
                    <w:t>原料带入</w:t>
                  </w:r>
                </w:p>
              </w:tc>
              <w:tc>
                <w:tcPr>
                  <w:tcW w:w="902" w:type="dxa"/>
                  <w:tcBorders>
                    <w:tl2br w:val="nil"/>
                    <w:tr2bl w:val="nil"/>
                  </w:tcBorders>
                  <w:vAlign w:val="center"/>
                </w:tcPr>
                <w:p>
                  <w:pPr>
                    <w:jc w:val="center"/>
                    <w:rPr>
                      <w:rFonts w:hint="default" w:ascii="Times New Roman" w:hAnsi="Times New Roman" w:cs="Times New Roman"/>
                      <w:sz w:val="15"/>
                      <w:szCs w:val="15"/>
                    </w:rPr>
                  </w:pPr>
                  <w:r>
                    <w:rPr>
                      <w:rFonts w:hint="default" w:ascii="Times New Roman" w:hAnsi="Times New Roman" w:cs="Times New Roman"/>
                      <w:sz w:val="15"/>
                      <w:szCs w:val="15"/>
                    </w:rPr>
                    <w:t>回用水</w:t>
                  </w:r>
                </w:p>
              </w:tc>
              <w:tc>
                <w:tcPr>
                  <w:tcW w:w="713" w:type="dxa"/>
                  <w:tcBorders>
                    <w:tl2br w:val="nil"/>
                    <w:tr2bl w:val="nil"/>
                  </w:tcBorders>
                  <w:vAlign w:val="center"/>
                </w:tcPr>
                <w:p>
                  <w:pPr>
                    <w:jc w:val="center"/>
                    <w:rPr>
                      <w:rFonts w:hint="default" w:ascii="Times New Roman" w:hAnsi="Times New Roman" w:cs="Times New Roman"/>
                      <w:sz w:val="15"/>
                      <w:szCs w:val="15"/>
                    </w:rPr>
                  </w:pPr>
                  <w:r>
                    <w:rPr>
                      <w:rFonts w:hint="default" w:ascii="Times New Roman" w:hAnsi="Times New Roman" w:cs="Times New Roman"/>
                      <w:sz w:val="15"/>
                      <w:szCs w:val="15"/>
                    </w:rPr>
                    <w:t>小计</w:t>
                  </w:r>
                </w:p>
              </w:tc>
              <w:tc>
                <w:tcPr>
                  <w:tcW w:w="912" w:type="dxa"/>
                  <w:tcBorders>
                    <w:tl2br w:val="nil"/>
                    <w:tr2bl w:val="nil"/>
                  </w:tcBorders>
                  <w:vAlign w:val="center"/>
                </w:tcPr>
                <w:p>
                  <w:pPr>
                    <w:jc w:val="center"/>
                    <w:rPr>
                      <w:rFonts w:hint="default" w:ascii="Times New Roman" w:hAnsi="Times New Roman" w:cs="Times New Roman"/>
                      <w:sz w:val="15"/>
                      <w:szCs w:val="15"/>
                    </w:rPr>
                  </w:pPr>
                  <w:r>
                    <w:rPr>
                      <w:rFonts w:hint="default" w:ascii="Times New Roman" w:hAnsi="Times New Roman" w:cs="Times New Roman"/>
                      <w:sz w:val="15"/>
                      <w:szCs w:val="15"/>
                    </w:rPr>
                    <w:t>产品、尾渣、污泥带走</w:t>
                  </w:r>
                </w:p>
              </w:tc>
              <w:tc>
                <w:tcPr>
                  <w:tcW w:w="734" w:type="dxa"/>
                  <w:tcBorders>
                    <w:tl2br w:val="nil"/>
                    <w:tr2bl w:val="nil"/>
                  </w:tcBorders>
                  <w:vAlign w:val="center"/>
                </w:tcPr>
                <w:p>
                  <w:pPr>
                    <w:jc w:val="center"/>
                    <w:rPr>
                      <w:rFonts w:hint="default" w:ascii="Times New Roman" w:hAnsi="Times New Roman" w:cs="Times New Roman"/>
                      <w:sz w:val="15"/>
                      <w:szCs w:val="15"/>
                    </w:rPr>
                  </w:pPr>
                  <w:r>
                    <w:rPr>
                      <w:rFonts w:hint="default" w:ascii="Times New Roman" w:hAnsi="Times New Roman" w:cs="Times New Roman"/>
                      <w:sz w:val="15"/>
                      <w:szCs w:val="15"/>
                    </w:rPr>
                    <w:t>挥发等损耗</w:t>
                  </w:r>
                </w:p>
              </w:tc>
              <w:tc>
                <w:tcPr>
                  <w:tcW w:w="770" w:type="dxa"/>
                  <w:tcBorders>
                    <w:tl2br w:val="nil"/>
                    <w:tr2bl w:val="nil"/>
                  </w:tcBorders>
                  <w:vAlign w:val="center"/>
                </w:tcPr>
                <w:p>
                  <w:pPr>
                    <w:jc w:val="center"/>
                    <w:rPr>
                      <w:rFonts w:hint="default" w:ascii="Times New Roman" w:hAnsi="Times New Roman" w:cs="Times New Roman"/>
                      <w:sz w:val="15"/>
                      <w:szCs w:val="15"/>
                    </w:rPr>
                  </w:pPr>
                  <w:r>
                    <w:rPr>
                      <w:rFonts w:hint="default" w:ascii="Times New Roman" w:hAnsi="Times New Roman" w:cs="Times New Roman"/>
                      <w:sz w:val="15"/>
                      <w:szCs w:val="15"/>
                    </w:rPr>
                    <w:t>产生</w:t>
                  </w:r>
                </w:p>
              </w:tc>
              <w:tc>
                <w:tcPr>
                  <w:tcW w:w="672" w:type="dxa"/>
                  <w:tcBorders>
                    <w:tl2br w:val="nil"/>
                    <w:tr2bl w:val="nil"/>
                  </w:tcBorders>
                  <w:vAlign w:val="center"/>
                </w:tcPr>
                <w:p>
                  <w:pPr>
                    <w:jc w:val="center"/>
                    <w:rPr>
                      <w:rFonts w:hint="default" w:ascii="Times New Roman" w:hAnsi="Times New Roman" w:cs="Times New Roman"/>
                      <w:sz w:val="15"/>
                      <w:szCs w:val="15"/>
                    </w:rPr>
                  </w:pPr>
                  <w:r>
                    <w:rPr>
                      <w:rFonts w:hint="default" w:ascii="Times New Roman" w:hAnsi="Times New Roman" w:cs="Times New Roman"/>
                      <w:sz w:val="15"/>
                      <w:szCs w:val="15"/>
                    </w:rPr>
                    <w:t>排放</w:t>
                  </w:r>
                </w:p>
              </w:tc>
              <w:tc>
                <w:tcPr>
                  <w:tcW w:w="714" w:type="dxa"/>
                  <w:vMerge w:val="continue"/>
                  <w:tcBorders>
                    <w:tl2br w:val="nil"/>
                    <w:tr2bl w:val="nil"/>
                  </w:tcBorders>
                  <w:vAlign w:val="center"/>
                </w:tcPr>
                <w:p>
                  <w:pPr>
                    <w:jc w:val="center"/>
                    <w:rPr>
                      <w:rFonts w:hint="default" w:ascii="Times New Roman" w:hAnsi="Times New Roman" w:cs="Times New Roman"/>
                      <w:sz w:val="15"/>
                      <w:szCs w:val="15"/>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66" w:type="dxa"/>
                  <w:tcBorders>
                    <w:tl2br w:val="nil"/>
                    <w:tr2bl w:val="nil"/>
                  </w:tcBorders>
                  <w:vAlign w:val="center"/>
                </w:tcPr>
                <w:p>
                  <w:pPr>
                    <w:jc w:val="center"/>
                    <w:rPr>
                      <w:rFonts w:hint="default" w:ascii="Times New Roman" w:hAnsi="Times New Roman" w:cs="Times New Roman"/>
                      <w:sz w:val="15"/>
                      <w:szCs w:val="15"/>
                    </w:rPr>
                  </w:pPr>
                  <w:r>
                    <w:rPr>
                      <w:rFonts w:hint="default" w:ascii="Times New Roman" w:hAnsi="Times New Roman" w:cs="Times New Roman"/>
                      <w:sz w:val="15"/>
                      <w:szCs w:val="15"/>
                    </w:rPr>
                    <w:t>1</w:t>
                  </w:r>
                </w:p>
              </w:tc>
              <w:tc>
                <w:tcPr>
                  <w:tcW w:w="748" w:type="dxa"/>
                  <w:tcBorders>
                    <w:tl2br w:val="nil"/>
                    <w:tr2bl w:val="nil"/>
                  </w:tcBorders>
                  <w:vAlign w:val="center"/>
                </w:tcPr>
                <w:p>
                  <w:pPr>
                    <w:jc w:val="center"/>
                    <w:rPr>
                      <w:rFonts w:hint="default" w:ascii="Times New Roman" w:hAnsi="Times New Roman" w:cs="Times New Roman"/>
                      <w:sz w:val="15"/>
                      <w:szCs w:val="15"/>
                    </w:rPr>
                  </w:pPr>
                  <w:r>
                    <w:rPr>
                      <w:rFonts w:hint="default" w:ascii="Times New Roman" w:hAnsi="Times New Roman" w:cs="Times New Roman"/>
                      <w:sz w:val="15"/>
                      <w:szCs w:val="15"/>
                    </w:rPr>
                    <w:t>生产用水</w:t>
                  </w:r>
                </w:p>
              </w:tc>
              <w:tc>
                <w:tcPr>
                  <w:tcW w:w="674" w:type="dxa"/>
                  <w:tcBorders>
                    <w:tl2br w:val="nil"/>
                    <w:tr2bl w:val="nil"/>
                  </w:tcBorders>
                  <w:vAlign w:val="center"/>
                </w:tcPr>
                <w:p>
                  <w:pPr>
                    <w:jc w:val="center"/>
                    <w:rPr>
                      <w:rFonts w:hint="default" w:ascii="Times New Roman" w:hAnsi="Times New Roman" w:cs="Times New Roman"/>
                      <w:sz w:val="15"/>
                      <w:szCs w:val="15"/>
                    </w:rPr>
                  </w:pPr>
                  <w:r>
                    <w:rPr>
                      <w:rFonts w:hint="default" w:ascii="Times New Roman" w:hAnsi="Times New Roman" w:cs="Times New Roman"/>
                      <w:sz w:val="15"/>
                      <w:szCs w:val="15"/>
                    </w:rPr>
                    <w:t>17.92</w:t>
                  </w:r>
                </w:p>
              </w:tc>
              <w:tc>
                <w:tcPr>
                  <w:tcW w:w="670" w:type="dxa"/>
                  <w:tcBorders>
                    <w:tl2br w:val="nil"/>
                    <w:tr2bl w:val="nil"/>
                  </w:tcBorders>
                  <w:vAlign w:val="center"/>
                </w:tcPr>
                <w:p>
                  <w:pPr>
                    <w:jc w:val="center"/>
                    <w:rPr>
                      <w:rFonts w:hint="default" w:ascii="Times New Roman" w:hAnsi="Times New Roman" w:cs="Times New Roman"/>
                      <w:sz w:val="15"/>
                      <w:szCs w:val="15"/>
                    </w:rPr>
                  </w:pPr>
                  <w:r>
                    <w:rPr>
                      <w:rFonts w:hint="default" w:ascii="Times New Roman" w:hAnsi="Times New Roman" w:cs="Times New Roman"/>
                      <w:sz w:val="15"/>
                      <w:szCs w:val="15"/>
                    </w:rPr>
                    <w:t>26.67</w:t>
                  </w:r>
                </w:p>
              </w:tc>
              <w:tc>
                <w:tcPr>
                  <w:tcW w:w="902" w:type="dxa"/>
                  <w:tcBorders>
                    <w:tl2br w:val="nil"/>
                    <w:tr2bl w:val="nil"/>
                  </w:tcBorders>
                  <w:vAlign w:val="center"/>
                </w:tcPr>
                <w:p>
                  <w:pPr>
                    <w:jc w:val="center"/>
                    <w:rPr>
                      <w:rFonts w:hint="default" w:ascii="Times New Roman" w:hAnsi="Times New Roman" w:cs="Times New Roman"/>
                      <w:sz w:val="15"/>
                      <w:szCs w:val="15"/>
                    </w:rPr>
                  </w:pPr>
                  <w:r>
                    <w:rPr>
                      <w:rFonts w:hint="default" w:ascii="Times New Roman" w:hAnsi="Times New Roman" w:cs="Times New Roman"/>
                      <w:sz w:val="15"/>
                      <w:szCs w:val="15"/>
                    </w:rPr>
                    <w:t>123.06（含初期雨水3）</w:t>
                  </w:r>
                </w:p>
              </w:tc>
              <w:tc>
                <w:tcPr>
                  <w:tcW w:w="713" w:type="dxa"/>
                  <w:tcBorders>
                    <w:tl2br w:val="nil"/>
                    <w:tr2bl w:val="nil"/>
                  </w:tcBorders>
                  <w:vAlign w:val="center"/>
                </w:tcPr>
                <w:p>
                  <w:pPr>
                    <w:jc w:val="center"/>
                    <w:rPr>
                      <w:rFonts w:hint="default" w:ascii="Times New Roman" w:hAnsi="Times New Roman" w:cs="Times New Roman"/>
                      <w:sz w:val="15"/>
                      <w:szCs w:val="15"/>
                    </w:rPr>
                  </w:pPr>
                  <w:r>
                    <w:rPr>
                      <w:rFonts w:hint="default" w:ascii="Times New Roman" w:hAnsi="Times New Roman" w:cs="Times New Roman"/>
                      <w:sz w:val="15"/>
                      <w:szCs w:val="15"/>
                    </w:rPr>
                    <w:t>167.65</w:t>
                  </w:r>
                </w:p>
              </w:tc>
              <w:tc>
                <w:tcPr>
                  <w:tcW w:w="912" w:type="dxa"/>
                  <w:tcBorders>
                    <w:tl2br w:val="nil"/>
                    <w:tr2bl w:val="nil"/>
                  </w:tcBorders>
                  <w:vAlign w:val="center"/>
                </w:tcPr>
                <w:p>
                  <w:pPr>
                    <w:jc w:val="center"/>
                    <w:rPr>
                      <w:rFonts w:hint="default" w:ascii="Times New Roman" w:hAnsi="Times New Roman" w:cs="Times New Roman"/>
                      <w:sz w:val="15"/>
                      <w:szCs w:val="15"/>
                    </w:rPr>
                  </w:pPr>
                  <w:r>
                    <w:rPr>
                      <w:rFonts w:hint="default" w:ascii="Times New Roman" w:hAnsi="Times New Roman" w:cs="Times New Roman"/>
                      <w:sz w:val="15"/>
                      <w:szCs w:val="15"/>
                    </w:rPr>
                    <w:t>36.11</w:t>
                  </w:r>
                </w:p>
              </w:tc>
              <w:tc>
                <w:tcPr>
                  <w:tcW w:w="734" w:type="dxa"/>
                  <w:tcBorders>
                    <w:tl2br w:val="nil"/>
                    <w:tr2bl w:val="nil"/>
                  </w:tcBorders>
                  <w:vAlign w:val="center"/>
                </w:tcPr>
                <w:p>
                  <w:pPr>
                    <w:jc w:val="center"/>
                    <w:rPr>
                      <w:rFonts w:hint="default" w:ascii="Times New Roman" w:hAnsi="Times New Roman" w:cs="Times New Roman"/>
                      <w:sz w:val="15"/>
                      <w:szCs w:val="15"/>
                    </w:rPr>
                  </w:pPr>
                  <w:r>
                    <w:rPr>
                      <w:rFonts w:hint="default" w:ascii="Times New Roman" w:hAnsi="Times New Roman" w:cs="Times New Roman"/>
                      <w:sz w:val="15"/>
                      <w:szCs w:val="15"/>
                    </w:rPr>
                    <w:t>11.48</w:t>
                  </w:r>
                </w:p>
              </w:tc>
              <w:tc>
                <w:tcPr>
                  <w:tcW w:w="770" w:type="dxa"/>
                  <w:tcBorders>
                    <w:tl2br w:val="nil"/>
                    <w:tr2bl w:val="nil"/>
                  </w:tcBorders>
                  <w:vAlign w:val="center"/>
                </w:tcPr>
                <w:p>
                  <w:pPr>
                    <w:jc w:val="center"/>
                    <w:rPr>
                      <w:rFonts w:hint="default" w:ascii="Times New Roman" w:hAnsi="Times New Roman" w:cs="Times New Roman"/>
                      <w:sz w:val="15"/>
                      <w:szCs w:val="15"/>
                    </w:rPr>
                  </w:pPr>
                  <w:r>
                    <w:rPr>
                      <w:rFonts w:hint="default" w:ascii="Times New Roman" w:hAnsi="Times New Roman" w:cs="Times New Roman"/>
                      <w:sz w:val="15"/>
                      <w:szCs w:val="15"/>
                    </w:rPr>
                    <w:t>120.06</w:t>
                  </w:r>
                </w:p>
              </w:tc>
              <w:tc>
                <w:tcPr>
                  <w:tcW w:w="672" w:type="dxa"/>
                  <w:tcBorders>
                    <w:tl2br w:val="nil"/>
                    <w:tr2bl w:val="nil"/>
                  </w:tcBorders>
                  <w:vAlign w:val="center"/>
                </w:tcPr>
                <w:p>
                  <w:pPr>
                    <w:jc w:val="center"/>
                    <w:rPr>
                      <w:rFonts w:hint="default" w:ascii="Times New Roman" w:hAnsi="Times New Roman" w:cs="Times New Roman"/>
                      <w:sz w:val="15"/>
                      <w:szCs w:val="15"/>
                    </w:rPr>
                  </w:pPr>
                  <w:r>
                    <w:rPr>
                      <w:rFonts w:hint="default" w:ascii="Times New Roman" w:hAnsi="Times New Roman" w:cs="Times New Roman"/>
                      <w:sz w:val="15"/>
                      <w:szCs w:val="15"/>
                    </w:rPr>
                    <w:t>0</w:t>
                  </w:r>
                </w:p>
              </w:tc>
              <w:tc>
                <w:tcPr>
                  <w:tcW w:w="714" w:type="dxa"/>
                  <w:tcBorders>
                    <w:tl2br w:val="nil"/>
                    <w:tr2bl w:val="nil"/>
                  </w:tcBorders>
                  <w:vAlign w:val="center"/>
                </w:tcPr>
                <w:p>
                  <w:pPr>
                    <w:jc w:val="center"/>
                    <w:rPr>
                      <w:rFonts w:hint="default" w:ascii="Times New Roman" w:hAnsi="Times New Roman" w:cs="Times New Roman"/>
                      <w:sz w:val="15"/>
                      <w:szCs w:val="15"/>
                    </w:rPr>
                  </w:pPr>
                  <w:r>
                    <w:rPr>
                      <w:rFonts w:hint="default" w:ascii="Times New Roman" w:hAnsi="Times New Roman" w:cs="Times New Roman"/>
                      <w:sz w:val="15"/>
                      <w:szCs w:val="15"/>
                    </w:rPr>
                    <w:t>167.65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c>
                <w:tcPr>
                  <w:tcW w:w="466" w:type="dxa"/>
                  <w:tcBorders>
                    <w:tl2br w:val="nil"/>
                    <w:tr2bl w:val="nil"/>
                  </w:tcBorders>
                  <w:vAlign w:val="center"/>
                </w:tcPr>
                <w:p>
                  <w:pPr>
                    <w:jc w:val="center"/>
                    <w:rPr>
                      <w:rFonts w:hint="default" w:ascii="Times New Roman" w:hAnsi="Times New Roman" w:cs="Times New Roman"/>
                      <w:sz w:val="15"/>
                      <w:szCs w:val="15"/>
                    </w:rPr>
                  </w:pPr>
                  <w:r>
                    <w:rPr>
                      <w:rFonts w:hint="default" w:ascii="Times New Roman" w:hAnsi="Times New Roman" w:cs="Times New Roman"/>
                      <w:sz w:val="15"/>
                      <w:szCs w:val="15"/>
                    </w:rPr>
                    <w:t>2</w:t>
                  </w:r>
                </w:p>
              </w:tc>
              <w:tc>
                <w:tcPr>
                  <w:tcW w:w="748" w:type="dxa"/>
                  <w:tcBorders>
                    <w:tl2br w:val="nil"/>
                    <w:tr2bl w:val="nil"/>
                  </w:tcBorders>
                  <w:vAlign w:val="center"/>
                </w:tcPr>
                <w:p>
                  <w:pPr>
                    <w:jc w:val="center"/>
                    <w:rPr>
                      <w:rFonts w:hint="default" w:ascii="Times New Roman" w:hAnsi="Times New Roman" w:cs="Times New Roman"/>
                      <w:sz w:val="15"/>
                      <w:szCs w:val="15"/>
                    </w:rPr>
                  </w:pPr>
                  <w:r>
                    <w:rPr>
                      <w:rFonts w:hint="default" w:ascii="Times New Roman" w:hAnsi="Times New Roman" w:cs="Times New Roman"/>
                      <w:sz w:val="15"/>
                      <w:szCs w:val="15"/>
                    </w:rPr>
                    <w:t>道路抑尘用水</w:t>
                  </w:r>
                </w:p>
              </w:tc>
              <w:tc>
                <w:tcPr>
                  <w:tcW w:w="674" w:type="dxa"/>
                  <w:tcBorders>
                    <w:tl2br w:val="nil"/>
                    <w:tr2bl w:val="nil"/>
                  </w:tcBorders>
                  <w:vAlign w:val="center"/>
                </w:tcPr>
                <w:p>
                  <w:pPr>
                    <w:jc w:val="center"/>
                    <w:rPr>
                      <w:rFonts w:hint="default" w:ascii="Times New Roman" w:hAnsi="Times New Roman" w:cs="Times New Roman"/>
                      <w:sz w:val="15"/>
                      <w:szCs w:val="15"/>
                    </w:rPr>
                  </w:pPr>
                  <w:r>
                    <w:rPr>
                      <w:rFonts w:hint="default" w:ascii="Times New Roman" w:hAnsi="Times New Roman" w:cs="Times New Roman"/>
                      <w:sz w:val="15"/>
                      <w:szCs w:val="15"/>
                    </w:rPr>
                    <w:t>0.9</w:t>
                  </w:r>
                </w:p>
              </w:tc>
              <w:tc>
                <w:tcPr>
                  <w:tcW w:w="670" w:type="dxa"/>
                  <w:tcBorders>
                    <w:tl2br w:val="nil"/>
                    <w:tr2bl w:val="nil"/>
                  </w:tcBorders>
                  <w:vAlign w:val="center"/>
                </w:tcPr>
                <w:p>
                  <w:pPr>
                    <w:jc w:val="center"/>
                    <w:rPr>
                      <w:rFonts w:hint="default" w:ascii="Times New Roman" w:hAnsi="Times New Roman" w:cs="Times New Roman"/>
                      <w:sz w:val="15"/>
                      <w:szCs w:val="15"/>
                    </w:rPr>
                  </w:pPr>
                  <w:r>
                    <w:rPr>
                      <w:rFonts w:hint="default" w:ascii="Times New Roman" w:hAnsi="Times New Roman" w:cs="Times New Roman"/>
                      <w:sz w:val="15"/>
                      <w:szCs w:val="15"/>
                    </w:rPr>
                    <w:t>0</w:t>
                  </w:r>
                </w:p>
              </w:tc>
              <w:tc>
                <w:tcPr>
                  <w:tcW w:w="902" w:type="dxa"/>
                  <w:tcBorders>
                    <w:tl2br w:val="nil"/>
                    <w:tr2bl w:val="nil"/>
                  </w:tcBorders>
                  <w:vAlign w:val="center"/>
                </w:tcPr>
                <w:p>
                  <w:pPr>
                    <w:jc w:val="center"/>
                    <w:rPr>
                      <w:rFonts w:hint="default" w:ascii="Times New Roman" w:hAnsi="Times New Roman" w:cs="Times New Roman"/>
                      <w:sz w:val="15"/>
                      <w:szCs w:val="15"/>
                    </w:rPr>
                  </w:pPr>
                  <w:r>
                    <w:rPr>
                      <w:rFonts w:hint="default" w:ascii="Times New Roman" w:hAnsi="Times New Roman" w:cs="Times New Roman"/>
                      <w:sz w:val="15"/>
                      <w:szCs w:val="15"/>
                    </w:rPr>
                    <w:t>0</w:t>
                  </w:r>
                </w:p>
              </w:tc>
              <w:tc>
                <w:tcPr>
                  <w:tcW w:w="713" w:type="dxa"/>
                  <w:tcBorders>
                    <w:tl2br w:val="nil"/>
                    <w:tr2bl w:val="nil"/>
                  </w:tcBorders>
                  <w:vAlign w:val="center"/>
                </w:tcPr>
                <w:p>
                  <w:pPr>
                    <w:jc w:val="center"/>
                    <w:rPr>
                      <w:rFonts w:hint="default" w:ascii="Times New Roman" w:hAnsi="Times New Roman" w:cs="Times New Roman"/>
                      <w:sz w:val="15"/>
                      <w:szCs w:val="15"/>
                    </w:rPr>
                  </w:pPr>
                  <w:r>
                    <w:rPr>
                      <w:rFonts w:hint="default" w:ascii="Times New Roman" w:hAnsi="Times New Roman" w:cs="Times New Roman"/>
                      <w:sz w:val="15"/>
                      <w:szCs w:val="15"/>
                    </w:rPr>
                    <w:t>0.9</w:t>
                  </w:r>
                </w:p>
              </w:tc>
              <w:tc>
                <w:tcPr>
                  <w:tcW w:w="912" w:type="dxa"/>
                  <w:tcBorders>
                    <w:tl2br w:val="nil"/>
                    <w:tr2bl w:val="nil"/>
                  </w:tcBorders>
                  <w:vAlign w:val="center"/>
                </w:tcPr>
                <w:p>
                  <w:pPr>
                    <w:jc w:val="center"/>
                    <w:rPr>
                      <w:rFonts w:hint="default" w:ascii="Times New Roman" w:hAnsi="Times New Roman" w:cs="Times New Roman"/>
                      <w:sz w:val="15"/>
                      <w:szCs w:val="15"/>
                    </w:rPr>
                  </w:pPr>
                  <w:r>
                    <w:rPr>
                      <w:rFonts w:hint="default" w:ascii="Times New Roman" w:hAnsi="Times New Roman" w:cs="Times New Roman"/>
                      <w:sz w:val="15"/>
                      <w:szCs w:val="15"/>
                    </w:rPr>
                    <w:t>0</w:t>
                  </w:r>
                </w:p>
              </w:tc>
              <w:tc>
                <w:tcPr>
                  <w:tcW w:w="734" w:type="dxa"/>
                  <w:tcBorders>
                    <w:tl2br w:val="nil"/>
                    <w:tr2bl w:val="nil"/>
                  </w:tcBorders>
                  <w:vAlign w:val="center"/>
                </w:tcPr>
                <w:p>
                  <w:pPr>
                    <w:jc w:val="center"/>
                    <w:rPr>
                      <w:rFonts w:hint="default" w:ascii="Times New Roman" w:hAnsi="Times New Roman" w:cs="Times New Roman"/>
                      <w:sz w:val="15"/>
                      <w:szCs w:val="15"/>
                    </w:rPr>
                  </w:pPr>
                  <w:r>
                    <w:rPr>
                      <w:rFonts w:hint="default" w:ascii="Times New Roman" w:hAnsi="Times New Roman" w:cs="Times New Roman"/>
                      <w:sz w:val="15"/>
                      <w:szCs w:val="15"/>
                    </w:rPr>
                    <w:t>0.9</w:t>
                  </w:r>
                </w:p>
              </w:tc>
              <w:tc>
                <w:tcPr>
                  <w:tcW w:w="770" w:type="dxa"/>
                  <w:tcBorders>
                    <w:tl2br w:val="nil"/>
                    <w:tr2bl w:val="nil"/>
                  </w:tcBorders>
                  <w:vAlign w:val="center"/>
                </w:tcPr>
                <w:p>
                  <w:pPr>
                    <w:jc w:val="center"/>
                    <w:rPr>
                      <w:rFonts w:hint="default" w:ascii="Times New Roman" w:hAnsi="Times New Roman" w:cs="Times New Roman"/>
                      <w:sz w:val="15"/>
                      <w:szCs w:val="15"/>
                    </w:rPr>
                  </w:pPr>
                  <w:r>
                    <w:rPr>
                      <w:rFonts w:hint="default" w:ascii="Times New Roman" w:hAnsi="Times New Roman" w:cs="Times New Roman"/>
                      <w:sz w:val="15"/>
                      <w:szCs w:val="15"/>
                    </w:rPr>
                    <w:t>0</w:t>
                  </w:r>
                </w:p>
              </w:tc>
              <w:tc>
                <w:tcPr>
                  <w:tcW w:w="672" w:type="dxa"/>
                  <w:tcBorders>
                    <w:tl2br w:val="nil"/>
                    <w:tr2bl w:val="nil"/>
                  </w:tcBorders>
                  <w:vAlign w:val="center"/>
                </w:tcPr>
                <w:p>
                  <w:pPr>
                    <w:jc w:val="center"/>
                    <w:rPr>
                      <w:rFonts w:hint="default" w:ascii="Times New Roman" w:hAnsi="Times New Roman" w:cs="Times New Roman"/>
                      <w:sz w:val="15"/>
                      <w:szCs w:val="15"/>
                    </w:rPr>
                  </w:pPr>
                  <w:r>
                    <w:rPr>
                      <w:rFonts w:hint="default" w:ascii="Times New Roman" w:hAnsi="Times New Roman" w:cs="Times New Roman"/>
                      <w:sz w:val="15"/>
                      <w:szCs w:val="15"/>
                    </w:rPr>
                    <w:t>0</w:t>
                  </w:r>
                </w:p>
              </w:tc>
              <w:tc>
                <w:tcPr>
                  <w:tcW w:w="714" w:type="dxa"/>
                  <w:tcBorders>
                    <w:tl2br w:val="nil"/>
                    <w:tr2bl w:val="nil"/>
                  </w:tcBorders>
                  <w:vAlign w:val="center"/>
                </w:tcPr>
                <w:p>
                  <w:pPr>
                    <w:jc w:val="center"/>
                    <w:rPr>
                      <w:rFonts w:hint="default" w:ascii="Times New Roman" w:hAnsi="Times New Roman" w:cs="Times New Roman"/>
                      <w:sz w:val="15"/>
                      <w:szCs w:val="15"/>
                    </w:rPr>
                  </w:pPr>
                  <w:r>
                    <w:rPr>
                      <w:rFonts w:hint="default" w:ascii="Times New Roman" w:hAnsi="Times New Roman" w:cs="Times New Roman"/>
                      <w:sz w:val="15"/>
                      <w:szCs w:val="15"/>
                    </w:rPr>
                    <w:t>0.9</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66" w:type="dxa"/>
                  <w:tcBorders>
                    <w:tl2br w:val="nil"/>
                    <w:tr2bl w:val="nil"/>
                  </w:tcBorders>
                  <w:vAlign w:val="center"/>
                </w:tcPr>
                <w:p>
                  <w:pPr>
                    <w:jc w:val="center"/>
                    <w:rPr>
                      <w:rFonts w:hint="default" w:ascii="Times New Roman" w:hAnsi="Times New Roman" w:cs="Times New Roman"/>
                      <w:sz w:val="15"/>
                      <w:szCs w:val="15"/>
                    </w:rPr>
                  </w:pPr>
                  <w:r>
                    <w:rPr>
                      <w:rFonts w:hint="default" w:ascii="Times New Roman" w:hAnsi="Times New Roman" w:cs="Times New Roman"/>
                      <w:sz w:val="15"/>
                      <w:szCs w:val="15"/>
                    </w:rPr>
                    <w:t>3</w:t>
                  </w:r>
                </w:p>
              </w:tc>
              <w:tc>
                <w:tcPr>
                  <w:tcW w:w="748" w:type="dxa"/>
                  <w:tcBorders>
                    <w:tl2br w:val="nil"/>
                    <w:tr2bl w:val="nil"/>
                  </w:tcBorders>
                  <w:vAlign w:val="center"/>
                </w:tcPr>
                <w:p>
                  <w:pPr>
                    <w:jc w:val="center"/>
                    <w:rPr>
                      <w:rFonts w:hint="default" w:ascii="Times New Roman" w:hAnsi="Times New Roman" w:cs="Times New Roman"/>
                      <w:sz w:val="15"/>
                      <w:szCs w:val="15"/>
                    </w:rPr>
                  </w:pPr>
                  <w:r>
                    <w:rPr>
                      <w:rFonts w:hint="default" w:ascii="Times New Roman" w:hAnsi="Times New Roman" w:cs="Times New Roman"/>
                      <w:sz w:val="15"/>
                      <w:szCs w:val="15"/>
                    </w:rPr>
                    <w:t>生活用水</w:t>
                  </w:r>
                </w:p>
              </w:tc>
              <w:tc>
                <w:tcPr>
                  <w:tcW w:w="674" w:type="dxa"/>
                  <w:tcBorders>
                    <w:tl2br w:val="nil"/>
                    <w:tr2bl w:val="nil"/>
                  </w:tcBorders>
                  <w:vAlign w:val="center"/>
                </w:tcPr>
                <w:p>
                  <w:pPr>
                    <w:jc w:val="center"/>
                    <w:rPr>
                      <w:rFonts w:hint="default" w:ascii="Times New Roman" w:hAnsi="Times New Roman" w:cs="Times New Roman"/>
                      <w:sz w:val="15"/>
                      <w:szCs w:val="15"/>
                    </w:rPr>
                  </w:pPr>
                  <w:r>
                    <w:rPr>
                      <w:rFonts w:hint="default" w:ascii="Times New Roman" w:hAnsi="Times New Roman" w:cs="Times New Roman"/>
                      <w:sz w:val="15"/>
                      <w:szCs w:val="15"/>
                    </w:rPr>
                    <w:t>0.5</w:t>
                  </w:r>
                </w:p>
              </w:tc>
              <w:tc>
                <w:tcPr>
                  <w:tcW w:w="670" w:type="dxa"/>
                  <w:tcBorders>
                    <w:tl2br w:val="nil"/>
                    <w:tr2bl w:val="nil"/>
                  </w:tcBorders>
                  <w:vAlign w:val="center"/>
                </w:tcPr>
                <w:p>
                  <w:pPr>
                    <w:jc w:val="center"/>
                    <w:rPr>
                      <w:rFonts w:hint="default" w:ascii="Times New Roman" w:hAnsi="Times New Roman" w:cs="Times New Roman"/>
                      <w:sz w:val="15"/>
                      <w:szCs w:val="15"/>
                    </w:rPr>
                  </w:pPr>
                  <w:r>
                    <w:rPr>
                      <w:rFonts w:hint="default" w:ascii="Times New Roman" w:hAnsi="Times New Roman" w:cs="Times New Roman"/>
                      <w:sz w:val="15"/>
                      <w:szCs w:val="15"/>
                    </w:rPr>
                    <w:t>0</w:t>
                  </w:r>
                </w:p>
              </w:tc>
              <w:tc>
                <w:tcPr>
                  <w:tcW w:w="902" w:type="dxa"/>
                  <w:tcBorders>
                    <w:tl2br w:val="nil"/>
                    <w:tr2bl w:val="nil"/>
                  </w:tcBorders>
                  <w:vAlign w:val="center"/>
                </w:tcPr>
                <w:p>
                  <w:pPr>
                    <w:jc w:val="center"/>
                    <w:rPr>
                      <w:rFonts w:hint="default" w:ascii="Times New Roman" w:hAnsi="Times New Roman" w:cs="Times New Roman"/>
                      <w:sz w:val="15"/>
                      <w:szCs w:val="15"/>
                    </w:rPr>
                  </w:pPr>
                  <w:r>
                    <w:rPr>
                      <w:rFonts w:hint="default" w:ascii="Times New Roman" w:hAnsi="Times New Roman" w:cs="Times New Roman"/>
                      <w:sz w:val="15"/>
                      <w:szCs w:val="15"/>
                    </w:rPr>
                    <w:t>0</w:t>
                  </w:r>
                </w:p>
              </w:tc>
              <w:tc>
                <w:tcPr>
                  <w:tcW w:w="713" w:type="dxa"/>
                  <w:tcBorders>
                    <w:tl2br w:val="nil"/>
                    <w:tr2bl w:val="nil"/>
                  </w:tcBorders>
                  <w:vAlign w:val="center"/>
                </w:tcPr>
                <w:p>
                  <w:pPr>
                    <w:jc w:val="center"/>
                    <w:rPr>
                      <w:rFonts w:hint="default" w:ascii="Times New Roman" w:hAnsi="Times New Roman" w:cs="Times New Roman"/>
                      <w:sz w:val="15"/>
                      <w:szCs w:val="15"/>
                    </w:rPr>
                  </w:pPr>
                  <w:r>
                    <w:rPr>
                      <w:rFonts w:hint="default" w:ascii="Times New Roman" w:hAnsi="Times New Roman" w:cs="Times New Roman"/>
                      <w:sz w:val="15"/>
                      <w:szCs w:val="15"/>
                    </w:rPr>
                    <w:t>0.5</w:t>
                  </w:r>
                </w:p>
              </w:tc>
              <w:tc>
                <w:tcPr>
                  <w:tcW w:w="912" w:type="dxa"/>
                  <w:tcBorders>
                    <w:tl2br w:val="nil"/>
                    <w:tr2bl w:val="nil"/>
                  </w:tcBorders>
                  <w:vAlign w:val="center"/>
                </w:tcPr>
                <w:p>
                  <w:pPr>
                    <w:jc w:val="center"/>
                    <w:rPr>
                      <w:rFonts w:hint="default" w:ascii="Times New Roman" w:hAnsi="Times New Roman" w:cs="Times New Roman"/>
                      <w:sz w:val="15"/>
                      <w:szCs w:val="15"/>
                    </w:rPr>
                  </w:pPr>
                  <w:r>
                    <w:rPr>
                      <w:rFonts w:hint="default" w:ascii="Times New Roman" w:hAnsi="Times New Roman" w:cs="Times New Roman"/>
                      <w:sz w:val="15"/>
                      <w:szCs w:val="15"/>
                    </w:rPr>
                    <w:t>0</w:t>
                  </w:r>
                </w:p>
              </w:tc>
              <w:tc>
                <w:tcPr>
                  <w:tcW w:w="734" w:type="dxa"/>
                  <w:tcBorders>
                    <w:tl2br w:val="nil"/>
                    <w:tr2bl w:val="nil"/>
                  </w:tcBorders>
                  <w:vAlign w:val="center"/>
                </w:tcPr>
                <w:p>
                  <w:pPr>
                    <w:jc w:val="center"/>
                    <w:rPr>
                      <w:rFonts w:hint="default" w:ascii="Times New Roman" w:hAnsi="Times New Roman" w:cs="Times New Roman"/>
                      <w:sz w:val="15"/>
                      <w:szCs w:val="15"/>
                    </w:rPr>
                  </w:pPr>
                  <w:r>
                    <w:rPr>
                      <w:rFonts w:hint="default" w:ascii="Times New Roman" w:hAnsi="Times New Roman" w:cs="Times New Roman"/>
                      <w:sz w:val="15"/>
                      <w:szCs w:val="15"/>
                    </w:rPr>
                    <w:t>0.05</w:t>
                  </w:r>
                </w:p>
              </w:tc>
              <w:tc>
                <w:tcPr>
                  <w:tcW w:w="770" w:type="dxa"/>
                  <w:tcBorders>
                    <w:tl2br w:val="nil"/>
                    <w:tr2bl w:val="nil"/>
                  </w:tcBorders>
                  <w:vAlign w:val="center"/>
                </w:tcPr>
                <w:p>
                  <w:pPr>
                    <w:jc w:val="center"/>
                    <w:rPr>
                      <w:rFonts w:hint="default" w:ascii="Times New Roman" w:hAnsi="Times New Roman" w:eastAsia="宋体" w:cs="Times New Roman"/>
                      <w:sz w:val="15"/>
                      <w:szCs w:val="15"/>
                      <w:lang w:val="en-US" w:eastAsia="zh-CN"/>
                    </w:rPr>
                  </w:pPr>
                  <w:r>
                    <w:rPr>
                      <w:rFonts w:hint="default" w:ascii="Times New Roman" w:hAnsi="Times New Roman" w:cs="Times New Roman"/>
                      <w:sz w:val="15"/>
                      <w:szCs w:val="15"/>
                      <w:lang w:val="en-US" w:eastAsia="zh-CN"/>
                    </w:rPr>
                    <w:t>0</w:t>
                  </w:r>
                </w:p>
              </w:tc>
              <w:tc>
                <w:tcPr>
                  <w:tcW w:w="672" w:type="dxa"/>
                  <w:tcBorders>
                    <w:tl2br w:val="nil"/>
                    <w:tr2bl w:val="nil"/>
                  </w:tcBorders>
                  <w:vAlign w:val="center"/>
                </w:tcPr>
                <w:p>
                  <w:pPr>
                    <w:ind w:left="-120" w:leftChars="-50" w:right="-120" w:rightChars="-50"/>
                    <w:jc w:val="center"/>
                    <w:rPr>
                      <w:rFonts w:hint="default" w:ascii="Times New Roman" w:hAnsi="Times New Roman" w:cs="Times New Roman"/>
                      <w:sz w:val="15"/>
                      <w:szCs w:val="15"/>
                    </w:rPr>
                  </w:pPr>
                  <w:r>
                    <w:rPr>
                      <w:rFonts w:hint="default" w:ascii="Times New Roman" w:hAnsi="Times New Roman" w:cs="Times New Roman"/>
                      <w:sz w:val="15"/>
                      <w:szCs w:val="15"/>
                    </w:rPr>
                    <w:t>0.45</w:t>
                  </w:r>
                </w:p>
                <w:p>
                  <w:pPr>
                    <w:ind w:left="-120" w:leftChars="-50" w:right="-120" w:rightChars="-50"/>
                    <w:jc w:val="center"/>
                    <w:rPr>
                      <w:rFonts w:hint="default" w:ascii="Times New Roman" w:hAnsi="Times New Roman" w:cs="Times New Roman"/>
                      <w:sz w:val="15"/>
                      <w:szCs w:val="15"/>
                    </w:rPr>
                  </w:pPr>
                  <w:r>
                    <w:rPr>
                      <w:rFonts w:hint="default" w:ascii="Times New Roman" w:hAnsi="Times New Roman" w:cs="Times New Roman"/>
                      <w:sz w:val="15"/>
                      <w:szCs w:val="15"/>
                    </w:rPr>
                    <w:t>（灌溉）</w:t>
                  </w:r>
                </w:p>
              </w:tc>
              <w:tc>
                <w:tcPr>
                  <w:tcW w:w="714" w:type="dxa"/>
                  <w:tcBorders>
                    <w:tl2br w:val="nil"/>
                    <w:tr2bl w:val="nil"/>
                  </w:tcBorders>
                  <w:vAlign w:val="center"/>
                </w:tcPr>
                <w:p>
                  <w:pPr>
                    <w:jc w:val="center"/>
                    <w:rPr>
                      <w:rFonts w:hint="default" w:ascii="Times New Roman" w:hAnsi="Times New Roman" w:cs="Times New Roman"/>
                      <w:sz w:val="15"/>
                      <w:szCs w:val="15"/>
                    </w:rPr>
                  </w:pPr>
                  <w:r>
                    <w:rPr>
                      <w:rFonts w:hint="default" w:ascii="Times New Roman" w:hAnsi="Times New Roman" w:cs="Times New Roman"/>
                      <w:sz w:val="15"/>
                      <w:szCs w:val="15"/>
                    </w:rPr>
                    <w:t>0.5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66" w:type="dxa"/>
                  <w:tcBorders>
                    <w:tl2br w:val="nil"/>
                    <w:tr2bl w:val="nil"/>
                  </w:tcBorders>
                  <w:vAlign w:val="center"/>
                </w:tcPr>
                <w:p>
                  <w:pPr>
                    <w:jc w:val="center"/>
                    <w:rPr>
                      <w:rFonts w:hint="default" w:ascii="Times New Roman" w:hAnsi="Times New Roman" w:cs="Times New Roman"/>
                      <w:sz w:val="15"/>
                      <w:szCs w:val="15"/>
                    </w:rPr>
                  </w:pPr>
                  <w:r>
                    <w:rPr>
                      <w:rFonts w:hint="default" w:ascii="Times New Roman" w:hAnsi="Times New Roman" w:cs="Times New Roman"/>
                      <w:sz w:val="15"/>
                      <w:szCs w:val="15"/>
                    </w:rPr>
                    <w:t>4</w:t>
                  </w:r>
                </w:p>
              </w:tc>
              <w:tc>
                <w:tcPr>
                  <w:tcW w:w="748" w:type="dxa"/>
                  <w:tcBorders>
                    <w:tl2br w:val="nil"/>
                    <w:tr2bl w:val="nil"/>
                  </w:tcBorders>
                  <w:vAlign w:val="center"/>
                </w:tcPr>
                <w:p>
                  <w:pPr>
                    <w:jc w:val="center"/>
                    <w:rPr>
                      <w:rFonts w:hint="default" w:ascii="Times New Roman" w:hAnsi="Times New Roman" w:cs="Times New Roman"/>
                      <w:sz w:val="15"/>
                      <w:szCs w:val="15"/>
                    </w:rPr>
                  </w:pPr>
                  <w:r>
                    <w:rPr>
                      <w:rFonts w:hint="default" w:ascii="Times New Roman" w:hAnsi="Times New Roman" w:cs="Times New Roman"/>
                      <w:sz w:val="15"/>
                      <w:szCs w:val="15"/>
                    </w:rPr>
                    <w:t>绿化用水</w:t>
                  </w:r>
                </w:p>
              </w:tc>
              <w:tc>
                <w:tcPr>
                  <w:tcW w:w="674" w:type="dxa"/>
                  <w:tcBorders>
                    <w:tl2br w:val="nil"/>
                    <w:tr2bl w:val="nil"/>
                  </w:tcBorders>
                  <w:vAlign w:val="center"/>
                </w:tcPr>
                <w:p>
                  <w:pPr>
                    <w:jc w:val="center"/>
                    <w:rPr>
                      <w:rFonts w:hint="default" w:ascii="Times New Roman" w:hAnsi="Times New Roman" w:cs="Times New Roman"/>
                      <w:sz w:val="15"/>
                      <w:szCs w:val="15"/>
                    </w:rPr>
                  </w:pPr>
                  <w:r>
                    <w:rPr>
                      <w:rFonts w:hint="default" w:ascii="Times New Roman" w:hAnsi="Times New Roman" w:cs="Times New Roman"/>
                      <w:sz w:val="15"/>
                      <w:szCs w:val="15"/>
                    </w:rPr>
                    <w:t>0.94</w:t>
                  </w:r>
                </w:p>
              </w:tc>
              <w:tc>
                <w:tcPr>
                  <w:tcW w:w="670" w:type="dxa"/>
                  <w:tcBorders>
                    <w:tl2br w:val="nil"/>
                    <w:tr2bl w:val="nil"/>
                  </w:tcBorders>
                  <w:vAlign w:val="center"/>
                </w:tcPr>
                <w:p>
                  <w:pPr>
                    <w:jc w:val="center"/>
                    <w:rPr>
                      <w:rFonts w:hint="default" w:ascii="Times New Roman" w:hAnsi="Times New Roman" w:cs="Times New Roman"/>
                      <w:sz w:val="15"/>
                      <w:szCs w:val="15"/>
                    </w:rPr>
                  </w:pPr>
                  <w:r>
                    <w:rPr>
                      <w:rFonts w:hint="default" w:ascii="Times New Roman" w:hAnsi="Times New Roman" w:cs="Times New Roman"/>
                      <w:sz w:val="15"/>
                      <w:szCs w:val="15"/>
                    </w:rPr>
                    <w:t>0</w:t>
                  </w:r>
                </w:p>
              </w:tc>
              <w:tc>
                <w:tcPr>
                  <w:tcW w:w="902" w:type="dxa"/>
                  <w:tcBorders>
                    <w:tl2br w:val="nil"/>
                    <w:tr2bl w:val="nil"/>
                  </w:tcBorders>
                  <w:vAlign w:val="center"/>
                </w:tcPr>
                <w:p>
                  <w:pPr>
                    <w:jc w:val="center"/>
                    <w:rPr>
                      <w:rFonts w:hint="default" w:ascii="Times New Roman" w:hAnsi="Times New Roman" w:cs="Times New Roman"/>
                      <w:sz w:val="15"/>
                      <w:szCs w:val="15"/>
                    </w:rPr>
                  </w:pPr>
                  <w:r>
                    <w:rPr>
                      <w:rFonts w:hint="default" w:ascii="Times New Roman" w:hAnsi="Times New Roman" w:cs="Times New Roman"/>
                      <w:sz w:val="15"/>
                      <w:szCs w:val="15"/>
                    </w:rPr>
                    <w:t>0</w:t>
                  </w:r>
                </w:p>
              </w:tc>
              <w:tc>
                <w:tcPr>
                  <w:tcW w:w="713" w:type="dxa"/>
                  <w:tcBorders>
                    <w:tl2br w:val="nil"/>
                    <w:tr2bl w:val="nil"/>
                  </w:tcBorders>
                  <w:vAlign w:val="center"/>
                </w:tcPr>
                <w:p>
                  <w:pPr>
                    <w:jc w:val="center"/>
                    <w:rPr>
                      <w:rFonts w:hint="default" w:ascii="Times New Roman" w:hAnsi="Times New Roman" w:cs="Times New Roman"/>
                      <w:sz w:val="15"/>
                      <w:szCs w:val="15"/>
                    </w:rPr>
                  </w:pPr>
                  <w:r>
                    <w:rPr>
                      <w:rFonts w:hint="default" w:ascii="Times New Roman" w:hAnsi="Times New Roman" w:cs="Times New Roman"/>
                      <w:sz w:val="15"/>
                      <w:szCs w:val="15"/>
                    </w:rPr>
                    <w:t>0.94</w:t>
                  </w:r>
                </w:p>
              </w:tc>
              <w:tc>
                <w:tcPr>
                  <w:tcW w:w="912" w:type="dxa"/>
                  <w:tcBorders>
                    <w:tl2br w:val="nil"/>
                    <w:tr2bl w:val="nil"/>
                  </w:tcBorders>
                  <w:vAlign w:val="center"/>
                </w:tcPr>
                <w:p>
                  <w:pPr>
                    <w:jc w:val="center"/>
                    <w:rPr>
                      <w:rFonts w:hint="default" w:ascii="Times New Roman" w:hAnsi="Times New Roman" w:cs="Times New Roman"/>
                      <w:sz w:val="15"/>
                      <w:szCs w:val="15"/>
                    </w:rPr>
                  </w:pPr>
                  <w:r>
                    <w:rPr>
                      <w:rFonts w:hint="default" w:ascii="Times New Roman" w:hAnsi="Times New Roman" w:cs="Times New Roman"/>
                      <w:sz w:val="15"/>
                      <w:szCs w:val="15"/>
                    </w:rPr>
                    <w:t>0</w:t>
                  </w:r>
                </w:p>
              </w:tc>
              <w:tc>
                <w:tcPr>
                  <w:tcW w:w="734" w:type="dxa"/>
                  <w:tcBorders>
                    <w:tl2br w:val="nil"/>
                    <w:tr2bl w:val="nil"/>
                  </w:tcBorders>
                  <w:vAlign w:val="center"/>
                </w:tcPr>
                <w:p>
                  <w:pPr>
                    <w:jc w:val="center"/>
                    <w:rPr>
                      <w:rFonts w:hint="default" w:ascii="Times New Roman" w:hAnsi="Times New Roman" w:cs="Times New Roman"/>
                      <w:sz w:val="15"/>
                      <w:szCs w:val="15"/>
                    </w:rPr>
                  </w:pPr>
                  <w:r>
                    <w:rPr>
                      <w:rFonts w:hint="default" w:ascii="Times New Roman" w:hAnsi="Times New Roman" w:cs="Times New Roman"/>
                      <w:sz w:val="15"/>
                      <w:szCs w:val="15"/>
                    </w:rPr>
                    <w:t>0.94</w:t>
                  </w:r>
                </w:p>
              </w:tc>
              <w:tc>
                <w:tcPr>
                  <w:tcW w:w="770" w:type="dxa"/>
                  <w:tcBorders>
                    <w:tl2br w:val="nil"/>
                    <w:tr2bl w:val="nil"/>
                  </w:tcBorders>
                  <w:vAlign w:val="center"/>
                </w:tcPr>
                <w:p>
                  <w:pPr>
                    <w:jc w:val="center"/>
                    <w:rPr>
                      <w:rFonts w:hint="default" w:ascii="Times New Roman" w:hAnsi="Times New Roman" w:cs="Times New Roman"/>
                      <w:sz w:val="15"/>
                      <w:szCs w:val="15"/>
                    </w:rPr>
                  </w:pPr>
                  <w:r>
                    <w:rPr>
                      <w:rFonts w:hint="default" w:ascii="Times New Roman" w:hAnsi="Times New Roman" w:cs="Times New Roman"/>
                      <w:sz w:val="15"/>
                      <w:szCs w:val="15"/>
                    </w:rPr>
                    <w:t>0</w:t>
                  </w:r>
                </w:p>
              </w:tc>
              <w:tc>
                <w:tcPr>
                  <w:tcW w:w="672" w:type="dxa"/>
                  <w:tcBorders>
                    <w:tl2br w:val="nil"/>
                    <w:tr2bl w:val="nil"/>
                  </w:tcBorders>
                  <w:vAlign w:val="center"/>
                </w:tcPr>
                <w:p>
                  <w:pPr>
                    <w:jc w:val="center"/>
                    <w:rPr>
                      <w:rFonts w:hint="default" w:ascii="Times New Roman" w:hAnsi="Times New Roman" w:cs="Times New Roman"/>
                      <w:sz w:val="15"/>
                      <w:szCs w:val="15"/>
                    </w:rPr>
                  </w:pPr>
                  <w:r>
                    <w:rPr>
                      <w:rFonts w:hint="default" w:ascii="Times New Roman" w:hAnsi="Times New Roman" w:cs="Times New Roman"/>
                      <w:sz w:val="15"/>
                      <w:szCs w:val="15"/>
                    </w:rPr>
                    <w:t>0</w:t>
                  </w:r>
                </w:p>
              </w:tc>
              <w:tc>
                <w:tcPr>
                  <w:tcW w:w="714" w:type="dxa"/>
                  <w:tcBorders>
                    <w:tl2br w:val="nil"/>
                    <w:tr2bl w:val="nil"/>
                  </w:tcBorders>
                  <w:vAlign w:val="center"/>
                </w:tcPr>
                <w:p>
                  <w:pPr>
                    <w:jc w:val="center"/>
                    <w:rPr>
                      <w:rFonts w:hint="default" w:ascii="Times New Roman" w:hAnsi="Times New Roman" w:cs="Times New Roman"/>
                      <w:sz w:val="15"/>
                      <w:szCs w:val="15"/>
                    </w:rPr>
                  </w:pPr>
                  <w:r>
                    <w:rPr>
                      <w:rFonts w:hint="default" w:ascii="Times New Roman" w:hAnsi="Times New Roman" w:cs="Times New Roman"/>
                      <w:sz w:val="15"/>
                      <w:szCs w:val="15"/>
                    </w:rPr>
                    <w:t>0.94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66" w:type="dxa"/>
                  <w:tcBorders>
                    <w:tl2br w:val="nil"/>
                    <w:tr2bl w:val="nil"/>
                  </w:tcBorders>
                  <w:vAlign w:val="center"/>
                </w:tcPr>
                <w:p>
                  <w:pPr>
                    <w:jc w:val="center"/>
                    <w:rPr>
                      <w:rFonts w:hint="default" w:ascii="Times New Roman" w:hAnsi="Times New Roman" w:cs="Times New Roman"/>
                      <w:sz w:val="15"/>
                      <w:szCs w:val="15"/>
                    </w:rPr>
                  </w:pPr>
                  <w:r>
                    <w:rPr>
                      <w:rFonts w:hint="default" w:ascii="Times New Roman" w:hAnsi="Times New Roman" w:cs="Times New Roman"/>
                      <w:sz w:val="15"/>
                      <w:szCs w:val="15"/>
                    </w:rPr>
                    <w:t>5</w:t>
                  </w:r>
                </w:p>
              </w:tc>
              <w:tc>
                <w:tcPr>
                  <w:tcW w:w="748" w:type="dxa"/>
                  <w:tcBorders>
                    <w:tl2br w:val="nil"/>
                    <w:tr2bl w:val="nil"/>
                  </w:tcBorders>
                  <w:vAlign w:val="center"/>
                </w:tcPr>
                <w:p>
                  <w:pPr>
                    <w:jc w:val="center"/>
                    <w:rPr>
                      <w:rFonts w:hint="default" w:ascii="Times New Roman" w:hAnsi="Times New Roman" w:cs="Times New Roman"/>
                      <w:sz w:val="15"/>
                      <w:szCs w:val="15"/>
                    </w:rPr>
                  </w:pPr>
                  <w:r>
                    <w:rPr>
                      <w:rFonts w:hint="default" w:ascii="Times New Roman" w:hAnsi="Times New Roman" w:cs="Times New Roman"/>
                      <w:sz w:val="15"/>
                      <w:szCs w:val="15"/>
                    </w:rPr>
                    <w:t>初期雨水</w:t>
                  </w:r>
                </w:p>
              </w:tc>
              <w:tc>
                <w:tcPr>
                  <w:tcW w:w="674" w:type="dxa"/>
                  <w:tcBorders>
                    <w:tl2br w:val="nil"/>
                    <w:tr2bl w:val="nil"/>
                  </w:tcBorders>
                  <w:vAlign w:val="center"/>
                </w:tcPr>
                <w:p>
                  <w:pPr>
                    <w:jc w:val="center"/>
                    <w:rPr>
                      <w:rFonts w:hint="default" w:ascii="Times New Roman" w:hAnsi="Times New Roman" w:cs="Times New Roman"/>
                      <w:sz w:val="15"/>
                      <w:szCs w:val="15"/>
                    </w:rPr>
                  </w:pPr>
                  <w:r>
                    <w:rPr>
                      <w:rFonts w:hint="default" w:ascii="Times New Roman" w:hAnsi="Times New Roman" w:cs="Times New Roman"/>
                      <w:sz w:val="15"/>
                      <w:szCs w:val="15"/>
                    </w:rPr>
                    <w:t>3</w:t>
                  </w:r>
                </w:p>
              </w:tc>
              <w:tc>
                <w:tcPr>
                  <w:tcW w:w="670" w:type="dxa"/>
                  <w:tcBorders>
                    <w:tl2br w:val="nil"/>
                    <w:tr2bl w:val="nil"/>
                  </w:tcBorders>
                  <w:vAlign w:val="center"/>
                </w:tcPr>
                <w:p>
                  <w:pPr>
                    <w:jc w:val="center"/>
                    <w:rPr>
                      <w:rFonts w:hint="default" w:ascii="Times New Roman" w:hAnsi="Times New Roman" w:cs="Times New Roman"/>
                      <w:sz w:val="15"/>
                      <w:szCs w:val="15"/>
                    </w:rPr>
                  </w:pPr>
                  <w:r>
                    <w:rPr>
                      <w:rFonts w:hint="default" w:ascii="Times New Roman" w:hAnsi="Times New Roman" w:cs="Times New Roman"/>
                      <w:sz w:val="15"/>
                      <w:szCs w:val="15"/>
                    </w:rPr>
                    <w:t>0</w:t>
                  </w:r>
                </w:p>
              </w:tc>
              <w:tc>
                <w:tcPr>
                  <w:tcW w:w="902" w:type="dxa"/>
                  <w:tcBorders>
                    <w:tl2br w:val="nil"/>
                    <w:tr2bl w:val="nil"/>
                  </w:tcBorders>
                  <w:vAlign w:val="center"/>
                </w:tcPr>
                <w:p>
                  <w:pPr>
                    <w:jc w:val="center"/>
                    <w:rPr>
                      <w:rFonts w:hint="default" w:ascii="Times New Roman" w:hAnsi="Times New Roman" w:cs="Times New Roman"/>
                      <w:sz w:val="15"/>
                      <w:szCs w:val="15"/>
                    </w:rPr>
                  </w:pPr>
                  <w:r>
                    <w:rPr>
                      <w:rFonts w:hint="default" w:ascii="Times New Roman" w:hAnsi="Times New Roman" w:cs="Times New Roman"/>
                      <w:sz w:val="15"/>
                      <w:szCs w:val="15"/>
                    </w:rPr>
                    <w:t>0</w:t>
                  </w:r>
                </w:p>
              </w:tc>
              <w:tc>
                <w:tcPr>
                  <w:tcW w:w="713" w:type="dxa"/>
                  <w:tcBorders>
                    <w:tl2br w:val="nil"/>
                    <w:tr2bl w:val="nil"/>
                  </w:tcBorders>
                  <w:vAlign w:val="center"/>
                </w:tcPr>
                <w:p>
                  <w:pPr>
                    <w:jc w:val="center"/>
                    <w:rPr>
                      <w:rFonts w:hint="default" w:ascii="Times New Roman" w:hAnsi="Times New Roman" w:cs="Times New Roman"/>
                      <w:sz w:val="15"/>
                      <w:szCs w:val="15"/>
                    </w:rPr>
                  </w:pPr>
                  <w:r>
                    <w:rPr>
                      <w:rFonts w:hint="default" w:ascii="Times New Roman" w:hAnsi="Times New Roman" w:cs="Times New Roman"/>
                      <w:sz w:val="15"/>
                      <w:szCs w:val="15"/>
                    </w:rPr>
                    <w:t>3</w:t>
                  </w:r>
                </w:p>
              </w:tc>
              <w:tc>
                <w:tcPr>
                  <w:tcW w:w="912" w:type="dxa"/>
                  <w:tcBorders>
                    <w:tl2br w:val="nil"/>
                    <w:tr2bl w:val="nil"/>
                  </w:tcBorders>
                  <w:vAlign w:val="center"/>
                </w:tcPr>
                <w:p>
                  <w:pPr>
                    <w:jc w:val="center"/>
                    <w:rPr>
                      <w:rFonts w:hint="default" w:ascii="Times New Roman" w:hAnsi="Times New Roman" w:cs="Times New Roman"/>
                      <w:sz w:val="15"/>
                      <w:szCs w:val="15"/>
                    </w:rPr>
                  </w:pPr>
                  <w:r>
                    <w:rPr>
                      <w:rFonts w:hint="default" w:ascii="Times New Roman" w:hAnsi="Times New Roman" w:cs="Times New Roman"/>
                      <w:sz w:val="15"/>
                      <w:szCs w:val="15"/>
                    </w:rPr>
                    <w:t>0</w:t>
                  </w:r>
                </w:p>
              </w:tc>
              <w:tc>
                <w:tcPr>
                  <w:tcW w:w="734" w:type="dxa"/>
                  <w:tcBorders>
                    <w:tl2br w:val="nil"/>
                    <w:tr2bl w:val="nil"/>
                  </w:tcBorders>
                  <w:vAlign w:val="center"/>
                </w:tcPr>
                <w:p>
                  <w:pPr>
                    <w:jc w:val="center"/>
                    <w:rPr>
                      <w:rFonts w:hint="default" w:ascii="Times New Roman" w:hAnsi="Times New Roman" w:cs="Times New Roman"/>
                      <w:sz w:val="15"/>
                      <w:szCs w:val="15"/>
                    </w:rPr>
                  </w:pPr>
                  <w:r>
                    <w:rPr>
                      <w:rFonts w:hint="default" w:ascii="Times New Roman" w:hAnsi="Times New Roman" w:cs="Times New Roman"/>
                      <w:sz w:val="15"/>
                      <w:szCs w:val="15"/>
                    </w:rPr>
                    <w:t>0</w:t>
                  </w:r>
                </w:p>
              </w:tc>
              <w:tc>
                <w:tcPr>
                  <w:tcW w:w="770" w:type="dxa"/>
                  <w:tcBorders>
                    <w:tl2br w:val="nil"/>
                    <w:tr2bl w:val="nil"/>
                  </w:tcBorders>
                  <w:vAlign w:val="center"/>
                </w:tcPr>
                <w:p>
                  <w:pPr>
                    <w:jc w:val="center"/>
                    <w:rPr>
                      <w:rFonts w:hint="default" w:ascii="Times New Roman" w:hAnsi="Times New Roman" w:cs="Times New Roman"/>
                      <w:sz w:val="15"/>
                      <w:szCs w:val="15"/>
                    </w:rPr>
                  </w:pPr>
                  <w:r>
                    <w:rPr>
                      <w:rFonts w:hint="default" w:ascii="Times New Roman" w:hAnsi="Times New Roman" w:cs="Times New Roman"/>
                      <w:sz w:val="15"/>
                      <w:szCs w:val="15"/>
                    </w:rPr>
                    <w:t>3</w:t>
                  </w:r>
                </w:p>
              </w:tc>
              <w:tc>
                <w:tcPr>
                  <w:tcW w:w="672" w:type="dxa"/>
                  <w:tcBorders>
                    <w:tl2br w:val="nil"/>
                    <w:tr2bl w:val="nil"/>
                  </w:tcBorders>
                  <w:vAlign w:val="center"/>
                </w:tcPr>
                <w:p>
                  <w:pPr>
                    <w:jc w:val="center"/>
                    <w:rPr>
                      <w:rFonts w:hint="default" w:ascii="Times New Roman" w:hAnsi="Times New Roman" w:cs="Times New Roman"/>
                      <w:sz w:val="15"/>
                      <w:szCs w:val="15"/>
                    </w:rPr>
                  </w:pPr>
                  <w:r>
                    <w:rPr>
                      <w:rFonts w:hint="default" w:ascii="Times New Roman" w:hAnsi="Times New Roman" w:cs="Times New Roman"/>
                      <w:sz w:val="15"/>
                      <w:szCs w:val="15"/>
                    </w:rPr>
                    <w:t>0</w:t>
                  </w:r>
                </w:p>
              </w:tc>
              <w:tc>
                <w:tcPr>
                  <w:tcW w:w="714" w:type="dxa"/>
                  <w:tcBorders>
                    <w:tl2br w:val="nil"/>
                    <w:tr2bl w:val="nil"/>
                  </w:tcBorders>
                  <w:vAlign w:val="center"/>
                </w:tcPr>
                <w:p>
                  <w:pPr>
                    <w:jc w:val="center"/>
                    <w:rPr>
                      <w:rFonts w:hint="default" w:ascii="Times New Roman" w:hAnsi="Times New Roman" w:cs="Times New Roman"/>
                      <w:sz w:val="15"/>
                      <w:szCs w:val="15"/>
                    </w:rPr>
                  </w:pPr>
                  <w:r>
                    <w:rPr>
                      <w:rFonts w:hint="default" w:ascii="Times New Roman" w:hAnsi="Times New Roman" w:cs="Times New Roman"/>
                      <w:sz w:val="15"/>
                      <w:szCs w:val="15"/>
                    </w:rPr>
                    <w:t>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466" w:type="dxa"/>
                  <w:tcBorders>
                    <w:tl2br w:val="nil"/>
                    <w:tr2bl w:val="nil"/>
                  </w:tcBorders>
                  <w:vAlign w:val="center"/>
                </w:tcPr>
                <w:p>
                  <w:pPr>
                    <w:jc w:val="center"/>
                    <w:rPr>
                      <w:rFonts w:hint="default" w:ascii="Times New Roman" w:hAnsi="Times New Roman" w:cs="Times New Roman"/>
                      <w:sz w:val="15"/>
                      <w:szCs w:val="15"/>
                    </w:rPr>
                  </w:pPr>
                  <w:r>
                    <w:rPr>
                      <w:rFonts w:hint="default" w:ascii="Times New Roman" w:hAnsi="Times New Roman" w:cs="Times New Roman"/>
                      <w:sz w:val="15"/>
                      <w:szCs w:val="15"/>
                    </w:rPr>
                    <w:t>6</w:t>
                  </w:r>
                </w:p>
              </w:tc>
              <w:tc>
                <w:tcPr>
                  <w:tcW w:w="748" w:type="dxa"/>
                  <w:tcBorders>
                    <w:tl2br w:val="nil"/>
                    <w:tr2bl w:val="nil"/>
                  </w:tcBorders>
                  <w:vAlign w:val="center"/>
                </w:tcPr>
                <w:p>
                  <w:pPr>
                    <w:jc w:val="center"/>
                    <w:rPr>
                      <w:rFonts w:hint="default" w:ascii="Times New Roman" w:hAnsi="Times New Roman" w:cs="Times New Roman"/>
                      <w:sz w:val="15"/>
                      <w:szCs w:val="15"/>
                    </w:rPr>
                  </w:pPr>
                  <w:r>
                    <w:rPr>
                      <w:rFonts w:hint="default" w:ascii="Times New Roman" w:hAnsi="Times New Roman" w:cs="Times New Roman"/>
                      <w:sz w:val="15"/>
                      <w:szCs w:val="15"/>
                    </w:rPr>
                    <w:t>合计</w:t>
                  </w:r>
                </w:p>
              </w:tc>
              <w:tc>
                <w:tcPr>
                  <w:tcW w:w="674" w:type="dxa"/>
                  <w:tcBorders>
                    <w:tl2br w:val="nil"/>
                    <w:tr2bl w:val="nil"/>
                  </w:tcBorders>
                  <w:vAlign w:val="center"/>
                </w:tcPr>
                <w:p>
                  <w:pPr>
                    <w:jc w:val="center"/>
                    <w:rPr>
                      <w:rFonts w:hint="default" w:ascii="Times New Roman" w:hAnsi="Times New Roman" w:cs="Times New Roman"/>
                      <w:sz w:val="15"/>
                      <w:szCs w:val="15"/>
                    </w:rPr>
                  </w:pPr>
                  <w:r>
                    <w:rPr>
                      <w:rFonts w:hint="default" w:ascii="Times New Roman" w:hAnsi="Times New Roman" w:eastAsia="等线" w:cs="Times New Roman"/>
                      <w:sz w:val="15"/>
                      <w:szCs w:val="15"/>
                    </w:rPr>
                    <w:t>23.26</w:t>
                  </w:r>
                </w:p>
              </w:tc>
              <w:tc>
                <w:tcPr>
                  <w:tcW w:w="670" w:type="dxa"/>
                  <w:tcBorders>
                    <w:tl2br w:val="nil"/>
                    <w:tr2bl w:val="nil"/>
                  </w:tcBorders>
                  <w:vAlign w:val="center"/>
                </w:tcPr>
                <w:p>
                  <w:pPr>
                    <w:jc w:val="center"/>
                    <w:rPr>
                      <w:rFonts w:hint="default" w:ascii="Times New Roman" w:hAnsi="Times New Roman" w:cs="Times New Roman"/>
                      <w:sz w:val="15"/>
                      <w:szCs w:val="15"/>
                    </w:rPr>
                  </w:pPr>
                  <w:r>
                    <w:rPr>
                      <w:rFonts w:hint="default" w:ascii="Times New Roman" w:hAnsi="Times New Roman" w:eastAsia="等线" w:cs="Times New Roman"/>
                      <w:sz w:val="15"/>
                      <w:szCs w:val="15"/>
                    </w:rPr>
                    <w:t>26.67</w:t>
                  </w:r>
                </w:p>
              </w:tc>
              <w:tc>
                <w:tcPr>
                  <w:tcW w:w="902" w:type="dxa"/>
                  <w:tcBorders>
                    <w:tl2br w:val="nil"/>
                    <w:tr2bl w:val="nil"/>
                  </w:tcBorders>
                  <w:vAlign w:val="center"/>
                </w:tcPr>
                <w:p>
                  <w:pPr>
                    <w:jc w:val="center"/>
                    <w:rPr>
                      <w:rFonts w:hint="default" w:ascii="Times New Roman" w:hAnsi="Times New Roman" w:cs="Times New Roman"/>
                      <w:sz w:val="15"/>
                      <w:szCs w:val="15"/>
                    </w:rPr>
                  </w:pPr>
                  <w:r>
                    <w:rPr>
                      <w:rFonts w:hint="default" w:ascii="Times New Roman" w:hAnsi="Times New Roman" w:eastAsia="等线" w:cs="Times New Roman"/>
                      <w:sz w:val="15"/>
                      <w:szCs w:val="15"/>
                    </w:rPr>
                    <w:t>123.06</w:t>
                  </w:r>
                </w:p>
              </w:tc>
              <w:tc>
                <w:tcPr>
                  <w:tcW w:w="713" w:type="dxa"/>
                  <w:tcBorders>
                    <w:tl2br w:val="nil"/>
                    <w:tr2bl w:val="nil"/>
                  </w:tcBorders>
                  <w:vAlign w:val="center"/>
                </w:tcPr>
                <w:p>
                  <w:pPr>
                    <w:jc w:val="center"/>
                    <w:rPr>
                      <w:rFonts w:hint="default" w:ascii="Times New Roman" w:hAnsi="Times New Roman" w:eastAsia="等线" w:cs="Times New Roman"/>
                      <w:sz w:val="15"/>
                      <w:szCs w:val="15"/>
                    </w:rPr>
                  </w:pPr>
                  <w:r>
                    <w:rPr>
                      <w:rFonts w:hint="default" w:ascii="Times New Roman" w:hAnsi="Times New Roman" w:eastAsia="等线" w:cs="Times New Roman"/>
                      <w:sz w:val="15"/>
                      <w:szCs w:val="15"/>
                    </w:rPr>
                    <w:t>172.99</w:t>
                  </w:r>
                </w:p>
              </w:tc>
              <w:tc>
                <w:tcPr>
                  <w:tcW w:w="912" w:type="dxa"/>
                  <w:tcBorders>
                    <w:tl2br w:val="nil"/>
                    <w:tr2bl w:val="nil"/>
                  </w:tcBorders>
                  <w:vAlign w:val="center"/>
                </w:tcPr>
                <w:p>
                  <w:pPr>
                    <w:jc w:val="center"/>
                    <w:rPr>
                      <w:rFonts w:hint="default" w:ascii="Times New Roman" w:hAnsi="Times New Roman" w:cs="Times New Roman"/>
                      <w:sz w:val="15"/>
                      <w:szCs w:val="15"/>
                    </w:rPr>
                  </w:pPr>
                  <w:r>
                    <w:rPr>
                      <w:rFonts w:hint="default" w:ascii="Times New Roman" w:hAnsi="Times New Roman" w:eastAsia="等线" w:cs="Times New Roman"/>
                      <w:sz w:val="15"/>
                      <w:szCs w:val="15"/>
                    </w:rPr>
                    <w:t>36.11</w:t>
                  </w:r>
                </w:p>
              </w:tc>
              <w:tc>
                <w:tcPr>
                  <w:tcW w:w="734" w:type="dxa"/>
                  <w:tcBorders>
                    <w:tl2br w:val="nil"/>
                    <w:tr2bl w:val="nil"/>
                  </w:tcBorders>
                  <w:vAlign w:val="center"/>
                </w:tcPr>
                <w:p>
                  <w:pPr>
                    <w:jc w:val="center"/>
                    <w:rPr>
                      <w:rFonts w:hint="default" w:ascii="Times New Roman" w:hAnsi="Times New Roman" w:eastAsia="等线" w:cs="Times New Roman"/>
                      <w:sz w:val="15"/>
                      <w:szCs w:val="15"/>
                    </w:rPr>
                  </w:pPr>
                  <w:r>
                    <w:rPr>
                      <w:rFonts w:hint="default" w:ascii="Times New Roman" w:hAnsi="Times New Roman" w:eastAsia="等线" w:cs="Times New Roman"/>
                      <w:sz w:val="15"/>
                      <w:szCs w:val="15"/>
                    </w:rPr>
                    <w:t>13.37</w:t>
                  </w:r>
                </w:p>
              </w:tc>
              <w:tc>
                <w:tcPr>
                  <w:tcW w:w="770" w:type="dxa"/>
                  <w:tcBorders>
                    <w:tl2br w:val="nil"/>
                    <w:tr2bl w:val="nil"/>
                  </w:tcBorders>
                  <w:vAlign w:val="center"/>
                </w:tcPr>
                <w:p>
                  <w:pPr>
                    <w:jc w:val="center"/>
                    <w:rPr>
                      <w:rFonts w:hint="default" w:ascii="Times New Roman" w:hAnsi="Times New Roman" w:eastAsia="等线" w:cs="Times New Roman"/>
                      <w:sz w:val="15"/>
                      <w:szCs w:val="15"/>
                      <w:lang w:val="en-US" w:eastAsia="zh-CN"/>
                    </w:rPr>
                  </w:pPr>
                  <w:r>
                    <w:rPr>
                      <w:rFonts w:hint="default" w:ascii="Times New Roman" w:hAnsi="Times New Roman" w:eastAsia="等线" w:cs="Times New Roman"/>
                      <w:sz w:val="15"/>
                      <w:szCs w:val="15"/>
                      <w:lang w:val="en-US" w:eastAsia="zh-CN"/>
                    </w:rPr>
                    <w:t>123.06</w:t>
                  </w:r>
                </w:p>
              </w:tc>
              <w:tc>
                <w:tcPr>
                  <w:tcW w:w="672" w:type="dxa"/>
                  <w:tcBorders>
                    <w:tl2br w:val="nil"/>
                    <w:tr2bl w:val="nil"/>
                  </w:tcBorders>
                  <w:vAlign w:val="center"/>
                </w:tcPr>
                <w:p>
                  <w:pPr>
                    <w:jc w:val="center"/>
                    <w:rPr>
                      <w:rFonts w:hint="default" w:ascii="Times New Roman" w:hAnsi="Times New Roman" w:cs="Times New Roman"/>
                      <w:sz w:val="15"/>
                      <w:szCs w:val="15"/>
                    </w:rPr>
                  </w:pPr>
                  <w:r>
                    <w:rPr>
                      <w:rFonts w:hint="default" w:ascii="Times New Roman" w:hAnsi="Times New Roman" w:cs="Times New Roman"/>
                      <w:sz w:val="15"/>
                      <w:szCs w:val="15"/>
                    </w:rPr>
                    <w:t>0.45</w:t>
                  </w:r>
                </w:p>
              </w:tc>
              <w:tc>
                <w:tcPr>
                  <w:tcW w:w="714" w:type="dxa"/>
                  <w:tcBorders>
                    <w:tl2br w:val="nil"/>
                    <w:tr2bl w:val="nil"/>
                  </w:tcBorders>
                  <w:vAlign w:val="center"/>
                </w:tcPr>
                <w:p>
                  <w:pPr>
                    <w:jc w:val="center"/>
                    <w:rPr>
                      <w:rFonts w:hint="default" w:ascii="Times New Roman" w:hAnsi="Times New Roman" w:cs="Times New Roman"/>
                      <w:sz w:val="15"/>
                      <w:szCs w:val="15"/>
                    </w:rPr>
                  </w:pPr>
                  <w:r>
                    <w:rPr>
                      <w:rFonts w:hint="default" w:ascii="Times New Roman" w:hAnsi="Times New Roman" w:cs="Times New Roman"/>
                      <w:sz w:val="15"/>
                      <w:szCs w:val="15"/>
                    </w:rPr>
                    <w:t>172.99</w:t>
                  </w:r>
                </w:p>
              </w:tc>
            </w:tr>
          </w:tbl>
          <w:p>
            <w:pPr>
              <w:pStyle w:val="34"/>
              <w:spacing w:before="120"/>
              <w:jc w:val="both"/>
              <w:rPr>
                <w:rFonts w:hint="default" w:ascii="Times New Roman" w:hAnsi="Times New Roman" w:cs="Times New Roman"/>
                <w:b/>
                <w:bCs/>
                <w:sz w:val="21"/>
                <w:szCs w:val="21"/>
              </w:rPr>
            </w:pPr>
          </w:p>
          <w:p>
            <w:pPr>
              <w:spacing w:line="440" w:lineRule="exact"/>
              <w:ind w:firstLine="480" w:firstLineChars="200"/>
              <w:rPr>
                <w:rFonts w:hint="default" w:ascii="Times New Roman" w:hAnsi="Times New Roman" w:cs="Times New Roman"/>
              </w:rPr>
            </w:pPr>
            <w:r>
              <w:rPr>
                <w:rFonts w:hint="default" w:ascii="Times New Roman" w:hAnsi="Times New Roman" w:cs="Times New Roman"/>
              </w:rPr>
              <w:t>项目运营期全厂水平衡见图2.2-2：</w:t>
            </w:r>
          </w:p>
          <w:p>
            <w:pPr>
              <w:pStyle w:val="76"/>
              <w:ind w:firstLine="0" w:firstLineChars="0"/>
              <w:jc w:val="center"/>
              <w:rPr>
                <w:rFonts w:hint="default" w:ascii="Times New Roman" w:hAnsi="Times New Roman" w:cs="Times New Roman"/>
                <w:snapToGrid w:val="0"/>
              </w:rPr>
            </w:pPr>
            <w:r>
              <w:rPr>
                <w:rFonts w:hint="default" w:ascii="Times New Roman" w:hAnsi="Times New Roman" w:cs="Times New Roman"/>
                <w:snapToGrid w:val="0"/>
              </w:rPr>
              <w:drawing>
                <wp:inline distT="0" distB="0" distL="114300" distR="114300">
                  <wp:extent cx="4878070" cy="3451225"/>
                  <wp:effectExtent l="0" t="0" r="17780" b="15875"/>
                  <wp:docPr id="68" name="图片 68" descr="全厂水平衡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68" descr="全厂水平衡图"/>
                          <pic:cNvPicPr>
                            <a:picLocks noChangeAspect="1"/>
                          </pic:cNvPicPr>
                        </pic:nvPicPr>
                        <pic:blipFill>
                          <a:blip r:embed="rId11"/>
                          <a:srcRect l="5827" t="5778" r="6091" b="6009"/>
                          <a:stretch>
                            <a:fillRect/>
                          </a:stretch>
                        </pic:blipFill>
                        <pic:spPr>
                          <a:xfrm>
                            <a:off x="0" y="0"/>
                            <a:ext cx="4878070" cy="3451225"/>
                          </a:xfrm>
                          <a:prstGeom prst="rect">
                            <a:avLst/>
                          </a:prstGeom>
                        </pic:spPr>
                      </pic:pic>
                    </a:graphicData>
                  </a:graphic>
                </wp:inline>
              </w:drawing>
            </w:r>
          </w:p>
          <w:p>
            <w:pPr>
              <w:pStyle w:val="2"/>
              <w:rPr>
                <w:rFonts w:hint="default" w:ascii="Times New Roman" w:hAnsi="Times New Roman" w:cs="Times New Roman"/>
                <w:color w:val="auto"/>
              </w:rPr>
            </w:pPr>
            <w:r>
              <w:rPr>
                <w:rFonts w:hint="default" w:ascii="Times New Roman" w:hAnsi="Times New Roman" w:cs="Times New Roman"/>
                <w:color w:val="auto"/>
              </w:rPr>
              <w:t>图2.2-2项目全厂水平衡示意图（单位：m</w:t>
            </w:r>
            <w:r>
              <w:rPr>
                <w:rFonts w:hint="default" w:ascii="Times New Roman" w:hAnsi="Times New Roman" w:cs="Times New Roman"/>
                <w:color w:val="auto"/>
                <w:vertAlign w:val="superscript"/>
              </w:rPr>
              <w:t>3</w:t>
            </w:r>
            <w:r>
              <w:rPr>
                <w:rFonts w:hint="default" w:ascii="Times New Roman" w:hAnsi="Times New Roman" w:cs="Times New Roman"/>
                <w:color w:val="auto"/>
              </w:rPr>
              <w:t>/d）</w:t>
            </w:r>
          </w:p>
          <w:p>
            <w:pPr>
              <w:spacing w:line="400" w:lineRule="exact"/>
              <w:rPr>
                <w:rFonts w:hint="default" w:ascii="Times New Roman" w:hAnsi="Times New Roman" w:eastAsia="黑体" w:cs="Times New Roman"/>
                <w:b/>
                <w:bCs/>
              </w:rPr>
            </w:pPr>
            <w:r>
              <w:rPr>
                <w:rFonts w:hint="default" w:ascii="Times New Roman" w:hAnsi="Times New Roman" w:eastAsia="黑体" w:cs="Times New Roman"/>
                <w:b/>
                <w:bCs/>
              </w:rPr>
              <w:t>2.2.9平面布局合理性</w:t>
            </w:r>
          </w:p>
          <w:p>
            <w:pPr>
              <w:adjustRightInd w:val="0"/>
              <w:snapToGrid w:val="0"/>
              <w:spacing w:line="440" w:lineRule="exact"/>
              <w:ind w:firstLine="480" w:firstLineChars="200"/>
              <w:rPr>
                <w:rFonts w:hint="default" w:ascii="Times New Roman" w:hAnsi="Times New Roman" w:cs="Times New Roman"/>
              </w:rPr>
            </w:pPr>
            <w:r>
              <w:rPr>
                <w:rFonts w:hint="default" w:ascii="Times New Roman" w:hAnsi="Times New Roman" w:cs="Times New Roman"/>
              </w:rPr>
              <w:t>本项目位于大田县武陵乡大石村</w:t>
            </w:r>
            <w:r>
              <w:rPr>
                <w:rFonts w:hint="default" w:ascii="Times New Roman" w:hAnsi="Times New Roman" w:cs="Times New Roman"/>
                <w:spacing w:val="1"/>
              </w:rPr>
              <w:t>，厂区依山而建，厂区</w:t>
            </w:r>
            <w:r>
              <w:rPr>
                <w:rFonts w:hint="default" w:ascii="Times New Roman" w:hAnsi="Times New Roman" w:cs="Times New Roman"/>
              </w:rPr>
              <w:t>地势西北高、东南低，厂区平面布局</w:t>
            </w:r>
            <w:r>
              <w:rPr>
                <w:rFonts w:hint="default" w:ascii="Times New Roman" w:hAnsi="Times New Roman" w:cs="Times New Roman"/>
                <w:spacing w:val="1"/>
              </w:rPr>
              <w:t>充分利用地形地势特点，并结合工艺流程进行布局，由高至低</w:t>
            </w:r>
            <w:r>
              <w:rPr>
                <w:rFonts w:hint="default" w:ascii="Times New Roman" w:hAnsi="Times New Roman" w:cs="Times New Roman"/>
              </w:rPr>
              <w:t>依次布置原料堆放场、生产区（破碎、筛分、干磁选、分级、湿球磨、分级、湿磁选等）、铁粉仓、尾渣处置场、危废暂存间等，废水处理区布置在厂区南部地势较低处，有利于废水收集。</w:t>
            </w:r>
          </w:p>
          <w:p>
            <w:pPr>
              <w:adjustRightInd w:val="0"/>
              <w:snapToGrid w:val="0"/>
              <w:spacing w:line="440" w:lineRule="exact"/>
              <w:ind w:firstLine="480" w:firstLineChars="200"/>
              <w:rPr>
                <w:rFonts w:hint="default" w:ascii="Times New Roman" w:hAnsi="Times New Roman" w:cs="Times New Roman"/>
              </w:rPr>
            </w:pPr>
            <w:r>
              <w:rPr>
                <w:rFonts w:hint="default" w:ascii="Times New Roman" w:hAnsi="Times New Roman" w:cs="Times New Roman"/>
              </w:rPr>
              <w:t>厂区平面布局考虑了厂区地形地势和工艺流程特点，有利于物料按工艺流程输送，达到节能、降耗的目的；生产区域远离大石村，且与大石村之间有山体阻隔，对大石村影响不大。本项目厂区布局功能分区明确，布局合理。</w:t>
            </w:r>
          </w:p>
          <w:p>
            <w:pPr>
              <w:pStyle w:val="6"/>
              <w:ind w:left="311"/>
              <w:rPr>
                <w:rFonts w:hint="default" w:ascii="Times New Roman" w:hAnsi="Times New Roman" w:cs="Times New Roman"/>
                <w:color w:val="auto"/>
              </w:rPr>
            </w:pPr>
            <w:r>
              <w:rPr>
                <w:rFonts w:hint="default" w:ascii="Times New Roman" w:hAnsi="Times New Roman" w:cs="Times New Roman"/>
                <w:color w:val="auto"/>
              </w:rPr>
              <w:t>2.3工艺流程和产排污环节</w:t>
            </w:r>
          </w:p>
          <w:p>
            <w:pPr>
              <w:spacing w:line="400" w:lineRule="exact"/>
              <w:rPr>
                <w:rFonts w:hint="default" w:ascii="Times New Roman" w:hAnsi="Times New Roman" w:eastAsia="黑体" w:cs="Times New Roman"/>
                <w:b/>
                <w:bCs/>
              </w:rPr>
            </w:pPr>
            <w:r>
              <w:rPr>
                <w:rFonts w:hint="default" w:ascii="Times New Roman" w:hAnsi="Times New Roman" w:eastAsia="黑体" w:cs="Times New Roman"/>
                <w:b/>
                <w:bCs/>
              </w:rPr>
              <w:t>2.3.1工艺流程</w:t>
            </w:r>
          </w:p>
          <w:p>
            <w:pPr>
              <w:ind w:firstLine="482"/>
              <w:rPr>
                <w:rFonts w:hint="default" w:ascii="Times New Roman" w:hAnsi="Times New Roman" w:eastAsia="黑体" w:cs="Times New Roman"/>
                <w:b/>
                <w:bCs/>
              </w:rPr>
            </w:pPr>
          </w:p>
          <w:p>
            <w:pPr>
              <w:pStyle w:val="2"/>
              <w:jc w:val="both"/>
              <w:rPr>
                <w:rFonts w:hint="default" w:ascii="Times New Roman" w:hAnsi="Times New Roman" w:cs="Times New Roman"/>
                <w:color w:val="auto"/>
              </w:rPr>
            </w:pPr>
            <w:r>
              <w:rPr>
                <w:rFonts w:hint="default" w:ascii="Times New Roman" w:hAnsi="Times New Roman" w:cs="Times New Roman"/>
                <w:color w:val="auto"/>
              </w:rPr>
              <w:t>项目工艺流程如下图：</w:t>
            </w:r>
          </w:p>
          <w:p>
            <w:pPr>
              <w:pStyle w:val="2"/>
              <w:rPr>
                <w:rFonts w:hint="default" w:ascii="Times New Roman" w:hAnsi="Times New Roman" w:cs="Times New Roman"/>
              </w:rPr>
            </w:pPr>
            <w:r>
              <w:rPr>
                <w:rFonts w:hint="default" w:ascii="Times New Roman" w:hAnsi="Times New Roman" w:cs="Times New Roman"/>
              </w:rPr>
              <w:drawing>
                <wp:inline distT="0" distB="0" distL="114300" distR="114300">
                  <wp:extent cx="4922520" cy="4711700"/>
                  <wp:effectExtent l="0" t="0" r="11430" b="12700"/>
                  <wp:docPr id="85" name="图片 85" descr="工艺流程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图片 85" descr="工艺流程图"/>
                          <pic:cNvPicPr>
                            <a:picLocks noChangeAspect="1"/>
                          </pic:cNvPicPr>
                        </pic:nvPicPr>
                        <pic:blipFill>
                          <a:blip r:embed="rId12"/>
                          <a:srcRect l="20043" t="4871" r="13186" b="4676"/>
                          <a:stretch>
                            <a:fillRect/>
                          </a:stretch>
                        </pic:blipFill>
                        <pic:spPr>
                          <a:xfrm>
                            <a:off x="0" y="0"/>
                            <a:ext cx="4922520" cy="4711700"/>
                          </a:xfrm>
                          <a:prstGeom prst="rect">
                            <a:avLst/>
                          </a:prstGeom>
                        </pic:spPr>
                      </pic:pic>
                    </a:graphicData>
                  </a:graphic>
                </wp:inline>
              </w:drawing>
            </w:r>
          </w:p>
          <w:p>
            <w:pPr>
              <w:pStyle w:val="22"/>
              <w:keepNext/>
              <w:adjustRightInd w:val="0"/>
              <w:snapToGrid w:val="0"/>
              <w:spacing w:before="120" w:beforeLines="50" w:after="0" w:line="240" w:lineRule="auto"/>
              <w:ind w:firstLine="422"/>
              <w:outlineLvl w:val="9"/>
              <w:rPr>
                <w:rFonts w:hint="default" w:ascii="Times New Roman" w:hAnsi="Times New Roman" w:eastAsia="黑体" w:cs="Times New Roman"/>
                <w:b w:val="0"/>
                <w:bCs w:val="0"/>
              </w:rPr>
            </w:pPr>
            <w:r>
              <w:rPr>
                <w:rFonts w:hint="default" w:ascii="Times New Roman" w:hAnsi="Times New Roman" w:eastAsia="黑体" w:cs="Times New Roman"/>
                <w:bCs w:val="0"/>
                <w:sz w:val="21"/>
                <w:szCs w:val="21"/>
              </w:rPr>
              <w:t>图2.3-1项目工艺流程示意图</w:t>
            </w:r>
          </w:p>
          <w:p>
            <w:pPr>
              <w:spacing w:line="440" w:lineRule="exact"/>
              <w:rPr>
                <w:rFonts w:hint="default" w:ascii="Times New Roman" w:hAnsi="Times New Roman" w:cs="Times New Roman"/>
              </w:rPr>
            </w:pPr>
            <w:r>
              <w:rPr>
                <w:rFonts w:hint="default" w:ascii="Times New Roman" w:hAnsi="Times New Roman" w:cs="Times New Roman"/>
              </w:rPr>
              <w:t xml:space="preserve">工艺流程、产污及防治措施说明： </w:t>
            </w:r>
          </w:p>
          <w:p>
            <w:pPr>
              <w:adjustRightInd w:val="0"/>
              <w:snapToGrid w:val="0"/>
              <w:spacing w:line="440" w:lineRule="exact"/>
              <w:ind w:firstLine="480" w:firstLineChars="200"/>
              <w:rPr>
                <w:rFonts w:hint="default" w:ascii="Times New Roman" w:hAnsi="Times New Roman" w:cs="Times New Roman"/>
              </w:rPr>
            </w:pPr>
            <w:r>
              <w:rPr>
                <w:rFonts w:hint="default" w:ascii="Times New Roman" w:hAnsi="Times New Roman" w:cs="Times New Roman"/>
              </w:rPr>
              <w:t>①原料堆存：购置的铸铁渣、铸造砂、转炉渣及钢渣等原料，通过车辆运输至原料堆场北侧道路上，利用地势高差将原料卸入原料堆场；</w:t>
            </w:r>
          </w:p>
          <w:p>
            <w:pPr>
              <w:adjustRightInd w:val="0"/>
              <w:snapToGrid w:val="0"/>
              <w:spacing w:line="440" w:lineRule="exact"/>
              <w:ind w:firstLine="480" w:firstLineChars="200"/>
              <w:rPr>
                <w:rFonts w:hint="default" w:ascii="Times New Roman" w:hAnsi="Times New Roman" w:cs="Times New Roman"/>
              </w:rPr>
            </w:pPr>
            <w:r>
              <w:rPr>
                <w:rFonts w:hint="default" w:ascii="Times New Roman" w:hAnsi="Times New Roman" w:cs="Times New Roman"/>
              </w:rPr>
              <w:t>产污及抑尘措施：该工序原料装卸产生装卸粉尘G1，洒水抑尘。原料堆场采取半封闭围挡、设置喷头喷雾降尘，基本不产生堆放扬尘。</w:t>
            </w:r>
          </w:p>
          <w:p>
            <w:pPr>
              <w:adjustRightInd w:val="0"/>
              <w:snapToGrid w:val="0"/>
              <w:spacing w:line="440" w:lineRule="exact"/>
              <w:ind w:firstLine="480" w:firstLineChars="200"/>
              <w:rPr>
                <w:rFonts w:hint="default" w:ascii="Times New Roman" w:hAnsi="Times New Roman" w:cs="Times New Roman"/>
              </w:rPr>
            </w:pPr>
            <w:r>
              <w:rPr>
                <w:rFonts w:hint="default" w:ascii="Times New Roman" w:hAnsi="Times New Roman" w:cs="Times New Roman"/>
              </w:rPr>
              <w:t>②破碎、筛分：原料堆场中的铸铁渣、铸造砂等原料通过铲车运输至给料机后送入破碎机进行初破，破碎后的物料由皮带送入振动筛筛分。由于物料的重量、形状各不相同，大块物料（粒径≥3cm）和小块物料（粒径0-3cm）受到振动后会被精确分离，小块物料直接经皮带输送至干式磁选机，大块物料则由皮带输送至破碎机进行二次破碎，二次破碎后再经皮带输送进入干式磁选机。</w:t>
            </w:r>
          </w:p>
          <w:p>
            <w:pPr>
              <w:adjustRightInd w:val="0"/>
              <w:snapToGrid w:val="0"/>
              <w:spacing w:line="440" w:lineRule="exact"/>
              <w:ind w:firstLine="480" w:firstLineChars="200"/>
              <w:rPr>
                <w:rFonts w:hint="default" w:ascii="Times New Roman" w:hAnsi="Times New Roman" w:cs="Times New Roman"/>
              </w:rPr>
            </w:pPr>
            <w:r>
              <w:rPr>
                <w:rFonts w:hint="default" w:ascii="Times New Roman" w:hAnsi="Times New Roman" w:cs="Times New Roman"/>
              </w:rPr>
              <w:t>产污：铲车运输产生运输扬尘G2；破碎、筛分工序产生粉尘G3-G5，破碎及筛分工序均采取了喷淋抑尘措施，物料表层含水率较高，皮带输送过程基本不产生粉尘，可不考虑；设备运行产生设备噪声。</w:t>
            </w:r>
          </w:p>
          <w:p>
            <w:pPr>
              <w:adjustRightInd w:val="0"/>
              <w:snapToGrid w:val="0"/>
              <w:spacing w:line="440" w:lineRule="exact"/>
              <w:ind w:firstLine="480" w:firstLineChars="200"/>
              <w:rPr>
                <w:rFonts w:hint="default" w:ascii="Times New Roman" w:hAnsi="Times New Roman" w:cs="Times New Roman"/>
              </w:rPr>
            </w:pPr>
            <w:r>
              <w:rPr>
                <w:rFonts w:hint="default" w:ascii="Times New Roman" w:hAnsi="Times New Roman" w:cs="Times New Roman"/>
              </w:rPr>
              <w:t>措施：破碎、筛分粉尘采取围挡及水喷淋措施抑尘，在破碎机进料口上方、设备内和振动筛上方分别设置喷淋水管，为保证有效抑尘，初破喷淋水量为0.02m</w:t>
            </w:r>
            <w:r>
              <w:rPr>
                <w:rFonts w:hint="default" w:ascii="Times New Roman" w:hAnsi="Times New Roman" w:cs="Times New Roman"/>
                <w:vertAlign w:val="superscript"/>
              </w:rPr>
              <w:t>3</w:t>
            </w:r>
            <w:r>
              <w:rPr>
                <w:rFonts w:hint="default" w:ascii="Times New Roman" w:hAnsi="Times New Roman" w:cs="Times New Roman"/>
              </w:rPr>
              <w:t>/t物料，保证物料</w:t>
            </w:r>
            <w:r>
              <w:rPr>
                <w:rFonts w:hint="default" w:ascii="Times New Roman" w:hAnsi="Times New Roman" w:cs="Times New Roman"/>
                <w:lang w:val="en-US" w:eastAsia="zh-CN"/>
              </w:rPr>
              <w:t>表层</w:t>
            </w:r>
            <w:r>
              <w:rPr>
                <w:rFonts w:hint="default" w:ascii="Times New Roman" w:hAnsi="Times New Roman" w:cs="Times New Roman"/>
              </w:rPr>
              <w:t>含水率达到10%</w:t>
            </w:r>
            <w:r>
              <w:rPr>
                <w:rFonts w:hint="default" w:ascii="Times New Roman" w:hAnsi="Times New Roman" w:cs="Times New Roman"/>
                <w:lang w:val="en-US" w:eastAsia="zh-CN"/>
              </w:rPr>
              <w:t>以上</w:t>
            </w:r>
            <w:r>
              <w:rPr>
                <w:rFonts w:hint="default" w:ascii="Times New Roman" w:hAnsi="Times New Roman" w:cs="Times New Roman"/>
              </w:rPr>
              <w:t>，后续筛分及二破可减少喷淋水量。喷淋水管朝向破碎及筛分作业区，并与破碎作业端及筛面保持一定距离，保证喷淋水能覆盖破碎、筛分作业区。</w:t>
            </w:r>
          </w:p>
          <w:p>
            <w:pPr>
              <w:adjustRightInd w:val="0"/>
              <w:snapToGrid w:val="0"/>
              <w:spacing w:line="440" w:lineRule="exact"/>
              <w:ind w:firstLine="480" w:firstLineChars="200"/>
              <w:rPr>
                <w:rFonts w:hint="default" w:ascii="Times New Roman" w:hAnsi="Times New Roman" w:cs="Times New Roman"/>
              </w:rPr>
            </w:pPr>
            <w:r>
              <w:rPr>
                <w:rFonts w:hint="default" w:ascii="Times New Roman" w:hAnsi="Times New Roman" w:cs="Times New Roman"/>
              </w:rPr>
              <w:t>③干式磁选：经过破碎、筛分后的物料由皮带运至干式磁选机，含铁的磁性物料受重力和磁力的合力作用，快速落到滚筒上，并吸附在筒体表面，物料吸附在筒体表面旋转，直到没有磁力后落下，由皮带运至料仓；不含铁的非磁性物料在重力的作用下落在干式磁选机底部的收集仓内，然后送入尾渣堆场暂存后外售；</w:t>
            </w:r>
          </w:p>
          <w:p>
            <w:pPr>
              <w:adjustRightInd w:val="0"/>
              <w:snapToGrid w:val="0"/>
              <w:spacing w:line="440" w:lineRule="exact"/>
              <w:ind w:firstLine="480" w:firstLineChars="200"/>
              <w:rPr>
                <w:rFonts w:hint="default" w:ascii="Times New Roman" w:hAnsi="Times New Roman" w:cs="Times New Roman"/>
              </w:rPr>
            </w:pPr>
            <w:r>
              <w:rPr>
                <w:rFonts w:hint="default" w:ascii="Times New Roman" w:hAnsi="Times New Roman" w:cs="Times New Roman"/>
              </w:rPr>
              <w:t>产污：</w:t>
            </w:r>
          </w:p>
          <w:p>
            <w:pPr>
              <w:adjustRightInd w:val="0"/>
              <w:snapToGrid w:val="0"/>
              <w:spacing w:line="440" w:lineRule="exact"/>
              <w:ind w:firstLine="480" w:firstLineChars="200"/>
              <w:rPr>
                <w:rFonts w:hint="default" w:ascii="Times New Roman" w:hAnsi="Times New Roman" w:cs="Times New Roman"/>
              </w:rPr>
            </w:pPr>
            <w:r>
              <w:rPr>
                <w:rFonts w:hint="default" w:ascii="Times New Roman" w:hAnsi="Times New Roman" w:cs="Times New Roman"/>
              </w:rPr>
              <w:t>由于破碎、筛分均采取了喷淋抑尘措施，进入干式磁选机的物料表层含水率较高，干选过程中物料与底部的收集仓之间落差小，非磁性物料收集过程基本不产生粉尘，故干式磁选工序几乎不产生粉尘。本工序产污主要为设备运行产生噪声及干式磁选产生的磁选尾渣</w:t>
            </w:r>
          </w:p>
          <w:p>
            <w:pPr>
              <w:adjustRightInd w:val="0"/>
              <w:snapToGrid w:val="0"/>
              <w:spacing w:line="440" w:lineRule="exact"/>
              <w:ind w:firstLine="480" w:firstLineChars="200"/>
              <w:rPr>
                <w:rFonts w:hint="default" w:ascii="Times New Roman" w:hAnsi="Times New Roman" w:cs="Times New Roman"/>
              </w:rPr>
            </w:pPr>
            <w:r>
              <w:rPr>
                <w:rFonts w:hint="default" w:ascii="Times New Roman" w:hAnsi="Times New Roman" w:cs="Times New Roman"/>
              </w:rPr>
              <w:t>措施：尾渣暂存于尾渣堆场后外售给制砖厂。</w:t>
            </w:r>
          </w:p>
          <w:p>
            <w:pPr>
              <w:adjustRightInd w:val="0"/>
              <w:snapToGrid w:val="0"/>
              <w:spacing w:line="440" w:lineRule="exact"/>
              <w:ind w:firstLine="480" w:firstLineChars="200"/>
              <w:rPr>
                <w:rFonts w:hint="default" w:ascii="Times New Roman" w:hAnsi="Times New Roman" w:cs="Times New Roman"/>
              </w:rPr>
            </w:pPr>
            <w:r>
              <w:rPr>
                <w:rFonts w:hint="default" w:ascii="Times New Roman" w:hAnsi="Times New Roman" w:cs="Times New Roman"/>
              </w:rPr>
              <w:t>④给料、湿式球磨：经干式磁选机筛选出的磁性物料存于中转料仓，由圆盘给料机（密闭）通过输送槽送入湿式球磨机中，球磨机按进料的一定比例加入水，通过球磨机中的研磨介质（不同规格钢球）对物料进行研磨运动来破碎物料，物料经研磨后进入分级机。球磨机为连续进料，连续出料，用水量约为物料的30%。球磨机物料处理量33.33t/h，用水量约为10t/h。</w:t>
            </w:r>
          </w:p>
          <w:p>
            <w:pPr>
              <w:adjustRightInd w:val="0"/>
              <w:snapToGrid w:val="0"/>
              <w:spacing w:line="440" w:lineRule="exact"/>
              <w:ind w:firstLine="480" w:firstLineChars="200"/>
              <w:rPr>
                <w:rFonts w:hint="default" w:ascii="Times New Roman" w:hAnsi="Times New Roman" w:cs="Times New Roman"/>
              </w:rPr>
            </w:pPr>
            <w:r>
              <w:rPr>
                <w:rFonts w:hint="default" w:ascii="Times New Roman" w:hAnsi="Times New Roman" w:cs="Times New Roman"/>
              </w:rPr>
              <w:t>产污：物料经球磨机球磨后与水一并进入分级机，球磨过程中不产生废水；球磨过程会产生设备噪声。</w:t>
            </w:r>
          </w:p>
          <w:p>
            <w:pPr>
              <w:adjustRightInd w:val="0"/>
              <w:snapToGrid w:val="0"/>
              <w:spacing w:line="440" w:lineRule="exact"/>
              <w:ind w:firstLine="480" w:firstLineChars="200"/>
              <w:rPr>
                <w:rFonts w:hint="default" w:ascii="Times New Roman" w:hAnsi="Times New Roman" w:cs="Times New Roman"/>
              </w:rPr>
            </w:pPr>
            <w:r>
              <w:rPr>
                <w:rFonts w:hint="default" w:ascii="Times New Roman" w:hAnsi="Times New Roman" w:cs="Times New Roman"/>
              </w:rPr>
              <w:t>⑤分级：由湿式球磨机排出的物料送入分级机。物料通过分级机进料口进入螺旋输送器，由于螺旋输送器的带动，使物料沿着输送器旋转，当物料到达螺旋分级机的分级室时，离心力将物料分为粗物料（1-</w:t>
            </w:r>
            <w:r>
              <w:rPr>
                <w:rFonts w:hint="default" w:ascii="Times New Roman" w:hAnsi="Times New Roman" w:cs="Times New Roman"/>
                <w:lang w:val="en-US" w:eastAsia="zh-CN"/>
              </w:rPr>
              <w:t>3</w:t>
            </w:r>
            <w:r>
              <w:rPr>
                <w:rFonts w:hint="default" w:ascii="Times New Roman" w:hAnsi="Times New Roman" w:cs="Times New Roman"/>
              </w:rPr>
              <w:t>cm）和细物料（＜1cm），粗物料沿着螺旋输送器运动返回湿式球磨机球磨，细物料被离心力作用排出，进入中转仓；</w:t>
            </w:r>
          </w:p>
          <w:p>
            <w:pPr>
              <w:adjustRightInd w:val="0"/>
              <w:snapToGrid w:val="0"/>
              <w:spacing w:line="440" w:lineRule="exact"/>
              <w:ind w:firstLine="480" w:firstLineChars="200"/>
              <w:rPr>
                <w:rFonts w:hint="default" w:ascii="Times New Roman" w:hAnsi="Times New Roman" w:cs="Times New Roman"/>
              </w:rPr>
            </w:pPr>
            <w:r>
              <w:rPr>
                <w:rFonts w:hint="default" w:ascii="Times New Roman" w:hAnsi="Times New Roman" w:cs="Times New Roman"/>
              </w:rPr>
              <w:t>产污：物料经分级机分级后与水一并进入中转仓，然后通过管道送入湿式磁选机，不产生废水；分级机运行过程中会产生噪声。</w:t>
            </w:r>
          </w:p>
          <w:p>
            <w:pPr>
              <w:adjustRightInd w:val="0"/>
              <w:snapToGrid w:val="0"/>
              <w:spacing w:line="440" w:lineRule="exact"/>
              <w:ind w:firstLine="480" w:firstLineChars="200"/>
              <w:rPr>
                <w:rFonts w:hint="default" w:ascii="Times New Roman" w:hAnsi="Times New Roman" w:cs="Times New Roman"/>
              </w:rPr>
            </w:pPr>
            <w:r>
              <w:rPr>
                <w:rFonts w:hint="default" w:ascii="Times New Roman" w:hAnsi="Times New Roman" w:cs="Times New Roman"/>
              </w:rPr>
              <w:t>⑥湿式磁选：中转仓中的物料通过管道送入湿式磁选机的水槽中，磁滚筒放置在水槽内，通过控制电磁铁的通电产生磁场，因磁滚筒壁面为铁磁性材料，水槽中物料的磁性颗粒会被吸附在磁滚筒上，非磁性物料则不受作用，继续被水流冲刷着流动，随后通过磁选渣管道送入磁选尾渣暂存池。磁性物料随着磁滚筒转到磁系边缘磁力最弱处，在磁选机水管喷出的冲洗水的作用下通过管道卸到铁粉仓中</w:t>
            </w:r>
          </w:p>
          <w:p>
            <w:pPr>
              <w:adjustRightInd w:val="0"/>
              <w:snapToGrid w:val="0"/>
              <w:spacing w:line="440" w:lineRule="exact"/>
              <w:ind w:firstLine="480" w:firstLineChars="200"/>
              <w:rPr>
                <w:rFonts w:hint="default" w:ascii="Times New Roman" w:hAnsi="Times New Roman" w:cs="Times New Roman"/>
              </w:rPr>
            </w:pPr>
            <w:r>
              <w:rPr>
                <w:rFonts w:hint="default" w:ascii="Times New Roman" w:hAnsi="Times New Roman" w:cs="Times New Roman"/>
              </w:rPr>
              <w:t>产污：湿式磁选工序磁性物料（含水）通过管道进铁粉仓，非磁性物料（含水）通过管道送入磁选尾渣暂存池，不产生废水；磁选过程会产生噪声。</w:t>
            </w:r>
          </w:p>
          <w:p>
            <w:pPr>
              <w:adjustRightInd w:val="0"/>
              <w:snapToGrid w:val="0"/>
              <w:spacing w:line="440" w:lineRule="exact"/>
              <w:ind w:firstLine="480" w:firstLineChars="200"/>
              <w:rPr>
                <w:rFonts w:hint="default" w:ascii="Times New Roman" w:hAnsi="Times New Roman" w:cs="Times New Roman"/>
              </w:rPr>
            </w:pPr>
            <w:r>
              <w:rPr>
                <w:rFonts w:hint="default" w:ascii="Times New Roman" w:hAnsi="Times New Roman" w:cs="Times New Roman"/>
              </w:rPr>
              <w:t>⑦铁粉堆干、尾渣脱水</w:t>
            </w:r>
          </w:p>
          <w:p>
            <w:pPr>
              <w:adjustRightInd w:val="0"/>
              <w:snapToGrid w:val="0"/>
              <w:spacing w:line="440" w:lineRule="exact"/>
              <w:ind w:firstLine="480" w:firstLineChars="200"/>
              <w:rPr>
                <w:rFonts w:hint="default" w:ascii="Times New Roman" w:hAnsi="Times New Roman" w:cs="Times New Roman"/>
              </w:rPr>
            </w:pPr>
            <w:r>
              <w:rPr>
                <w:rFonts w:hint="default" w:ascii="Times New Roman" w:hAnsi="Times New Roman" w:cs="Times New Roman"/>
              </w:rPr>
              <w:t>铁粉仓中的铁粉，经铁粉仓堆放干1-2天左右，产生的渗滤水经截留沟后导排至“隔油池+沉淀池”处理后回用。</w:t>
            </w:r>
          </w:p>
          <w:p>
            <w:pPr>
              <w:adjustRightInd w:val="0"/>
              <w:snapToGrid w:val="0"/>
              <w:spacing w:line="440" w:lineRule="exact"/>
              <w:ind w:firstLine="480" w:firstLineChars="200"/>
              <w:rPr>
                <w:rFonts w:hint="default" w:ascii="Times New Roman" w:hAnsi="Times New Roman" w:cs="Times New Roman"/>
              </w:rPr>
            </w:pPr>
            <w:r>
              <w:rPr>
                <w:rFonts w:hint="default" w:ascii="Times New Roman" w:hAnsi="Times New Roman" w:cs="Times New Roman"/>
              </w:rPr>
              <w:t>磁选尾渣则通过磁选渣管道送入磁选渣暂存池暂存，经脱水筛旋流器筛分出含水率不同的粗、细磁选尾渣，粗磁选渣可直接外售，细磁选渣经浓缩罐及板框压滤脱水后暂存外售。浓缩罐产生的废水和板框压滤水分别通过管道泵入“隔油池+沉淀池”处理。</w:t>
            </w:r>
          </w:p>
          <w:p>
            <w:pPr>
              <w:adjustRightInd w:val="0"/>
              <w:snapToGrid w:val="0"/>
              <w:spacing w:line="440" w:lineRule="exact"/>
              <w:ind w:firstLine="480" w:firstLineChars="200"/>
              <w:rPr>
                <w:rFonts w:hint="default" w:ascii="Times New Roman" w:hAnsi="Times New Roman" w:cs="Times New Roman"/>
              </w:rPr>
            </w:pPr>
            <w:r>
              <w:rPr>
                <w:rFonts w:hint="default" w:ascii="Times New Roman" w:hAnsi="Times New Roman" w:cs="Times New Roman"/>
              </w:rPr>
              <w:t>产污：铁粉堆干产生渗滤水W1、浓缩罐产生废水W2，板框压滤机产生废水W3；压滤机产生废滤布；脱水筛、板框压滤机产生磁选尾渣。</w:t>
            </w:r>
          </w:p>
          <w:p>
            <w:pPr>
              <w:adjustRightInd w:val="0"/>
              <w:snapToGrid w:val="0"/>
              <w:spacing w:line="440" w:lineRule="exact"/>
              <w:ind w:firstLine="480" w:firstLineChars="200"/>
              <w:rPr>
                <w:rFonts w:hint="default" w:ascii="Times New Roman" w:hAnsi="Times New Roman" w:cs="Times New Roman"/>
              </w:rPr>
            </w:pPr>
            <w:r>
              <w:rPr>
                <w:rFonts w:hint="default" w:ascii="Times New Roman" w:hAnsi="Times New Roman" w:cs="Times New Roman"/>
              </w:rPr>
              <w:t>措施：废水进入“隔油池+沉淀池”处理；废滤布由可回收利用厂家回收；磁选尾渣委托可回收利用单位处置。</w:t>
            </w:r>
          </w:p>
          <w:p>
            <w:pPr>
              <w:adjustRightInd w:val="0"/>
              <w:snapToGrid w:val="0"/>
              <w:spacing w:line="440" w:lineRule="exact"/>
              <w:ind w:firstLine="480" w:firstLineChars="200"/>
              <w:rPr>
                <w:rFonts w:hint="default" w:ascii="Times New Roman" w:hAnsi="Times New Roman" w:cs="Times New Roman"/>
              </w:rPr>
            </w:pPr>
            <w:r>
              <w:rPr>
                <w:rFonts w:hint="default" w:ascii="Times New Roman" w:hAnsi="Times New Roman" w:cs="Times New Roman"/>
              </w:rPr>
              <w:t>⑧产品外售：铁粉及磁选尾渣分别在铁粉仓及尾渣堆场暂存1-2天外运出售。装卸及运输过程产生少量粉尘。</w:t>
            </w:r>
          </w:p>
          <w:p>
            <w:pPr>
              <w:pStyle w:val="3"/>
              <w:spacing w:line="400" w:lineRule="exact"/>
              <w:ind w:right="-120" w:firstLine="0" w:firstLineChars="0"/>
              <w:rPr>
                <w:rFonts w:hint="default" w:ascii="Times New Roman" w:hAnsi="Times New Roman" w:eastAsia="黑体" w:cs="Times New Roman"/>
                <w:b/>
                <w:bCs/>
              </w:rPr>
            </w:pPr>
            <w:r>
              <w:rPr>
                <w:rFonts w:hint="default" w:ascii="Times New Roman" w:hAnsi="Times New Roman" w:eastAsia="黑体" w:cs="Times New Roman"/>
                <w:b/>
                <w:bCs/>
              </w:rPr>
              <w:t>2.3.2产污环节分析</w:t>
            </w:r>
          </w:p>
          <w:p>
            <w:pPr>
              <w:ind w:firstLine="480" w:firstLineChars="200"/>
              <w:rPr>
                <w:rFonts w:hint="default" w:ascii="Times New Roman" w:hAnsi="Times New Roman" w:cs="Times New Roman"/>
              </w:rPr>
            </w:pPr>
            <w:r>
              <w:rPr>
                <w:rFonts w:hint="default" w:ascii="Times New Roman" w:hAnsi="Times New Roman" w:cs="Times New Roman"/>
              </w:rPr>
              <w:t>卓阳达公司产污分析情况见下表：</w:t>
            </w:r>
          </w:p>
          <w:p>
            <w:pPr>
              <w:pStyle w:val="2"/>
              <w:rPr>
                <w:rFonts w:hint="default" w:ascii="Times New Roman" w:hAnsi="Times New Roman" w:cs="Times New Roman"/>
              </w:rPr>
            </w:pPr>
          </w:p>
          <w:p>
            <w:pPr>
              <w:pStyle w:val="3"/>
              <w:ind w:right="-120" w:firstLine="240"/>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pStyle w:val="34"/>
              <w:spacing w:before="120"/>
              <w:ind w:firstLine="422"/>
              <w:rPr>
                <w:rFonts w:hint="default" w:ascii="Times New Roman" w:hAnsi="Times New Roman" w:cs="Times New Roman"/>
                <w:b/>
                <w:bCs/>
                <w:sz w:val="21"/>
                <w:szCs w:val="21"/>
              </w:rPr>
            </w:pPr>
            <w:r>
              <w:rPr>
                <w:rFonts w:hint="default" w:ascii="Times New Roman" w:hAnsi="Times New Roman" w:cs="Times New Roman"/>
                <w:b/>
                <w:bCs/>
                <w:sz w:val="21"/>
                <w:szCs w:val="21"/>
              </w:rPr>
              <w:t>表2.3-1产排污分析情况汇总表</w:t>
            </w:r>
          </w:p>
          <w:tbl>
            <w:tblPr>
              <w:tblStyle w:val="25"/>
              <w:tblW w:w="7999"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
            <w:tblGrid>
              <w:gridCol w:w="442"/>
              <w:gridCol w:w="1448"/>
              <w:gridCol w:w="1101"/>
              <w:gridCol w:w="1794"/>
              <w:gridCol w:w="1916"/>
              <w:gridCol w:w="1298"/>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442" w:type="dxa"/>
                  <w:vAlign w:val="center"/>
                </w:tcPr>
                <w:p>
                  <w:pPr>
                    <w:widowControl/>
                    <w:spacing w:line="320" w:lineRule="exact"/>
                    <w:jc w:val="center"/>
                    <w:rPr>
                      <w:rFonts w:hint="default" w:ascii="Times New Roman" w:hAnsi="Times New Roman" w:cs="Times New Roman"/>
                      <w:szCs w:val="21"/>
                    </w:rPr>
                  </w:pPr>
                  <w:r>
                    <w:rPr>
                      <w:rFonts w:hint="default" w:ascii="Times New Roman" w:hAnsi="Times New Roman" w:cs="Times New Roman"/>
                      <w:szCs w:val="21"/>
                    </w:rPr>
                    <w:t>项目</w:t>
                  </w:r>
                </w:p>
              </w:tc>
              <w:tc>
                <w:tcPr>
                  <w:tcW w:w="1448" w:type="dxa"/>
                  <w:vAlign w:val="center"/>
                </w:tcPr>
                <w:p>
                  <w:pPr>
                    <w:widowControl/>
                    <w:spacing w:line="320" w:lineRule="exact"/>
                    <w:jc w:val="center"/>
                    <w:rPr>
                      <w:rFonts w:hint="default" w:ascii="Times New Roman" w:hAnsi="Times New Roman" w:cs="Times New Roman"/>
                      <w:szCs w:val="21"/>
                    </w:rPr>
                  </w:pPr>
                  <w:r>
                    <w:rPr>
                      <w:rFonts w:hint="default" w:ascii="Times New Roman" w:hAnsi="Times New Roman" w:cs="Times New Roman"/>
                      <w:szCs w:val="21"/>
                    </w:rPr>
                    <w:t>污染类型</w:t>
                  </w:r>
                </w:p>
              </w:tc>
              <w:tc>
                <w:tcPr>
                  <w:tcW w:w="2895" w:type="dxa"/>
                  <w:gridSpan w:val="2"/>
                  <w:vAlign w:val="center"/>
                </w:tcPr>
                <w:p>
                  <w:pPr>
                    <w:widowControl/>
                    <w:spacing w:line="320" w:lineRule="exact"/>
                    <w:jc w:val="center"/>
                    <w:rPr>
                      <w:rFonts w:hint="default" w:ascii="Times New Roman" w:hAnsi="Times New Roman" w:cs="Times New Roman"/>
                      <w:szCs w:val="21"/>
                    </w:rPr>
                  </w:pPr>
                  <w:r>
                    <w:rPr>
                      <w:rFonts w:hint="default" w:ascii="Times New Roman" w:hAnsi="Times New Roman" w:cs="Times New Roman"/>
                      <w:szCs w:val="21"/>
                    </w:rPr>
                    <w:t>产污环节</w:t>
                  </w:r>
                </w:p>
              </w:tc>
              <w:tc>
                <w:tcPr>
                  <w:tcW w:w="1916" w:type="dxa"/>
                  <w:vAlign w:val="center"/>
                </w:tcPr>
                <w:p>
                  <w:pPr>
                    <w:keepNext/>
                    <w:widowControl/>
                    <w:spacing w:line="320" w:lineRule="exact"/>
                    <w:jc w:val="center"/>
                    <w:rPr>
                      <w:rFonts w:hint="default" w:ascii="Times New Roman" w:hAnsi="Times New Roman" w:cs="Times New Roman"/>
                      <w:szCs w:val="21"/>
                    </w:rPr>
                  </w:pPr>
                  <w:r>
                    <w:rPr>
                      <w:rFonts w:hint="default" w:ascii="Times New Roman" w:hAnsi="Times New Roman" w:cs="Times New Roman"/>
                      <w:szCs w:val="21"/>
                    </w:rPr>
                    <w:t>产生污染的主要设备/单元</w:t>
                  </w:r>
                </w:p>
              </w:tc>
              <w:tc>
                <w:tcPr>
                  <w:tcW w:w="1298" w:type="dxa"/>
                  <w:vAlign w:val="center"/>
                </w:tcPr>
                <w:p>
                  <w:pPr>
                    <w:keepNext/>
                    <w:widowControl/>
                    <w:spacing w:line="320" w:lineRule="exact"/>
                    <w:jc w:val="center"/>
                    <w:rPr>
                      <w:rFonts w:hint="default" w:ascii="Times New Roman" w:hAnsi="Times New Roman" w:cs="Times New Roman"/>
                      <w:szCs w:val="21"/>
                    </w:rPr>
                  </w:pPr>
                  <w:r>
                    <w:rPr>
                      <w:rFonts w:hint="default" w:ascii="Times New Roman" w:hAnsi="Times New Roman" w:cs="Times New Roman"/>
                      <w:szCs w:val="21"/>
                    </w:rPr>
                    <w:t>主要污染因子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442" w:type="dxa"/>
                  <w:vMerge w:val="restart"/>
                  <w:vAlign w:val="center"/>
                </w:tcPr>
                <w:p>
                  <w:pPr>
                    <w:widowControl/>
                    <w:spacing w:line="320" w:lineRule="exact"/>
                    <w:jc w:val="center"/>
                    <w:rPr>
                      <w:rFonts w:hint="default" w:ascii="Times New Roman" w:hAnsi="Times New Roman" w:cs="Times New Roman"/>
                      <w:szCs w:val="21"/>
                    </w:rPr>
                  </w:pPr>
                  <w:r>
                    <w:rPr>
                      <w:rFonts w:hint="default" w:ascii="Times New Roman" w:hAnsi="Times New Roman" w:cs="Times New Roman"/>
                      <w:szCs w:val="21"/>
                    </w:rPr>
                    <w:t>废气</w:t>
                  </w:r>
                </w:p>
              </w:tc>
              <w:tc>
                <w:tcPr>
                  <w:tcW w:w="1448" w:type="dxa"/>
                  <w:vAlign w:val="center"/>
                </w:tcPr>
                <w:p>
                  <w:pPr>
                    <w:widowControl/>
                    <w:spacing w:line="320" w:lineRule="exact"/>
                    <w:jc w:val="center"/>
                    <w:rPr>
                      <w:rFonts w:hint="default" w:ascii="Times New Roman" w:hAnsi="Times New Roman" w:cs="Times New Roman"/>
                      <w:szCs w:val="21"/>
                    </w:rPr>
                  </w:pPr>
                  <w:r>
                    <w:rPr>
                      <w:rFonts w:hint="default" w:ascii="Times New Roman" w:hAnsi="Times New Roman" w:cs="Times New Roman"/>
                      <w:szCs w:val="21"/>
                    </w:rPr>
                    <w:t>卸料粉尘</w:t>
                  </w:r>
                </w:p>
              </w:tc>
              <w:tc>
                <w:tcPr>
                  <w:tcW w:w="1101" w:type="dxa"/>
                  <w:vAlign w:val="center"/>
                </w:tcPr>
                <w:p>
                  <w:pPr>
                    <w:widowControl/>
                    <w:spacing w:line="320" w:lineRule="exact"/>
                    <w:jc w:val="center"/>
                    <w:rPr>
                      <w:rFonts w:hint="default" w:ascii="Times New Roman" w:hAnsi="Times New Roman" w:cs="Times New Roman"/>
                      <w:szCs w:val="21"/>
                    </w:rPr>
                  </w:pPr>
                  <w:r>
                    <w:rPr>
                      <w:rFonts w:hint="default" w:ascii="Times New Roman" w:hAnsi="Times New Roman" w:cs="Times New Roman"/>
                      <w:szCs w:val="21"/>
                    </w:rPr>
                    <w:t>G1</w:t>
                  </w:r>
                </w:p>
              </w:tc>
              <w:tc>
                <w:tcPr>
                  <w:tcW w:w="1794" w:type="dxa"/>
                  <w:vAlign w:val="center"/>
                </w:tcPr>
                <w:p>
                  <w:pPr>
                    <w:widowControl/>
                    <w:spacing w:line="320" w:lineRule="exact"/>
                    <w:jc w:val="center"/>
                    <w:rPr>
                      <w:rFonts w:hint="default" w:ascii="Times New Roman" w:hAnsi="Times New Roman" w:cs="Times New Roman"/>
                      <w:szCs w:val="21"/>
                    </w:rPr>
                  </w:pPr>
                  <w:r>
                    <w:rPr>
                      <w:rFonts w:hint="default" w:ascii="Times New Roman" w:hAnsi="Times New Roman" w:cs="Times New Roman"/>
                      <w:szCs w:val="21"/>
                    </w:rPr>
                    <w:t>卸料</w:t>
                  </w:r>
                </w:p>
              </w:tc>
              <w:tc>
                <w:tcPr>
                  <w:tcW w:w="1916" w:type="dxa"/>
                  <w:vAlign w:val="center"/>
                </w:tcPr>
                <w:p>
                  <w:pPr>
                    <w:widowControl/>
                    <w:spacing w:line="320" w:lineRule="exact"/>
                    <w:jc w:val="center"/>
                    <w:rPr>
                      <w:rFonts w:hint="default" w:ascii="Times New Roman" w:hAnsi="Times New Roman" w:cs="Times New Roman"/>
                      <w:szCs w:val="21"/>
                    </w:rPr>
                  </w:pPr>
                  <w:r>
                    <w:rPr>
                      <w:rFonts w:hint="default" w:ascii="Times New Roman" w:hAnsi="Times New Roman" w:cs="Times New Roman"/>
                      <w:szCs w:val="21"/>
                    </w:rPr>
                    <w:t>原料堆场</w:t>
                  </w:r>
                </w:p>
              </w:tc>
              <w:tc>
                <w:tcPr>
                  <w:tcW w:w="1298" w:type="dxa"/>
                  <w:vMerge w:val="restart"/>
                  <w:vAlign w:val="center"/>
                </w:tcPr>
                <w:p>
                  <w:pPr>
                    <w:widowControl/>
                    <w:spacing w:line="320" w:lineRule="exact"/>
                    <w:jc w:val="center"/>
                    <w:rPr>
                      <w:rFonts w:hint="default" w:ascii="Times New Roman" w:hAnsi="Times New Roman" w:cs="Times New Roman"/>
                      <w:szCs w:val="21"/>
                    </w:rPr>
                  </w:pPr>
                  <w:r>
                    <w:rPr>
                      <w:rFonts w:hint="default" w:ascii="Times New Roman" w:hAnsi="Times New Roman" w:cs="Times New Roman"/>
                      <w:szCs w:val="21"/>
                    </w:rPr>
                    <w:t>颗粒物</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442" w:type="dxa"/>
                  <w:vMerge w:val="continue"/>
                  <w:vAlign w:val="center"/>
                </w:tcPr>
                <w:p>
                  <w:pPr>
                    <w:widowControl/>
                    <w:spacing w:line="320" w:lineRule="exact"/>
                    <w:jc w:val="center"/>
                    <w:rPr>
                      <w:rFonts w:hint="default" w:ascii="Times New Roman" w:hAnsi="Times New Roman" w:cs="Times New Roman"/>
                      <w:szCs w:val="21"/>
                    </w:rPr>
                  </w:pPr>
                </w:p>
              </w:tc>
              <w:tc>
                <w:tcPr>
                  <w:tcW w:w="1448" w:type="dxa"/>
                  <w:vAlign w:val="center"/>
                </w:tcPr>
                <w:p>
                  <w:pPr>
                    <w:widowControl/>
                    <w:spacing w:line="320" w:lineRule="exact"/>
                    <w:jc w:val="center"/>
                    <w:rPr>
                      <w:rFonts w:hint="default" w:ascii="Times New Roman" w:hAnsi="Times New Roman" w:cs="Times New Roman"/>
                      <w:szCs w:val="21"/>
                    </w:rPr>
                  </w:pPr>
                  <w:r>
                    <w:rPr>
                      <w:rFonts w:hint="default" w:ascii="Times New Roman" w:hAnsi="Times New Roman" w:cs="Times New Roman"/>
                      <w:szCs w:val="21"/>
                    </w:rPr>
                    <w:t>运输扬尘</w:t>
                  </w:r>
                </w:p>
              </w:tc>
              <w:tc>
                <w:tcPr>
                  <w:tcW w:w="1101" w:type="dxa"/>
                  <w:vAlign w:val="center"/>
                </w:tcPr>
                <w:p>
                  <w:pPr>
                    <w:widowControl/>
                    <w:spacing w:line="320" w:lineRule="exact"/>
                    <w:jc w:val="center"/>
                    <w:rPr>
                      <w:rFonts w:hint="default" w:ascii="Times New Roman" w:hAnsi="Times New Roman" w:cs="Times New Roman"/>
                      <w:szCs w:val="21"/>
                    </w:rPr>
                  </w:pPr>
                  <w:r>
                    <w:rPr>
                      <w:rFonts w:hint="default" w:ascii="Times New Roman" w:hAnsi="Times New Roman" w:cs="Times New Roman"/>
                      <w:szCs w:val="21"/>
                    </w:rPr>
                    <w:t>G2</w:t>
                  </w:r>
                </w:p>
              </w:tc>
              <w:tc>
                <w:tcPr>
                  <w:tcW w:w="1794" w:type="dxa"/>
                  <w:vAlign w:val="center"/>
                </w:tcPr>
                <w:p>
                  <w:pPr>
                    <w:widowControl/>
                    <w:spacing w:line="320" w:lineRule="exact"/>
                    <w:jc w:val="center"/>
                    <w:rPr>
                      <w:rFonts w:hint="default" w:ascii="Times New Roman" w:hAnsi="Times New Roman" w:cs="Times New Roman"/>
                      <w:szCs w:val="21"/>
                    </w:rPr>
                  </w:pPr>
                  <w:r>
                    <w:rPr>
                      <w:rFonts w:hint="default" w:ascii="Times New Roman" w:hAnsi="Times New Roman" w:cs="Times New Roman"/>
                      <w:szCs w:val="21"/>
                    </w:rPr>
                    <w:t>原料运输</w:t>
                  </w:r>
                </w:p>
              </w:tc>
              <w:tc>
                <w:tcPr>
                  <w:tcW w:w="1916" w:type="dxa"/>
                  <w:vAlign w:val="center"/>
                </w:tcPr>
                <w:p>
                  <w:pPr>
                    <w:widowControl/>
                    <w:spacing w:line="320" w:lineRule="exact"/>
                    <w:jc w:val="center"/>
                    <w:rPr>
                      <w:rFonts w:hint="default" w:ascii="Times New Roman" w:hAnsi="Times New Roman" w:cs="Times New Roman"/>
                      <w:szCs w:val="21"/>
                    </w:rPr>
                  </w:pPr>
                  <w:r>
                    <w:rPr>
                      <w:rFonts w:hint="default" w:ascii="Times New Roman" w:hAnsi="Times New Roman" w:cs="Times New Roman"/>
                      <w:szCs w:val="21"/>
                    </w:rPr>
                    <w:t>车辆</w:t>
                  </w:r>
                </w:p>
              </w:tc>
              <w:tc>
                <w:tcPr>
                  <w:tcW w:w="1298" w:type="dxa"/>
                  <w:vMerge w:val="continue"/>
                  <w:vAlign w:val="center"/>
                </w:tcPr>
                <w:p>
                  <w:pPr>
                    <w:widowControl/>
                    <w:spacing w:line="320" w:lineRule="exact"/>
                    <w:jc w:val="center"/>
                    <w:rPr>
                      <w:rFonts w:hint="default" w:ascii="Times New Roman" w:hAnsi="Times New Roman" w:cs="Times New Roman"/>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442" w:type="dxa"/>
                  <w:vMerge w:val="continue"/>
                  <w:vAlign w:val="center"/>
                </w:tcPr>
                <w:p>
                  <w:pPr>
                    <w:widowControl/>
                    <w:spacing w:line="320" w:lineRule="exact"/>
                    <w:jc w:val="center"/>
                    <w:rPr>
                      <w:rFonts w:hint="default" w:ascii="Times New Roman" w:hAnsi="Times New Roman" w:cs="Times New Roman"/>
                      <w:szCs w:val="21"/>
                    </w:rPr>
                  </w:pPr>
                </w:p>
              </w:tc>
              <w:tc>
                <w:tcPr>
                  <w:tcW w:w="1448" w:type="dxa"/>
                  <w:vMerge w:val="restart"/>
                  <w:vAlign w:val="center"/>
                </w:tcPr>
                <w:p>
                  <w:pPr>
                    <w:widowControl/>
                    <w:spacing w:line="320" w:lineRule="exact"/>
                    <w:jc w:val="center"/>
                    <w:rPr>
                      <w:rFonts w:hint="default" w:ascii="Times New Roman" w:hAnsi="Times New Roman" w:cs="Times New Roman"/>
                      <w:szCs w:val="21"/>
                    </w:rPr>
                  </w:pPr>
                  <w:r>
                    <w:rPr>
                      <w:rFonts w:hint="default" w:ascii="Times New Roman" w:hAnsi="Times New Roman" w:cs="Times New Roman"/>
                      <w:szCs w:val="21"/>
                    </w:rPr>
                    <w:t>破碎粉尘</w:t>
                  </w:r>
                </w:p>
              </w:tc>
              <w:tc>
                <w:tcPr>
                  <w:tcW w:w="1101" w:type="dxa"/>
                  <w:vAlign w:val="center"/>
                </w:tcPr>
                <w:p>
                  <w:pPr>
                    <w:widowControl/>
                    <w:spacing w:line="320" w:lineRule="exact"/>
                    <w:jc w:val="center"/>
                    <w:rPr>
                      <w:rFonts w:hint="default" w:ascii="Times New Roman" w:hAnsi="Times New Roman" w:cs="Times New Roman"/>
                      <w:szCs w:val="21"/>
                    </w:rPr>
                  </w:pPr>
                  <w:r>
                    <w:rPr>
                      <w:rFonts w:hint="default" w:ascii="Times New Roman" w:hAnsi="Times New Roman" w:cs="Times New Roman"/>
                      <w:szCs w:val="21"/>
                    </w:rPr>
                    <w:t>G3</w:t>
                  </w:r>
                </w:p>
              </w:tc>
              <w:tc>
                <w:tcPr>
                  <w:tcW w:w="1794" w:type="dxa"/>
                  <w:vMerge w:val="restart"/>
                  <w:vAlign w:val="center"/>
                </w:tcPr>
                <w:p>
                  <w:pPr>
                    <w:widowControl/>
                    <w:spacing w:line="320" w:lineRule="exact"/>
                    <w:jc w:val="center"/>
                    <w:rPr>
                      <w:rFonts w:hint="default" w:ascii="Times New Roman" w:hAnsi="Times New Roman" w:cs="Times New Roman"/>
                      <w:szCs w:val="21"/>
                    </w:rPr>
                  </w:pPr>
                  <w:r>
                    <w:rPr>
                      <w:rFonts w:hint="default" w:ascii="Times New Roman" w:hAnsi="Times New Roman" w:cs="Times New Roman"/>
                      <w:szCs w:val="21"/>
                    </w:rPr>
                    <w:t>破碎</w:t>
                  </w:r>
                </w:p>
              </w:tc>
              <w:tc>
                <w:tcPr>
                  <w:tcW w:w="1916" w:type="dxa"/>
                  <w:vAlign w:val="center"/>
                </w:tcPr>
                <w:p>
                  <w:pPr>
                    <w:widowControl/>
                    <w:spacing w:line="320" w:lineRule="exact"/>
                    <w:jc w:val="center"/>
                    <w:rPr>
                      <w:rFonts w:hint="default" w:ascii="Times New Roman" w:hAnsi="Times New Roman" w:cs="Times New Roman"/>
                      <w:szCs w:val="21"/>
                    </w:rPr>
                  </w:pPr>
                  <w:r>
                    <w:rPr>
                      <w:rFonts w:hint="default" w:ascii="Times New Roman" w:hAnsi="Times New Roman" w:cs="Times New Roman"/>
                      <w:szCs w:val="21"/>
                    </w:rPr>
                    <w:t>破碎机（初破）</w:t>
                  </w:r>
                </w:p>
              </w:tc>
              <w:tc>
                <w:tcPr>
                  <w:tcW w:w="1298" w:type="dxa"/>
                  <w:vMerge w:val="continue"/>
                  <w:vAlign w:val="center"/>
                </w:tcPr>
                <w:p>
                  <w:pPr>
                    <w:widowControl/>
                    <w:spacing w:line="320" w:lineRule="exact"/>
                    <w:jc w:val="center"/>
                    <w:rPr>
                      <w:rFonts w:hint="default" w:ascii="Times New Roman" w:hAnsi="Times New Roman" w:cs="Times New Roman"/>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442" w:type="dxa"/>
                  <w:vMerge w:val="continue"/>
                  <w:vAlign w:val="center"/>
                </w:tcPr>
                <w:p>
                  <w:pPr>
                    <w:widowControl/>
                    <w:spacing w:line="320" w:lineRule="exact"/>
                    <w:jc w:val="center"/>
                    <w:rPr>
                      <w:rFonts w:hint="default" w:ascii="Times New Roman" w:hAnsi="Times New Roman" w:cs="Times New Roman"/>
                      <w:szCs w:val="21"/>
                    </w:rPr>
                  </w:pPr>
                </w:p>
              </w:tc>
              <w:tc>
                <w:tcPr>
                  <w:tcW w:w="1448" w:type="dxa"/>
                  <w:vMerge w:val="continue"/>
                  <w:vAlign w:val="center"/>
                </w:tcPr>
                <w:p>
                  <w:pPr>
                    <w:widowControl/>
                    <w:spacing w:line="320" w:lineRule="exact"/>
                    <w:jc w:val="center"/>
                    <w:rPr>
                      <w:rFonts w:hint="default" w:ascii="Times New Roman" w:hAnsi="Times New Roman" w:cs="Times New Roman"/>
                      <w:szCs w:val="21"/>
                    </w:rPr>
                  </w:pPr>
                </w:p>
              </w:tc>
              <w:tc>
                <w:tcPr>
                  <w:tcW w:w="1101" w:type="dxa"/>
                  <w:vAlign w:val="center"/>
                </w:tcPr>
                <w:p>
                  <w:pPr>
                    <w:widowControl/>
                    <w:spacing w:line="320" w:lineRule="exact"/>
                    <w:jc w:val="center"/>
                    <w:rPr>
                      <w:rFonts w:hint="default" w:ascii="Times New Roman" w:hAnsi="Times New Roman" w:cs="Times New Roman"/>
                      <w:szCs w:val="21"/>
                    </w:rPr>
                  </w:pPr>
                  <w:r>
                    <w:rPr>
                      <w:rFonts w:hint="default" w:ascii="Times New Roman" w:hAnsi="Times New Roman" w:cs="Times New Roman"/>
                      <w:szCs w:val="21"/>
                    </w:rPr>
                    <w:t>G5</w:t>
                  </w:r>
                </w:p>
              </w:tc>
              <w:tc>
                <w:tcPr>
                  <w:tcW w:w="1794" w:type="dxa"/>
                  <w:vMerge w:val="continue"/>
                  <w:vAlign w:val="center"/>
                </w:tcPr>
                <w:p>
                  <w:pPr>
                    <w:widowControl/>
                    <w:spacing w:line="320" w:lineRule="exact"/>
                    <w:jc w:val="center"/>
                    <w:rPr>
                      <w:rFonts w:hint="default" w:ascii="Times New Roman" w:hAnsi="Times New Roman" w:cs="Times New Roman"/>
                      <w:szCs w:val="21"/>
                    </w:rPr>
                  </w:pPr>
                </w:p>
              </w:tc>
              <w:tc>
                <w:tcPr>
                  <w:tcW w:w="1916" w:type="dxa"/>
                  <w:vAlign w:val="center"/>
                </w:tcPr>
                <w:p>
                  <w:pPr>
                    <w:widowControl/>
                    <w:spacing w:line="320" w:lineRule="exact"/>
                    <w:jc w:val="center"/>
                    <w:rPr>
                      <w:rFonts w:hint="default" w:ascii="Times New Roman" w:hAnsi="Times New Roman" w:cs="Times New Roman"/>
                      <w:szCs w:val="21"/>
                    </w:rPr>
                  </w:pPr>
                  <w:r>
                    <w:rPr>
                      <w:rFonts w:hint="default" w:ascii="Times New Roman" w:hAnsi="Times New Roman" w:cs="Times New Roman"/>
                      <w:szCs w:val="21"/>
                    </w:rPr>
                    <w:t>破碎机（二破）</w:t>
                  </w:r>
                </w:p>
              </w:tc>
              <w:tc>
                <w:tcPr>
                  <w:tcW w:w="1298" w:type="dxa"/>
                  <w:vMerge w:val="continue"/>
                  <w:vAlign w:val="center"/>
                </w:tcPr>
                <w:p>
                  <w:pPr>
                    <w:widowControl/>
                    <w:spacing w:line="320" w:lineRule="exact"/>
                    <w:jc w:val="center"/>
                    <w:rPr>
                      <w:rFonts w:hint="default" w:ascii="Times New Roman" w:hAnsi="Times New Roman" w:cs="Times New Roman"/>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442" w:type="dxa"/>
                  <w:vMerge w:val="continue"/>
                  <w:vAlign w:val="center"/>
                </w:tcPr>
                <w:p>
                  <w:pPr>
                    <w:widowControl/>
                    <w:spacing w:line="320" w:lineRule="exact"/>
                    <w:jc w:val="center"/>
                    <w:rPr>
                      <w:rFonts w:hint="default" w:ascii="Times New Roman" w:hAnsi="Times New Roman" w:cs="Times New Roman"/>
                      <w:szCs w:val="21"/>
                    </w:rPr>
                  </w:pPr>
                </w:p>
              </w:tc>
              <w:tc>
                <w:tcPr>
                  <w:tcW w:w="1448" w:type="dxa"/>
                  <w:vAlign w:val="center"/>
                </w:tcPr>
                <w:p>
                  <w:pPr>
                    <w:widowControl/>
                    <w:spacing w:line="320" w:lineRule="exact"/>
                    <w:jc w:val="center"/>
                    <w:rPr>
                      <w:rFonts w:hint="default" w:ascii="Times New Roman" w:hAnsi="Times New Roman" w:cs="Times New Roman"/>
                      <w:szCs w:val="21"/>
                    </w:rPr>
                  </w:pPr>
                  <w:r>
                    <w:rPr>
                      <w:rFonts w:hint="default" w:ascii="Times New Roman" w:hAnsi="Times New Roman" w:cs="Times New Roman"/>
                      <w:szCs w:val="21"/>
                    </w:rPr>
                    <w:t>筛分粉尘</w:t>
                  </w:r>
                </w:p>
              </w:tc>
              <w:tc>
                <w:tcPr>
                  <w:tcW w:w="1101" w:type="dxa"/>
                  <w:vAlign w:val="center"/>
                </w:tcPr>
                <w:p>
                  <w:pPr>
                    <w:widowControl/>
                    <w:spacing w:line="320" w:lineRule="exact"/>
                    <w:jc w:val="center"/>
                    <w:rPr>
                      <w:rFonts w:hint="default" w:ascii="Times New Roman" w:hAnsi="Times New Roman" w:cs="Times New Roman"/>
                      <w:szCs w:val="21"/>
                    </w:rPr>
                  </w:pPr>
                  <w:r>
                    <w:rPr>
                      <w:rFonts w:hint="default" w:ascii="Times New Roman" w:hAnsi="Times New Roman" w:cs="Times New Roman"/>
                      <w:szCs w:val="21"/>
                    </w:rPr>
                    <w:t>G4</w:t>
                  </w:r>
                </w:p>
              </w:tc>
              <w:tc>
                <w:tcPr>
                  <w:tcW w:w="1794" w:type="dxa"/>
                  <w:vAlign w:val="center"/>
                </w:tcPr>
                <w:p>
                  <w:pPr>
                    <w:widowControl/>
                    <w:spacing w:line="320" w:lineRule="exact"/>
                    <w:jc w:val="center"/>
                    <w:rPr>
                      <w:rFonts w:hint="default" w:ascii="Times New Roman" w:hAnsi="Times New Roman" w:cs="Times New Roman"/>
                      <w:szCs w:val="21"/>
                    </w:rPr>
                  </w:pPr>
                  <w:r>
                    <w:rPr>
                      <w:rFonts w:hint="default" w:ascii="Times New Roman" w:hAnsi="Times New Roman" w:cs="Times New Roman"/>
                      <w:szCs w:val="21"/>
                    </w:rPr>
                    <w:t>筛分</w:t>
                  </w:r>
                </w:p>
              </w:tc>
              <w:tc>
                <w:tcPr>
                  <w:tcW w:w="1916" w:type="dxa"/>
                  <w:vAlign w:val="center"/>
                </w:tcPr>
                <w:p>
                  <w:pPr>
                    <w:widowControl/>
                    <w:spacing w:line="320" w:lineRule="exact"/>
                    <w:jc w:val="center"/>
                    <w:rPr>
                      <w:rFonts w:hint="default" w:ascii="Times New Roman" w:hAnsi="Times New Roman" w:cs="Times New Roman"/>
                      <w:szCs w:val="21"/>
                    </w:rPr>
                  </w:pPr>
                  <w:r>
                    <w:rPr>
                      <w:rFonts w:hint="default" w:ascii="Times New Roman" w:hAnsi="Times New Roman" w:cs="Times New Roman"/>
                      <w:szCs w:val="21"/>
                    </w:rPr>
                    <w:t>振动筛（一筛）</w:t>
                  </w:r>
                </w:p>
              </w:tc>
              <w:tc>
                <w:tcPr>
                  <w:tcW w:w="1298" w:type="dxa"/>
                  <w:vMerge w:val="continue"/>
                  <w:vAlign w:val="center"/>
                </w:tcPr>
                <w:p>
                  <w:pPr>
                    <w:widowControl/>
                    <w:spacing w:line="320" w:lineRule="exact"/>
                    <w:jc w:val="center"/>
                    <w:rPr>
                      <w:rFonts w:hint="default" w:ascii="Times New Roman" w:hAnsi="Times New Roman" w:cs="Times New Roman"/>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442" w:type="dxa"/>
                  <w:vMerge w:val="continue"/>
                  <w:vAlign w:val="center"/>
                </w:tcPr>
                <w:p>
                  <w:pPr>
                    <w:widowControl/>
                    <w:spacing w:line="320" w:lineRule="exact"/>
                    <w:jc w:val="center"/>
                    <w:rPr>
                      <w:rFonts w:hint="default" w:ascii="Times New Roman" w:hAnsi="Times New Roman" w:cs="Times New Roman"/>
                      <w:szCs w:val="21"/>
                    </w:rPr>
                  </w:pPr>
                </w:p>
              </w:tc>
              <w:tc>
                <w:tcPr>
                  <w:tcW w:w="1448" w:type="dxa"/>
                  <w:vAlign w:val="center"/>
                </w:tcPr>
                <w:p>
                  <w:pPr>
                    <w:widowControl/>
                    <w:spacing w:line="320" w:lineRule="exact"/>
                    <w:jc w:val="center"/>
                    <w:rPr>
                      <w:rFonts w:hint="default" w:ascii="Times New Roman" w:hAnsi="Times New Roman" w:cs="Times New Roman"/>
                      <w:szCs w:val="21"/>
                    </w:rPr>
                  </w:pPr>
                  <w:r>
                    <w:rPr>
                      <w:rFonts w:hint="default" w:ascii="Times New Roman" w:hAnsi="Times New Roman" w:cs="Times New Roman"/>
                      <w:szCs w:val="21"/>
                    </w:rPr>
                    <w:t>装卸扬尘</w:t>
                  </w:r>
                </w:p>
              </w:tc>
              <w:tc>
                <w:tcPr>
                  <w:tcW w:w="1101" w:type="dxa"/>
                  <w:vAlign w:val="center"/>
                </w:tcPr>
                <w:p>
                  <w:pPr>
                    <w:widowControl/>
                    <w:spacing w:line="320" w:lineRule="exact"/>
                    <w:jc w:val="center"/>
                    <w:rPr>
                      <w:rFonts w:hint="default" w:ascii="Times New Roman" w:hAnsi="Times New Roman" w:cs="Times New Roman"/>
                      <w:szCs w:val="21"/>
                    </w:rPr>
                  </w:pPr>
                  <w:r>
                    <w:rPr>
                      <w:rFonts w:hint="default" w:ascii="Times New Roman" w:hAnsi="Times New Roman" w:cs="Times New Roman"/>
                      <w:szCs w:val="21"/>
                    </w:rPr>
                    <w:t>G6</w:t>
                  </w:r>
                </w:p>
              </w:tc>
              <w:tc>
                <w:tcPr>
                  <w:tcW w:w="1794" w:type="dxa"/>
                  <w:vAlign w:val="center"/>
                </w:tcPr>
                <w:p>
                  <w:pPr>
                    <w:widowControl/>
                    <w:spacing w:line="320" w:lineRule="exact"/>
                    <w:jc w:val="center"/>
                    <w:rPr>
                      <w:rFonts w:hint="default" w:ascii="Times New Roman" w:hAnsi="Times New Roman" w:cs="Times New Roman"/>
                      <w:szCs w:val="21"/>
                    </w:rPr>
                  </w:pPr>
                  <w:r>
                    <w:rPr>
                      <w:rFonts w:hint="default" w:ascii="Times New Roman" w:hAnsi="Times New Roman" w:cs="Times New Roman"/>
                      <w:szCs w:val="21"/>
                    </w:rPr>
                    <w:t>装卸</w:t>
                  </w:r>
                </w:p>
              </w:tc>
              <w:tc>
                <w:tcPr>
                  <w:tcW w:w="1916" w:type="dxa"/>
                  <w:vAlign w:val="center"/>
                </w:tcPr>
                <w:p>
                  <w:pPr>
                    <w:widowControl/>
                    <w:spacing w:line="320" w:lineRule="exact"/>
                    <w:jc w:val="center"/>
                    <w:rPr>
                      <w:rFonts w:hint="default" w:ascii="Times New Roman" w:hAnsi="Times New Roman" w:cs="Times New Roman"/>
                      <w:szCs w:val="21"/>
                    </w:rPr>
                  </w:pPr>
                  <w:r>
                    <w:rPr>
                      <w:rFonts w:hint="default" w:ascii="Times New Roman" w:hAnsi="Times New Roman" w:cs="Times New Roman"/>
                      <w:szCs w:val="21"/>
                    </w:rPr>
                    <w:t>尾渣堆场、铁粉仓</w:t>
                  </w:r>
                </w:p>
              </w:tc>
              <w:tc>
                <w:tcPr>
                  <w:tcW w:w="1298" w:type="dxa"/>
                  <w:vMerge w:val="continue"/>
                  <w:vAlign w:val="center"/>
                </w:tcPr>
                <w:p>
                  <w:pPr>
                    <w:widowControl/>
                    <w:spacing w:line="320" w:lineRule="exact"/>
                    <w:jc w:val="center"/>
                    <w:rPr>
                      <w:rFonts w:hint="default" w:ascii="Times New Roman" w:hAnsi="Times New Roman" w:cs="Times New Roman"/>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442" w:type="dxa"/>
                  <w:vMerge w:val="restart"/>
                  <w:vAlign w:val="center"/>
                </w:tcPr>
                <w:p>
                  <w:pPr>
                    <w:widowControl/>
                    <w:spacing w:line="320" w:lineRule="exact"/>
                    <w:jc w:val="center"/>
                    <w:rPr>
                      <w:rFonts w:hint="default" w:ascii="Times New Roman" w:hAnsi="Times New Roman" w:cs="Times New Roman"/>
                    </w:rPr>
                  </w:pPr>
                  <w:r>
                    <w:rPr>
                      <w:rFonts w:hint="default" w:ascii="Times New Roman" w:hAnsi="Times New Roman" w:cs="Times New Roman"/>
                    </w:rPr>
                    <w:t>废水</w:t>
                  </w:r>
                </w:p>
              </w:tc>
              <w:tc>
                <w:tcPr>
                  <w:tcW w:w="1448" w:type="dxa"/>
                  <w:vAlign w:val="center"/>
                </w:tcPr>
                <w:p>
                  <w:pPr>
                    <w:widowControl/>
                    <w:spacing w:line="320" w:lineRule="exact"/>
                    <w:jc w:val="center"/>
                    <w:rPr>
                      <w:rFonts w:hint="default" w:ascii="Times New Roman" w:hAnsi="Times New Roman" w:cs="Times New Roman"/>
                      <w:szCs w:val="21"/>
                    </w:rPr>
                  </w:pPr>
                  <w:r>
                    <w:rPr>
                      <w:rFonts w:hint="default" w:ascii="Times New Roman" w:hAnsi="Times New Roman" w:cs="Times New Roman"/>
                      <w:szCs w:val="21"/>
                    </w:rPr>
                    <w:t>铁粉堆干废水</w:t>
                  </w:r>
                </w:p>
              </w:tc>
              <w:tc>
                <w:tcPr>
                  <w:tcW w:w="1101" w:type="dxa"/>
                  <w:vAlign w:val="center"/>
                </w:tcPr>
                <w:p>
                  <w:pPr>
                    <w:widowControl/>
                    <w:spacing w:line="320" w:lineRule="exact"/>
                    <w:jc w:val="center"/>
                    <w:rPr>
                      <w:rFonts w:hint="default" w:ascii="Times New Roman" w:hAnsi="Times New Roman" w:cs="Times New Roman"/>
                      <w:szCs w:val="21"/>
                    </w:rPr>
                  </w:pPr>
                  <w:r>
                    <w:rPr>
                      <w:rFonts w:hint="default" w:ascii="Times New Roman" w:hAnsi="Times New Roman" w:cs="Times New Roman"/>
                      <w:szCs w:val="21"/>
                    </w:rPr>
                    <w:t>W1</w:t>
                  </w:r>
                </w:p>
              </w:tc>
              <w:tc>
                <w:tcPr>
                  <w:tcW w:w="1794" w:type="dxa"/>
                  <w:vAlign w:val="center"/>
                </w:tcPr>
                <w:p>
                  <w:pPr>
                    <w:widowControl/>
                    <w:spacing w:line="320" w:lineRule="exact"/>
                    <w:jc w:val="center"/>
                    <w:rPr>
                      <w:rFonts w:hint="default" w:ascii="Times New Roman" w:hAnsi="Times New Roman" w:cs="Times New Roman"/>
                      <w:szCs w:val="21"/>
                    </w:rPr>
                  </w:pPr>
                  <w:r>
                    <w:rPr>
                      <w:rFonts w:hint="default" w:ascii="Times New Roman" w:hAnsi="Times New Roman" w:cs="Times New Roman"/>
                      <w:szCs w:val="21"/>
                    </w:rPr>
                    <w:t>堆干</w:t>
                  </w:r>
                </w:p>
              </w:tc>
              <w:tc>
                <w:tcPr>
                  <w:tcW w:w="1916" w:type="dxa"/>
                  <w:vAlign w:val="center"/>
                </w:tcPr>
                <w:p>
                  <w:pPr>
                    <w:widowControl/>
                    <w:spacing w:line="320" w:lineRule="exact"/>
                    <w:jc w:val="center"/>
                    <w:rPr>
                      <w:rFonts w:hint="default" w:ascii="Times New Roman" w:hAnsi="Times New Roman" w:cs="Times New Roman"/>
                      <w:szCs w:val="21"/>
                    </w:rPr>
                  </w:pPr>
                  <w:r>
                    <w:rPr>
                      <w:rFonts w:hint="default" w:ascii="Times New Roman" w:hAnsi="Times New Roman" w:cs="Times New Roman"/>
                      <w:szCs w:val="21"/>
                    </w:rPr>
                    <w:t>铁粉仓</w:t>
                  </w:r>
                </w:p>
              </w:tc>
              <w:tc>
                <w:tcPr>
                  <w:tcW w:w="1298" w:type="dxa"/>
                  <w:vMerge w:val="restart"/>
                  <w:vAlign w:val="center"/>
                </w:tcPr>
                <w:p>
                  <w:pPr>
                    <w:widowControl/>
                    <w:spacing w:line="320" w:lineRule="exact"/>
                    <w:jc w:val="center"/>
                    <w:rPr>
                      <w:rFonts w:hint="default" w:ascii="Times New Roman" w:hAnsi="Times New Roman" w:cs="Times New Roman"/>
                      <w:szCs w:val="21"/>
                    </w:rPr>
                  </w:pPr>
                  <w:r>
                    <w:rPr>
                      <w:rFonts w:hint="default" w:ascii="Times New Roman" w:hAnsi="Times New Roman" w:cs="Times New Roman"/>
                      <w:szCs w:val="21"/>
                    </w:rPr>
                    <w:t>COD、悬浮物、石油类</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442" w:type="dxa"/>
                  <w:vMerge w:val="continue"/>
                  <w:vAlign w:val="center"/>
                </w:tcPr>
                <w:p>
                  <w:pPr>
                    <w:widowControl/>
                    <w:spacing w:line="320" w:lineRule="exact"/>
                    <w:jc w:val="center"/>
                    <w:rPr>
                      <w:rFonts w:hint="default" w:ascii="Times New Roman" w:hAnsi="Times New Roman" w:cs="Times New Roman"/>
                    </w:rPr>
                  </w:pPr>
                </w:p>
              </w:tc>
              <w:tc>
                <w:tcPr>
                  <w:tcW w:w="1448" w:type="dxa"/>
                  <w:vAlign w:val="center"/>
                </w:tcPr>
                <w:p>
                  <w:pPr>
                    <w:widowControl/>
                    <w:spacing w:line="320" w:lineRule="exact"/>
                    <w:jc w:val="center"/>
                    <w:rPr>
                      <w:rFonts w:hint="default" w:ascii="Times New Roman" w:hAnsi="Times New Roman" w:cs="Times New Roman"/>
                      <w:szCs w:val="21"/>
                    </w:rPr>
                  </w:pPr>
                  <w:r>
                    <w:rPr>
                      <w:rFonts w:hint="default" w:ascii="Times New Roman" w:hAnsi="Times New Roman" w:cs="Times New Roman"/>
                      <w:szCs w:val="21"/>
                    </w:rPr>
                    <w:t>浓缩罐废水</w:t>
                  </w:r>
                </w:p>
              </w:tc>
              <w:tc>
                <w:tcPr>
                  <w:tcW w:w="1101" w:type="dxa"/>
                  <w:vAlign w:val="center"/>
                </w:tcPr>
                <w:p>
                  <w:pPr>
                    <w:widowControl/>
                    <w:spacing w:line="320" w:lineRule="exact"/>
                    <w:jc w:val="center"/>
                    <w:rPr>
                      <w:rFonts w:hint="default" w:ascii="Times New Roman" w:hAnsi="Times New Roman" w:cs="Times New Roman"/>
                      <w:szCs w:val="21"/>
                    </w:rPr>
                  </w:pPr>
                  <w:r>
                    <w:rPr>
                      <w:rFonts w:hint="default" w:ascii="Times New Roman" w:hAnsi="Times New Roman" w:cs="Times New Roman"/>
                      <w:szCs w:val="21"/>
                    </w:rPr>
                    <w:t xml:space="preserve">W2 </w:t>
                  </w:r>
                </w:p>
              </w:tc>
              <w:tc>
                <w:tcPr>
                  <w:tcW w:w="1794" w:type="dxa"/>
                  <w:vAlign w:val="center"/>
                </w:tcPr>
                <w:p>
                  <w:pPr>
                    <w:widowControl/>
                    <w:spacing w:line="320" w:lineRule="exact"/>
                    <w:jc w:val="center"/>
                    <w:rPr>
                      <w:rFonts w:hint="default" w:ascii="Times New Roman" w:hAnsi="Times New Roman" w:cs="Times New Roman"/>
                      <w:szCs w:val="21"/>
                    </w:rPr>
                  </w:pPr>
                  <w:r>
                    <w:rPr>
                      <w:rFonts w:hint="default" w:ascii="Times New Roman" w:hAnsi="Times New Roman" w:cs="Times New Roman"/>
                      <w:szCs w:val="21"/>
                    </w:rPr>
                    <w:t>浓缩</w:t>
                  </w:r>
                </w:p>
              </w:tc>
              <w:tc>
                <w:tcPr>
                  <w:tcW w:w="1916" w:type="dxa"/>
                  <w:vAlign w:val="center"/>
                </w:tcPr>
                <w:p>
                  <w:pPr>
                    <w:widowControl/>
                    <w:spacing w:line="320" w:lineRule="exact"/>
                    <w:jc w:val="center"/>
                    <w:rPr>
                      <w:rFonts w:hint="default" w:ascii="Times New Roman" w:hAnsi="Times New Roman" w:cs="Times New Roman"/>
                      <w:szCs w:val="21"/>
                    </w:rPr>
                  </w:pPr>
                  <w:r>
                    <w:rPr>
                      <w:rFonts w:hint="default" w:ascii="Times New Roman" w:hAnsi="Times New Roman" w:cs="Times New Roman"/>
                      <w:szCs w:val="21"/>
                    </w:rPr>
                    <w:t>浓缩罐</w:t>
                  </w:r>
                </w:p>
              </w:tc>
              <w:tc>
                <w:tcPr>
                  <w:tcW w:w="1298" w:type="dxa"/>
                  <w:vMerge w:val="continue"/>
                  <w:vAlign w:val="center"/>
                </w:tcPr>
                <w:p>
                  <w:pPr>
                    <w:widowControl/>
                    <w:spacing w:line="320" w:lineRule="exact"/>
                    <w:jc w:val="center"/>
                    <w:rPr>
                      <w:rFonts w:hint="default" w:ascii="Times New Roman" w:hAnsi="Times New Roman" w:cs="Times New Roman"/>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442" w:type="dxa"/>
                  <w:vMerge w:val="continue"/>
                  <w:vAlign w:val="center"/>
                </w:tcPr>
                <w:p>
                  <w:pPr>
                    <w:widowControl/>
                    <w:spacing w:line="320" w:lineRule="exact"/>
                    <w:jc w:val="center"/>
                    <w:rPr>
                      <w:rFonts w:hint="default" w:ascii="Times New Roman" w:hAnsi="Times New Roman" w:cs="Times New Roman"/>
                    </w:rPr>
                  </w:pPr>
                </w:p>
              </w:tc>
              <w:tc>
                <w:tcPr>
                  <w:tcW w:w="1448" w:type="dxa"/>
                  <w:vAlign w:val="center"/>
                </w:tcPr>
                <w:p>
                  <w:pPr>
                    <w:widowControl/>
                    <w:spacing w:line="320" w:lineRule="exact"/>
                    <w:jc w:val="center"/>
                    <w:rPr>
                      <w:rFonts w:hint="default" w:ascii="Times New Roman" w:hAnsi="Times New Roman" w:cs="Times New Roman"/>
                      <w:szCs w:val="21"/>
                    </w:rPr>
                  </w:pPr>
                  <w:r>
                    <w:rPr>
                      <w:rFonts w:hint="default" w:ascii="Times New Roman" w:hAnsi="Times New Roman" w:cs="Times New Roman"/>
                      <w:szCs w:val="21"/>
                    </w:rPr>
                    <w:t>压滤废水</w:t>
                  </w:r>
                </w:p>
              </w:tc>
              <w:tc>
                <w:tcPr>
                  <w:tcW w:w="1101" w:type="dxa"/>
                  <w:vAlign w:val="center"/>
                </w:tcPr>
                <w:p>
                  <w:pPr>
                    <w:widowControl/>
                    <w:spacing w:line="320" w:lineRule="exact"/>
                    <w:jc w:val="center"/>
                    <w:rPr>
                      <w:rFonts w:hint="default" w:ascii="Times New Roman" w:hAnsi="Times New Roman" w:cs="Times New Roman"/>
                      <w:szCs w:val="21"/>
                    </w:rPr>
                  </w:pPr>
                  <w:r>
                    <w:rPr>
                      <w:rFonts w:hint="default" w:ascii="Times New Roman" w:hAnsi="Times New Roman" w:cs="Times New Roman"/>
                      <w:szCs w:val="21"/>
                    </w:rPr>
                    <w:t>W3</w:t>
                  </w:r>
                </w:p>
              </w:tc>
              <w:tc>
                <w:tcPr>
                  <w:tcW w:w="1794" w:type="dxa"/>
                  <w:vAlign w:val="center"/>
                </w:tcPr>
                <w:p>
                  <w:pPr>
                    <w:widowControl/>
                    <w:spacing w:line="320" w:lineRule="exact"/>
                    <w:jc w:val="center"/>
                    <w:rPr>
                      <w:rFonts w:hint="default" w:ascii="Times New Roman" w:hAnsi="Times New Roman" w:cs="Times New Roman"/>
                      <w:szCs w:val="21"/>
                    </w:rPr>
                  </w:pPr>
                  <w:r>
                    <w:rPr>
                      <w:rFonts w:hint="default" w:ascii="Times New Roman" w:hAnsi="Times New Roman" w:cs="Times New Roman"/>
                      <w:szCs w:val="21"/>
                    </w:rPr>
                    <w:t>压滤</w:t>
                  </w:r>
                </w:p>
              </w:tc>
              <w:tc>
                <w:tcPr>
                  <w:tcW w:w="1916" w:type="dxa"/>
                  <w:vAlign w:val="center"/>
                </w:tcPr>
                <w:p>
                  <w:pPr>
                    <w:widowControl/>
                    <w:spacing w:line="320" w:lineRule="exact"/>
                    <w:jc w:val="center"/>
                    <w:rPr>
                      <w:rFonts w:hint="default" w:ascii="Times New Roman" w:hAnsi="Times New Roman" w:cs="Times New Roman"/>
                      <w:szCs w:val="21"/>
                    </w:rPr>
                  </w:pPr>
                  <w:r>
                    <w:rPr>
                      <w:rFonts w:hint="default" w:ascii="Times New Roman" w:hAnsi="Times New Roman" w:cs="Times New Roman"/>
                      <w:szCs w:val="21"/>
                    </w:rPr>
                    <w:t>板框压滤机</w:t>
                  </w:r>
                </w:p>
              </w:tc>
              <w:tc>
                <w:tcPr>
                  <w:tcW w:w="1298" w:type="dxa"/>
                  <w:vMerge w:val="continue"/>
                  <w:vAlign w:val="center"/>
                </w:tcPr>
                <w:p>
                  <w:pPr>
                    <w:widowControl/>
                    <w:spacing w:line="320" w:lineRule="exact"/>
                    <w:jc w:val="center"/>
                    <w:rPr>
                      <w:rFonts w:hint="default" w:ascii="Times New Roman" w:hAnsi="Times New Roman" w:cs="Times New Roman"/>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442" w:type="dxa"/>
                  <w:vMerge w:val="continue"/>
                  <w:vAlign w:val="center"/>
                </w:tcPr>
                <w:p>
                  <w:pPr>
                    <w:widowControl/>
                    <w:spacing w:line="320" w:lineRule="exact"/>
                    <w:jc w:val="center"/>
                    <w:rPr>
                      <w:rFonts w:hint="default" w:ascii="Times New Roman" w:hAnsi="Times New Roman" w:cs="Times New Roman"/>
                    </w:rPr>
                  </w:pPr>
                </w:p>
              </w:tc>
              <w:tc>
                <w:tcPr>
                  <w:tcW w:w="1448" w:type="dxa"/>
                  <w:vAlign w:val="center"/>
                </w:tcPr>
                <w:p>
                  <w:pPr>
                    <w:widowControl/>
                    <w:spacing w:line="320" w:lineRule="exact"/>
                    <w:jc w:val="center"/>
                    <w:rPr>
                      <w:rFonts w:hint="default" w:ascii="Times New Roman" w:hAnsi="Times New Roman" w:cs="Times New Roman"/>
                      <w:szCs w:val="21"/>
                    </w:rPr>
                  </w:pPr>
                  <w:r>
                    <w:rPr>
                      <w:rFonts w:hint="default" w:ascii="Times New Roman" w:hAnsi="Times New Roman" w:cs="Times New Roman"/>
                      <w:szCs w:val="21"/>
                    </w:rPr>
                    <w:t>生活污水</w:t>
                  </w:r>
                </w:p>
              </w:tc>
              <w:tc>
                <w:tcPr>
                  <w:tcW w:w="1101" w:type="dxa"/>
                  <w:vAlign w:val="center"/>
                </w:tcPr>
                <w:p>
                  <w:pPr>
                    <w:widowControl/>
                    <w:spacing w:line="320" w:lineRule="exact"/>
                    <w:jc w:val="center"/>
                    <w:rPr>
                      <w:rFonts w:hint="default" w:ascii="Times New Roman" w:hAnsi="Times New Roman" w:cs="Times New Roman"/>
                      <w:szCs w:val="21"/>
                    </w:rPr>
                  </w:pPr>
                  <w:r>
                    <w:rPr>
                      <w:rFonts w:hint="default" w:ascii="Times New Roman" w:hAnsi="Times New Roman" w:cs="Times New Roman"/>
                      <w:szCs w:val="21"/>
                    </w:rPr>
                    <w:t>/</w:t>
                  </w:r>
                </w:p>
              </w:tc>
              <w:tc>
                <w:tcPr>
                  <w:tcW w:w="1794" w:type="dxa"/>
                  <w:vAlign w:val="center"/>
                </w:tcPr>
                <w:p>
                  <w:pPr>
                    <w:widowControl/>
                    <w:spacing w:line="320" w:lineRule="exact"/>
                    <w:jc w:val="center"/>
                    <w:rPr>
                      <w:rFonts w:hint="default" w:ascii="Times New Roman" w:hAnsi="Times New Roman" w:cs="Times New Roman"/>
                      <w:szCs w:val="21"/>
                    </w:rPr>
                  </w:pPr>
                  <w:r>
                    <w:rPr>
                      <w:rFonts w:hint="default" w:ascii="Times New Roman" w:hAnsi="Times New Roman" w:cs="Times New Roman"/>
                      <w:szCs w:val="21"/>
                    </w:rPr>
                    <w:t>员工生活</w:t>
                  </w:r>
                </w:p>
              </w:tc>
              <w:tc>
                <w:tcPr>
                  <w:tcW w:w="1916" w:type="dxa"/>
                  <w:vAlign w:val="center"/>
                </w:tcPr>
                <w:p>
                  <w:pPr>
                    <w:widowControl/>
                    <w:spacing w:line="320" w:lineRule="exact"/>
                    <w:jc w:val="center"/>
                    <w:rPr>
                      <w:rFonts w:hint="default" w:ascii="Times New Roman" w:hAnsi="Times New Roman" w:cs="Times New Roman"/>
                      <w:szCs w:val="21"/>
                    </w:rPr>
                  </w:pPr>
                  <w:r>
                    <w:rPr>
                      <w:rFonts w:hint="default" w:ascii="Times New Roman" w:hAnsi="Times New Roman" w:cs="Times New Roman"/>
                      <w:szCs w:val="21"/>
                    </w:rPr>
                    <w:t>/</w:t>
                  </w:r>
                </w:p>
              </w:tc>
              <w:tc>
                <w:tcPr>
                  <w:tcW w:w="1298" w:type="dxa"/>
                  <w:vAlign w:val="center"/>
                </w:tcPr>
                <w:p>
                  <w:pPr>
                    <w:widowControl/>
                    <w:spacing w:line="320" w:lineRule="exact"/>
                    <w:jc w:val="center"/>
                    <w:rPr>
                      <w:rFonts w:hint="default" w:ascii="Times New Roman" w:hAnsi="Times New Roman" w:cs="Times New Roman"/>
                      <w:szCs w:val="21"/>
                    </w:rPr>
                  </w:pPr>
                  <w:r>
                    <w:rPr>
                      <w:rFonts w:hint="default" w:ascii="Times New Roman" w:hAnsi="Times New Roman" w:cs="Times New Roman"/>
                      <w:szCs w:val="21"/>
                    </w:rPr>
                    <w:t>COD、氨氮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442" w:type="dxa"/>
                  <w:vMerge w:val="restart"/>
                  <w:vAlign w:val="center"/>
                </w:tcPr>
                <w:p>
                  <w:pPr>
                    <w:widowControl/>
                    <w:spacing w:line="320" w:lineRule="exact"/>
                    <w:jc w:val="center"/>
                    <w:rPr>
                      <w:rFonts w:hint="default" w:ascii="Times New Roman" w:hAnsi="Times New Roman" w:cs="Times New Roman"/>
                      <w:szCs w:val="21"/>
                    </w:rPr>
                  </w:pPr>
                  <w:r>
                    <w:rPr>
                      <w:rFonts w:hint="default" w:ascii="Times New Roman" w:hAnsi="Times New Roman" w:cs="Times New Roman"/>
                      <w:szCs w:val="21"/>
                    </w:rPr>
                    <w:t>固废</w:t>
                  </w:r>
                </w:p>
              </w:tc>
              <w:tc>
                <w:tcPr>
                  <w:tcW w:w="1448" w:type="dxa"/>
                  <w:vAlign w:val="center"/>
                </w:tcPr>
                <w:p>
                  <w:pPr>
                    <w:widowControl/>
                    <w:spacing w:line="320" w:lineRule="exact"/>
                    <w:jc w:val="center"/>
                    <w:rPr>
                      <w:rFonts w:hint="default" w:ascii="Times New Roman" w:hAnsi="Times New Roman" w:cs="Times New Roman"/>
                      <w:szCs w:val="21"/>
                    </w:rPr>
                  </w:pPr>
                  <w:r>
                    <w:rPr>
                      <w:rFonts w:hint="default" w:ascii="Times New Roman" w:hAnsi="Times New Roman" w:cs="Times New Roman"/>
                      <w:szCs w:val="21"/>
                    </w:rPr>
                    <w:t>废机油</w:t>
                  </w:r>
                </w:p>
              </w:tc>
              <w:tc>
                <w:tcPr>
                  <w:tcW w:w="1101" w:type="dxa"/>
                  <w:vAlign w:val="center"/>
                </w:tcPr>
                <w:p>
                  <w:pPr>
                    <w:widowControl/>
                    <w:spacing w:line="320" w:lineRule="exact"/>
                    <w:jc w:val="center"/>
                    <w:rPr>
                      <w:rFonts w:hint="default" w:ascii="Times New Roman" w:hAnsi="Times New Roman" w:cs="Times New Roman"/>
                      <w:szCs w:val="21"/>
                    </w:rPr>
                  </w:pPr>
                  <w:r>
                    <w:rPr>
                      <w:rFonts w:hint="default" w:ascii="Times New Roman" w:hAnsi="Times New Roman" w:cs="Times New Roman"/>
                      <w:szCs w:val="21"/>
                    </w:rPr>
                    <w:t>/</w:t>
                  </w:r>
                </w:p>
              </w:tc>
              <w:tc>
                <w:tcPr>
                  <w:tcW w:w="1794" w:type="dxa"/>
                  <w:vAlign w:val="center"/>
                </w:tcPr>
                <w:p>
                  <w:pPr>
                    <w:widowControl/>
                    <w:spacing w:line="320" w:lineRule="exact"/>
                    <w:jc w:val="center"/>
                    <w:rPr>
                      <w:rFonts w:hint="default" w:ascii="Times New Roman" w:hAnsi="Times New Roman" w:cs="Times New Roman"/>
                      <w:szCs w:val="21"/>
                    </w:rPr>
                  </w:pPr>
                  <w:r>
                    <w:rPr>
                      <w:rFonts w:hint="default" w:ascii="Times New Roman" w:hAnsi="Times New Roman" w:cs="Times New Roman"/>
                      <w:szCs w:val="21"/>
                    </w:rPr>
                    <w:t>设备运行</w:t>
                  </w:r>
                </w:p>
              </w:tc>
              <w:tc>
                <w:tcPr>
                  <w:tcW w:w="1916" w:type="dxa"/>
                  <w:vAlign w:val="center"/>
                </w:tcPr>
                <w:p>
                  <w:pPr>
                    <w:widowControl/>
                    <w:spacing w:line="320" w:lineRule="exact"/>
                    <w:jc w:val="center"/>
                    <w:rPr>
                      <w:rFonts w:hint="default" w:ascii="Times New Roman" w:hAnsi="Times New Roman" w:cs="Times New Roman"/>
                      <w:szCs w:val="21"/>
                    </w:rPr>
                  </w:pPr>
                  <w:r>
                    <w:rPr>
                      <w:rFonts w:hint="default" w:ascii="Times New Roman" w:hAnsi="Times New Roman" w:cs="Times New Roman"/>
                      <w:szCs w:val="21"/>
                    </w:rPr>
                    <w:t>破碎机、分级机、磁选机等</w:t>
                  </w:r>
                </w:p>
              </w:tc>
              <w:tc>
                <w:tcPr>
                  <w:tcW w:w="1298" w:type="dxa"/>
                  <w:vAlign w:val="center"/>
                </w:tcPr>
                <w:p>
                  <w:pPr>
                    <w:widowControl/>
                    <w:spacing w:line="320" w:lineRule="exact"/>
                    <w:jc w:val="center"/>
                    <w:rPr>
                      <w:rFonts w:hint="default" w:ascii="Times New Roman" w:hAnsi="Times New Roman" w:cs="Times New Roman"/>
                      <w:szCs w:val="21"/>
                    </w:rPr>
                  </w:pPr>
                  <w:r>
                    <w:rPr>
                      <w:rFonts w:hint="default" w:ascii="Times New Roman" w:hAnsi="Times New Roman" w:cs="Times New Roman"/>
                      <w:szCs w:val="21"/>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442" w:type="dxa"/>
                  <w:vMerge w:val="continue"/>
                  <w:vAlign w:val="center"/>
                </w:tcPr>
                <w:p>
                  <w:pPr>
                    <w:widowControl/>
                    <w:spacing w:line="320" w:lineRule="exact"/>
                    <w:jc w:val="center"/>
                    <w:rPr>
                      <w:rFonts w:hint="default" w:ascii="Times New Roman" w:hAnsi="Times New Roman" w:cs="Times New Roman"/>
                      <w:szCs w:val="21"/>
                    </w:rPr>
                  </w:pPr>
                </w:p>
              </w:tc>
              <w:tc>
                <w:tcPr>
                  <w:tcW w:w="1448" w:type="dxa"/>
                  <w:vAlign w:val="center"/>
                </w:tcPr>
                <w:p>
                  <w:pPr>
                    <w:widowControl/>
                    <w:spacing w:line="320" w:lineRule="exact"/>
                    <w:jc w:val="center"/>
                    <w:rPr>
                      <w:rFonts w:hint="default" w:ascii="Times New Roman" w:hAnsi="Times New Roman" w:cs="Times New Roman"/>
                      <w:szCs w:val="21"/>
                    </w:rPr>
                  </w:pPr>
                  <w:r>
                    <w:rPr>
                      <w:rFonts w:hint="default" w:ascii="Times New Roman" w:hAnsi="Times New Roman" w:cs="Times New Roman"/>
                      <w:szCs w:val="21"/>
                    </w:rPr>
                    <w:t>浮油</w:t>
                  </w:r>
                </w:p>
              </w:tc>
              <w:tc>
                <w:tcPr>
                  <w:tcW w:w="1101" w:type="dxa"/>
                  <w:vAlign w:val="center"/>
                </w:tcPr>
                <w:p>
                  <w:pPr>
                    <w:widowControl/>
                    <w:spacing w:line="320" w:lineRule="exact"/>
                    <w:jc w:val="center"/>
                    <w:rPr>
                      <w:rFonts w:hint="default" w:ascii="Times New Roman" w:hAnsi="Times New Roman" w:cs="Times New Roman"/>
                      <w:szCs w:val="21"/>
                    </w:rPr>
                  </w:pPr>
                  <w:r>
                    <w:rPr>
                      <w:rFonts w:hint="default" w:ascii="Times New Roman" w:hAnsi="Times New Roman" w:cs="Times New Roman"/>
                      <w:szCs w:val="21"/>
                    </w:rPr>
                    <w:t>/</w:t>
                  </w:r>
                </w:p>
              </w:tc>
              <w:tc>
                <w:tcPr>
                  <w:tcW w:w="1794" w:type="dxa"/>
                  <w:vAlign w:val="center"/>
                </w:tcPr>
                <w:p>
                  <w:pPr>
                    <w:widowControl/>
                    <w:spacing w:line="320" w:lineRule="exact"/>
                    <w:jc w:val="center"/>
                    <w:rPr>
                      <w:rFonts w:hint="default" w:ascii="Times New Roman" w:hAnsi="Times New Roman" w:cs="Times New Roman"/>
                      <w:szCs w:val="21"/>
                    </w:rPr>
                  </w:pPr>
                  <w:r>
                    <w:rPr>
                      <w:rFonts w:hint="default" w:ascii="Times New Roman" w:hAnsi="Times New Roman" w:cs="Times New Roman"/>
                      <w:szCs w:val="21"/>
                    </w:rPr>
                    <w:t>隔油</w:t>
                  </w:r>
                </w:p>
              </w:tc>
              <w:tc>
                <w:tcPr>
                  <w:tcW w:w="1916" w:type="dxa"/>
                  <w:vAlign w:val="center"/>
                </w:tcPr>
                <w:p>
                  <w:pPr>
                    <w:widowControl/>
                    <w:spacing w:line="320" w:lineRule="exact"/>
                    <w:jc w:val="center"/>
                    <w:rPr>
                      <w:rFonts w:hint="default" w:ascii="Times New Roman" w:hAnsi="Times New Roman" w:cs="Times New Roman"/>
                      <w:szCs w:val="21"/>
                    </w:rPr>
                  </w:pPr>
                  <w:r>
                    <w:rPr>
                      <w:rFonts w:hint="default" w:ascii="Times New Roman" w:hAnsi="Times New Roman" w:cs="Times New Roman"/>
                      <w:szCs w:val="21"/>
                    </w:rPr>
                    <w:t>废水处理设施</w:t>
                  </w:r>
                </w:p>
              </w:tc>
              <w:tc>
                <w:tcPr>
                  <w:tcW w:w="1298" w:type="dxa"/>
                  <w:vAlign w:val="center"/>
                </w:tcPr>
                <w:p>
                  <w:pPr>
                    <w:widowControl/>
                    <w:spacing w:line="320" w:lineRule="exact"/>
                    <w:jc w:val="center"/>
                    <w:rPr>
                      <w:rFonts w:hint="default" w:ascii="Times New Roman" w:hAnsi="Times New Roman" w:cs="Times New Roman"/>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442" w:type="dxa"/>
                  <w:vMerge w:val="continue"/>
                  <w:vAlign w:val="center"/>
                </w:tcPr>
                <w:p>
                  <w:pPr>
                    <w:widowControl/>
                    <w:spacing w:line="320" w:lineRule="exact"/>
                    <w:jc w:val="center"/>
                    <w:rPr>
                      <w:rFonts w:hint="default" w:ascii="Times New Roman" w:hAnsi="Times New Roman" w:cs="Times New Roman"/>
                      <w:szCs w:val="21"/>
                    </w:rPr>
                  </w:pPr>
                </w:p>
              </w:tc>
              <w:tc>
                <w:tcPr>
                  <w:tcW w:w="1448" w:type="dxa"/>
                  <w:vAlign w:val="center"/>
                </w:tcPr>
                <w:p>
                  <w:pPr>
                    <w:widowControl/>
                    <w:spacing w:line="320" w:lineRule="exact"/>
                    <w:jc w:val="center"/>
                    <w:rPr>
                      <w:rFonts w:hint="default" w:ascii="Times New Roman" w:hAnsi="Times New Roman" w:cs="Times New Roman"/>
                      <w:szCs w:val="21"/>
                    </w:rPr>
                  </w:pPr>
                  <w:r>
                    <w:rPr>
                      <w:rFonts w:hint="default" w:ascii="Times New Roman" w:hAnsi="Times New Roman" w:cs="Times New Roman"/>
                      <w:szCs w:val="21"/>
                    </w:rPr>
                    <w:t>废滤布</w:t>
                  </w:r>
                </w:p>
              </w:tc>
              <w:tc>
                <w:tcPr>
                  <w:tcW w:w="1101" w:type="dxa"/>
                  <w:vAlign w:val="center"/>
                </w:tcPr>
                <w:p>
                  <w:pPr>
                    <w:widowControl/>
                    <w:spacing w:line="320" w:lineRule="exact"/>
                    <w:jc w:val="center"/>
                    <w:rPr>
                      <w:rFonts w:hint="default" w:ascii="Times New Roman" w:hAnsi="Times New Roman" w:cs="Times New Roman"/>
                      <w:szCs w:val="21"/>
                    </w:rPr>
                  </w:pPr>
                  <w:r>
                    <w:rPr>
                      <w:rFonts w:hint="default" w:ascii="Times New Roman" w:hAnsi="Times New Roman" w:cs="Times New Roman"/>
                      <w:szCs w:val="21"/>
                    </w:rPr>
                    <w:t>/</w:t>
                  </w:r>
                </w:p>
              </w:tc>
              <w:tc>
                <w:tcPr>
                  <w:tcW w:w="1794" w:type="dxa"/>
                  <w:vAlign w:val="center"/>
                </w:tcPr>
                <w:p>
                  <w:pPr>
                    <w:widowControl/>
                    <w:spacing w:line="320" w:lineRule="exact"/>
                    <w:jc w:val="center"/>
                    <w:rPr>
                      <w:rFonts w:hint="default" w:ascii="Times New Roman" w:hAnsi="Times New Roman" w:cs="Times New Roman"/>
                      <w:szCs w:val="21"/>
                    </w:rPr>
                  </w:pPr>
                  <w:r>
                    <w:rPr>
                      <w:rFonts w:hint="default" w:ascii="Times New Roman" w:hAnsi="Times New Roman" w:cs="Times New Roman"/>
                      <w:szCs w:val="21"/>
                    </w:rPr>
                    <w:t>压滤</w:t>
                  </w:r>
                </w:p>
              </w:tc>
              <w:tc>
                <w:tcPr>
                  <w:tcW w:w="1916" w:type="dxa"/>
                  <w:vAlign w:val="center"/>
                </w:tcPr>
                <w:p>
                  <w:pPr>
                    <w:widowControl/>
                    <w:spacing w:line="320" w:lineRule="exact"/>
                    <w:jc w:val="center"/>
                    <w:rPr>
                      <w:rFonts w:hint="default" w:ascii="Times New Roman" w:hAnsi="Times New Roman" w:cs="Times New Roman"/>
                      <w:szCs w:val="21"/>
                    </w:rPr>
                  </w:pPr>
                  <w:r>
                    <w:rPr>
                      <w:rFonts w:hint="default" w:ascii="Times New Roman" w:hAnsi="Times New Roman" w:cs="Times New Roman"/>
                      <w:szCs w:val="21"/>
                    </w:rPr>
                    <w:t>板框压滤机</w:t>
                  </w:r>
                </w:p>
              </w:tc>
              <w:tc>
                <w:tcPr>
                  <w:tcW w:w="1298" w:type="dxa"/>
                  <w:vAlign w:val="center"/>
                </w:tcPr>
                <w:p>
                  <w:pPr>
                    <w:widowControl/>
                    <w:spacing w:line="320" w:lineRule="exact"/>
                    <w:jc w:val="center"/>
                    <w:rPr>
                      <w:rFonts w:hint="default" w:ascii="Times New Roman" w:hAnsi="Times New Roman" w:cs="Times New Roman"/>
                      <w:szCs w:val="21"/>
                    </w:rPr>
                  </w:pPr>
                  <w:r>
                    <w:rPr>
                      <w:rFonts w:hint="default" w:ascii="Times New Roman" w:hAnsi="Times New Roman" w:cs="Times New Roman"/>
                      <w:szCs w:val="21"/>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442" w:type="dxa"/>
                  <w:vMerge w:val="continue"/>
                  <w:vAlign w:val="center"/>
                </w:tcPr>
                <w:p>
                  <w:pPr>
                    <w:widowControl/>
                    <w:spacing w:line="320" w:lineRule="exact"/>
                    <w:jc w:val="center"/>
                    <w:rPr>
                      <w:rFonts w:hint="default" w:ascii="Times New Roman" w:hAnsi="Times New Roman" w:cs="Times New Roman"/>
                      <w:szCs w:val="21"/>
                    </w:rPr>
                  </w:pPr>
                </w:p>
              </w:tc>
              <w:tc>
                <w:tcPr>
                  <w:tcW w:w="1448" w:type="dxa"/>
                  <w:vAlign w:val="center"/>
                </w:tcPr>
                <w:p>
                  <w:pPr>
                    <w:widowControl/>
                    <w:spacing w:line="320" w:lineRule="exact"/>
                    <w:jc w:val="center"/>
                    <w:rPr>
                      <w:rFonts w:hint="default" w:ascii="Times New Roman" w:hAnsi="Times New Roman" w:cs="Times New Roman"/>
                      <w:szCs w:val="21"/>
                    </w:rPr>
                  </w:pPr>
                  <w:r>
                    <w:rPr>
                      <w:rFonts w:hint="default" w:ascii="Times New Roman" w:hAnsi="Times New Roman" w:cs="Times New Roman"/>
                      <w:szCs w:val="21"/>
                    </w:rPr>
                    <w:t>污泥</w:t>
                  </w:r>
                </w:p>
              </w:tc>
              <w:tc>
                <w:tcPr>
                  <w:tcW w:w="1101" w:type="dxa"/>
                  <w:vAlign w:val="center"/>
                </w:tcPr>
                <w:p>
                  <w:pPr>
                    <w:widowControl/>
                    <w:spacing w:line="320" w:lineRule="exact"/>
                    <w:jc w:val="center"/>
                    <w:rPr>
                      <w:rFonts w:hint="default" w:ascii="Times New Roman" w:hAnsi="Times New Roman" w:cs="Times New Roman"/>
                      <w:szCs w:val="21"/>
                    </w:rPr>
                  </w:pPr>
                  <w:r>
                    <w:rPr>
                      <w:rFonts w:hint="default" w:ascii="Times New Roman" w:hAnsi="Times New Roman" w:cs="Times New Roman"/>
                      <w:szCs w:val="21"/>
                    </w:rPr>
                    <w:t>/</w:t>
                  </w:r>
                </w:p>
              </w:tc>
              <w:tc>
                <w:tcPr>
                  <w:tcW w:w="1794" w:type="dxa"/>
                  <w:vAlign w:val="center"/>
                </w:tcPr>
                <w:p>
                  <w:pPr>
                    <w:widowControl/>
                    <w:spacing w:line="320" w:lineRule="exact"/>
                    <w:jc w:val="center"/>
                    <w:rPr>
                      <w:rFonts w:hint="default" w:ascii="Times New Roman" w:hAnsi="Times New Roman" w:cs="Times New Roman"/>
                      <w:szCs w:val="21"/>
                    </w:rPr>
                  </w:pPr>
                  <w:r>
                    <w:rPr>
                      <w:rFonts w:hint="default" w:ascii="Times New Roman" w:hAnsi="Times New Roman" w:cs="Times New Roman"/>
                      <w:szCs w:val="21"/>
                    </w:rPr>
                    <w:t>污水处理</w:t>
                  </w:r>
                </w:p>
              </w:tc>
              <w:tc>
                <w:tcPr>
                  <w:tcW w:w="1916" w:type="dxa"/>
                  <w:vAlign w:val="center"/>
                </w:tcPr>
                <w:p>
                  <w:pPr>
                    <w:widowControl/>
                    <w:spacing w:line="320" w:lineRule="exact"/>
                    <w:jc w:val="center"/>
                    <w:rPr>
                      <w:rFonts w:hint="default" w:ascii="Times New Roman" w:hAnsi="Times New Roman" w:cs="Times New Roman"/>
                      <w:szCs w:val="21"/>
                    </w:rPr>
                  </w:pPr>
                  <w:r>
                    <w:rPr>
                      <w:rFonts w:hint="default" w:ascii="Times New Roman" w:hAnsi="Times New Roman" w:cs="Times New Roman"/>
                      <w:szCs w:val="21"/>
                    </w:rPr>
                    <w:t>废水处理设施</w:t>
                  </w:r>
                </w:p>
              </w:tc>
              <w:tc>
                <w:tcPr>
                  <w:tcW w:w="1298" w:type="dxa"/>
                  <w:vAlign w:val="center"/>
                </w:tcPr>
                <w:p>
                  <w:pPr>
                    <w:widowControl/>
                    <w:spacing w:line="320" w:lineRule="exact"/>
                    <w:jc w:val="center"/>
                    <w:rPr>
                      <w:rFonts w:hint="default" w:ascii="Times New Roman" w:hAnsi="Times New Roman" w:cs="Times New Roman"/>
                      <w:szCs w:val="21"/>
                    </w:rPr>
                  </w:pPr>
                  <w:r>
                    <w:rPr>
                      <w:rFonts w:hint="default" w:ascii="Times New Roman" w:hAnsi="Times New Roman" w:cs="Times New Roman"/>
                      <w:szCs w:val="21"/>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442" w:type="dxa"/>
                  <w:vMerge w:val="continue"/>
                  <w:vAlign w:val="center"/>
                </w:tcPr>
                <w:p>
                  <w:pPr>
                    <w:widowControl/>
                    <w:spacing w:line="320" w:lineRule="exact"/>
                    <w:jc w:val="center"/>
                    <w:rPr>
                      <w:rFonts w:hint="default" w:ascii="Times New Roman" w:hAnsi="Times New Roman" w:cs="Times New Roman"/>
                      <w:szCs w:val="21"/>
                    </w:rPr>
                  </w:pPr>
                </w:p>
              </w:tc>
              <w:tc>
                <w:tcPr>
                  <w:tcW w:w="1448" w:type="dxa"/>
                  <w:vAlign w:val="center"/>
                </w:tcPr>
                <w:p>
                  <w:pPr>
                    <w:widowControl/>
                    <w:spacing w:line="320" w:lineRule="exact"/>
                    <w:jc w:val="center"/>
                    <w:rPr>
                      <w:rFonts w:hint="default" w:ascii="Times New Roman" w:hAnsi="Times New Roman" w:cs="Times New Roman"/>
                      <w:szCs w:val="21"/>
                    </w:rPr>
                  </w:pPr>
                  <w:r>
                    <w:rPr>
                      <w:rFonts w:hint="default" w:ascii="Times New Roman" w:hAnsi="Times New Roman" w:cs="Times New Roman"/>
                      <w:szCs w:val="21"/>
                    </w:rPr>
                    <w:t>尾渣</w:t>
                  </w:r>
                </w:p>
              </w:tc>
              <w:tc>
                <w:tcPr>
                  <w:tcW w:w="1101" w:type="dxa"/>
                  <w:vAlign w:val="center"/>
                </w:tcPr>
                <w:p>
                  <w:pPr>
                    <w:widowControl/>
                    <w:spacing w:line="320" w:lineRule="exact"/>
                    <w:jc w:val="center"/>
                    <w:rPr>
                      <w:rFonts w:hint="default" w:ascii="Times New Roman" w:hAnsi="Times New Roman" w:cs="Times New Roman"/>
                      <w:szCs w:val="21"/>
                    </w:rPr>
                  </w:pPr>
                  <w:r>
                    <w:rPr>
                      <w:rFonts w:hint="default" w:ascii="Times New Roman" w:hAnsi="Times New Roman" w:cs="Times New Roman"/>
                      <w:szCs w:val="21"/>
                    </w:rPr>
                    <w:t>/</w:t>
                  </w:r>
                </w:p>
              </w:tc>
              <w:tc>
                <w:tcPr>
                  <w:tcW w:w="1794" w:type="dxa"/>
                  <w:vAlign w:val="center"/>
                </w:tcPr>
                <w:p>
                  <w:pPr>
                    <w:widowControl/>
                    <w:spacing w:line="320" w:lineRule="exact"/>
                    <w:jc w:val="center"/>
                    <w:rPr>
                      <w:rFonts w:hint="default" w:ascii="Times New Roman" w:hAnsi="Times New Roman" w:cs="Times New Roman"/>
                      <w:szCs w:val="21"/>
                    </w:rPr>
                  </w:pPr>
                  <w:r>
                    <w:rPr>
                      <w:rFonts w:hint="default" w:ascii="Times New Roman" w:hAnsi="Times New Roman" w:cs="Times New Roman"/>
                      <w:szCs w:val="21"/>
                    </w:rPr>
                    <w:t>干选、磁选</w:t>
                  </w:r>
                </w:p>
              </w:tc>
              <w:tc>
                <w:tcPr>
                  <w:tcW w:w="1916" w:type="dxa"/>
                  <w:vAlign w:val="center"/>
                </w:tcPr>
                <w:p>
                  <w:pPr>
                    <w:widowControl/>
                    <w:spacing w:line="320" w:lineRule="exact"/>
                    <w:jc w:val="center"/>
                    <w:rPr>
                      <w:rFonts w:hint="default" w:ascii="Times New Roman" w:hAnsi="Times New Roman" w:cs="Times New Roman"/>
                      <w:szCs w:val="21"/>
                    </w:rPr>
                  </w:pPr>
                  <w:r>
                    <w:rPr>
                      <w:rFonts w:hint="default" w:ascii="Times New Roman" w:hAnsi="Times New Roman" w:cs="Times New Roman"/>
                      <w:szCs w:val="21"/>
                    </w:rPr>
                    <w:t>干式磁选机、湿式磁选机</w:t>
                  </w:r>
                </w:p>
              </w:tc>
              <w:tc>
                <w:tcPr>
                  <w:tcW w:w="1298" w:type="dxa"/>
                  <w:vAlign w:val="center"/>
                </w:tcPr>
                <w:p>
                  <w:pPr>
                    <w:widowControl/>
                    <w:spacing w:line="320" w:lineRule="exact"/>
                    <w:jc w:val="center"/>
                    <w:rPr>
                      <w:rFonts w:hint="default" w:ascii="Times New Roman" w:hAnsi="Times New Roman" w:cs="Times New Roman"/>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442" w:type="dxa"/>
                  <w:vMerge w:val="continue"/>
                  <w:vAlign w:val="center"/>
                </w:tcPr>
                <w:p>
                  <w:pPr>
                    <w:widowControl/>
                    <w:spacing w:line="320" w:lineRule="exact"/>
                    <w:jc w:val="center"/>
                    <w:rPr>
                      <w:rFonts w:hint="default" w:ascii="Times New Roman" w:hAnsi="Times New Roman" w:cs="Times New Roman"/>
                      <w:szCs w:val="21"/>
                    </w:rPr>
                  </w:pPr>
                </w:p>
              </w:tc>
              <w:tc>
                <w:tcPr>
                  <w:tcW w:w="1448" w:type="dxa"/>
                  <w:vAlign w:val="center"/>
                </w:tcPr>
                <w:p>
                  <w:pPr>
                    <w:widowControl/>
                    <w:spacing w:line="320" w:lineRule="exact"/>
                    <w:jc w:val="center"/>
                    <w:rPr>
                      <w:rFonts w:hint="default" w:ascii="Times New Roman" w:hAnsi="Times New Roman" w:cs="Times New Roman"/>
                      <w:szCs w:val="21"/>
                    </w:rPr>
                  </w:pPr>
                  <w:r>
                    <w:rPr>
                      <w:rFonts w:hint="default" w:ascii="Times New Roman" w:hAnsi="Times New Roman" w:cs="Times New Roman"/>
                      <w:szCs w:val="21"/>
                    </w:rPr>
                    <w:t>生活垃圾</w:t>
                  </w:r>
                </w:p>
              </w:tc>
              <w:tc>
                <w:tcPr>
                  <w:tcW w:w="1101" w:type="dxa"/>
                  <w:vAlign w:val="center"/>
                </w:tcPr>
                <w:p>
                  <w:pPr>
                    <w:widowControl/>
                    <w:spacing w:line="320" w:lineRule="exact"/>
                    <w:jc w:val="center"/>
                    <w:rPr>
                      <w:rFonts w:hint="default" w:ascii="Times New Roman" w:hAnsi="Times New Roman" w:cs="Times New Roman"/>
                      <w:szCs w:val="21"/>
                    </w:rPr>
                  </w:pPr>
                  <w:r>
                    <w:rPr>
                      <w:rFonts w:hint="default" w:ascii="Times New Roman" w:hAnsi="Times New Roman" w:cs="Times New Roman"/>
                      <w:szCs w:val="21"/>
                    </w:rPr>
                    <w:t>/</w:t>
                  </w:r>
                </w:p>
              </w:tc>
              <w:tc>
                <w:tcPr>
                  <w:tcW w:w="1794" w:type="dxa"/>
                  <w:vAlign w:val="center"/>
                </w:tcPr>
                <w:p>
                  <w:pPr>
                    <w:widowControl/>
                    <w:spacing w:line="320" w:lineRule="exact"/>
                    <w:jc w:val="center"/>
                    <w:rPr>
                      <w:rFonts w:hint="default" w:ascii="Times New Roman" w:hAnsi="Times New Roman" w:cs="Times New Roman"/>
                      <w:szCs w:val="21"/>
                    </w:rPr>
                  </w:pPr>
                  <w:r>
                    <w:rPr>
                      <w:rFonts w:hint="default" w:ascii="Times New Roman" w:hAnsi="Times New Roman" w:cs="Times New Roman"/>
                      <w:szCs w:val="21"/>
                    </w:rPr>
                    <w:t>职工生活</w:t>
                  </w:r>
                </w:p>
              </w:tc>
              <w:tc>
                <w:tcPr>
                  <w:tcW w:w="1916" w:type="dxa"/>
                  <w:vAlign w:val="center"/>
                </w:tcPr>
                <w:p>
                  <w:pPr>
                    <w:widowControl/>
                    <w:spacing w:line="320" w:lineRule="exact"/>
                    <w:jc w:val="center"/>
                    <w:rPr>
                      <w:rFonts w:hint="default" w:ascii="Times New Roman" w:hAnsi="Times New Roman" w:cs="Times New Roman"/>
                      <w:szCs w:val="21"/>
                    </w:rPr>
                  </w:pPr>
                  <w:r>
                    <w:rPr>
                      <w:rFonts w:hint="default" w:ascii="Times New Roman" w:hAnsi="Times New Roman" w:cs="Times New Roman"/>
                      <w:szCs w:val="21"/>
                    </w:rPr>
                    <w:t>/</w:t>
                  </w:r>
                </w:p>
              </w:tc>
              <w:tc>
                <w:tcPr>
                  <w:tcW w:w="1298" w:type="dxa"/>
                  <w:vAlign w:val="center"/>
                </w:tcPr>
                <w:p>
                  <w:pPr>
                    <w:widowControl/>
                    <w:spacing w:line="320" w:lineRule="exact"/>
                    <w:jc w:val="center"/>
                    <w:rPr>
                      <w:rFonts w:hint="default" w:ascii="Times New Roman" w:hAnsi="Times New Roman" w:cs="Times New Roman"/>
                      <w:szCs w:val="21"/>
                    </w:rPr>
                  </w:pPr>
                  <w:r>
                    <w:rPr>
                      <w:rFonts w:hint="default" w:ascii="Times New Roman" w:hAnsi="Times New Roman" w:cs="Times New Roman"/>
                      <w:szCs w:val="21"/>
                    </w:rPr>
                    <w:t>生活垃圾</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890" w:type="dxa"/>
                  <w:gridSpan w:val="2"/>
                  <w:vAlign w:val="center"/>
                </w:tcPr>
                <w:p>
                  <w:pPr>
                    <w:widowControl/>
                    <w:spacing w:line="320" w:lineRule="exact"/>
                    <w:jc w:val="center"/>
                    <w:rPr>
                      <w:rFonts w:hint="default" w:ascii="Times New Roman" w:hAnsi="Times New Roman" w:cs="Times New Roman"/>
                      <w:szCs w:val="21"/>
                    </w:rPr>
                  </w:pPr>
                  <w:r>
                    <w:rPr>
                      <w:rFonts w:hint="default" w:ascii="Times New Roman" w:hAnsi="Times New Roman" w:cs="Times New Roman"/>
                      <w:szCs w:val="21"/>
                    </w:rPr>
                    <w:t>噪声</w:t>
                  </w:r>
                </w:p>
              </w:tc>
              <w:tc>
                <w:tcPr>
                  <w:tcW w:w="1101" w:type="dxa"/>
                  <w:vAlign w:val="center"/>
                </w:tcPr>
                <w:p>
                  <w:pPr>
                    <w:widowControl/>
                    <w:spacing w:line="320" w:lineRule="exact"/>
                    <w:jc w:val="center"/>
                    <w:rPr>
                      <w:rFonts w:hint="default" w:ascii="Times New Roman" w:hAnsi="Times New Roman" w:cs="Times New Roman"/>
                      <w:szCs w:val="21"/>
                    </w:rPr>
                  </w:pPr>
                  <w:r>
                    <w:rPr>
                      <w:rFonts w:hint="default" w:ascii="Times New Roman" w:hAnsi="Times New Roman" w:cs="Times New Roman"/>
                      <w:szCs w:val="21"/>
                    </w:rPr>
                    <w:t>/</w:t>
                  </w:r>
                </w:p>
              </w:tc>
              <w:tc>
                <w:tcPr>
                  <w:tcW w:w="1794" w:type="dxa"/>
                  <w:vAlign w:val="center"/>
                </w:tcPr>
                <w:p>
                  <w:pPr>
                    <w:widowControl/>
                    <w:spacing w:line="320" w:lineRule="exact"/>
                    <w:jc w:val="center"/>
                    <w:rPr>
                      <w:rFonts w:hint="default" w:ascii="Times New Roman" w:hAnsi="Times New Roman" w:cs="Times New Roman"/>
                      <w:szCs w:val="21"/>
                    </w:rPr>
                  </w:pPr>
                  <w:r>
                    <w:rPr>
                      <w:rFonts w:hint="default" w:ascii="Times New Roman" w:hAnsi="Times New Roman" w:cs="Times New Roman"/>
                      <w:szCs w:val="21"/>
                    </w:rPr>
                    <w:t>生产设备</w:t>
                  </w:r>
                </w:p>
              </w:tc>
              <w:tc>
                <w:tcPr>
                  <w:tcW w:w="1916" w:type="dxa"/>
                  <w:vAlign w:val="center"/>
                </w:tcPr>
                <w:p>
                  <w:pPr>
                    <w:widowControl/>
                    <w:spacing w:line="320" w:lineRule="exact"/>
                    <w:jc w:val="center"/>
                    <w:rPr>
                      <w:rFonts w:hint="default" w:ascii="Times New Roman" w:hAnsi="Times New Roman" w:cs="Times New Roman"/>
                      <w:szCs w:val="21"/>
                    </w:rPr>
                  </w:pPr>
                  <w:r>
                    <w:rPr>
                      <w:rFonts w:hint="default" w:ascii="Times New Roman" w:hAnsi="Times New Roman" w:cs="Times New Roman"/>
                      <w:szCs w:val="21"/>
                    </w:rPr>
                    <w:t>破碎机、分级机、磁选机等</w:t>
                  </w:r>
                </w:p>
              </w:tc>
              <w:tc>
                <w:tcPr>
                  <w:tcW w:w="1298" w:type="dxa"/>
                  <w:vAlign w:val="center"/>
                </w:tcPr>
                <w:p>
                  <w:pPr>
                    <w:widowControl/>
                    <w:spacing w:line="320" w:lineRule="exact"/>
                    <w:jc w:val="center"/>
                    <w:rPr>
                      <w:rFonts w:hint="default" w:ascii="Times New Roman" w:hAnsi="Times New Roman" w:cs="Times New Roman"/>
                      <w:szCs w:val="21"/>
                    </w:rPr>
                  </w:pPr>
                  <w:r>
                    <w:rPr>
                      <w:rFonts w:hint="default" w:ascii="Times New Roman" w:hAnsi="Times New Roman" w:cs="Times New Roman"/>
                      <w:szCs w:val="21"/>
                    </w:rPr>
                    <w:t>等效噪声级</w:t>
                  </w:r>
                </w:p>
              </w:tc>
            </w:tr>
          </w:tbl>
          <w:p>
            <w:pPr>
              <w:pStyle w:val="3"/>
              <w:ind w:right="-120" w:firstLine="0" w:firstLineChars="0"/>
              <w:rPr>
                <w:rFonts w:hint="default" w:ascii="Times New Roman" w:hAnsi="Times New Roman" w:cs="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280" w:hRule="atLeast"/>
          <w:jc w:val="center"/>
        </w:trPr>
        <w:tc>
          <w:tcPr>
            <w:tcW w:w="462" w:type="pct"/>
            <w:tcBorders>
              <w:top w:val="single" w:color="auto" w:sz="8" w:space="0"/>
            </w:tcBorders>
            <w:vAlign w:val="center"/>
          </w:tcPr>
          <w:p>
            <w:pPr>
              <w:pStyle w:val="23"/>
              <w:adjustRightInd w:val="0"/>
              <w:snapToGrid w:val="0"/>
              <w:spacing w:before="0" w:beforeAutospacing="0" w:after="0" w:afterAutospacing="0"/>
              <w:ind w:firstLine="420"/>
              <w:jc w:val="center"/>
              <w:rPr>
                <w:rFonts w:hint="default" w:ascii="Times New Roman" w:hAnsi="Times New Roman" w:cs="Times New Roman"/>
                <w:sz w:val="21"/>
                <w:szCs w:val="21"/>
              </w:rPr>
            </w:pPr>
          </w:p>
        </w:tc>
        <w:tc>
          <w:tcPr>
            <w:tcW w:w="4537" w:type="pct"/>
            <w:vMerge w:val="continue"/>
          </w:tcPr>
          <w:p>
            <w:pPr>
              <w:pStyle w:val="2"/>
              <w:rPr>
                <w:rFonts w:hint="default" w:ascii="Times New Roman" w:hAnsi="Times New Roman" w:cs="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775" w:hRule="atLeast"/>
          <w:jc w:val="center"/>
        </w:trPr>
        <w:tc>
          <w:tcPr>
            <w:tcW w:w="462" w:type="pct"/>
            <w:vAlign w:val="center"/>
          </w:tcPr>
          <w:p>
            <w:pPr>
              <w:pStyle w:val="23"/>
              <w:adjustRightInd w:val="0"/>
              <w:snapToGrid w:val="0"/>
              <w:spacing w:before="0" w:beforeAutospacing="0" w:after="0" w:afterAutospacing="0"/>
              <w:jc w:val="both"/>
              <w:rPr>
                <w:rFonts w:hint="default" w:ascii="Times New Roman" w:hAnsi="Times New Roman" w:cs="Times New Roman"/>
                <w:sz w:val="21"/>
                <w:szCs w:val="21"/>
              </w:rPr>
            </w:pPr>
            <w:r>
              <w:rPr>
                <w:rFonts w:hint="default" w:ascii="Times New Roman" w:hAnsi="Times New Roman" w:cs="Times New Roman"/>
                <w:bCs/>
                <w:kern w:val="2"/>
                <w:sz w:val="21"/>
                <w:szCs w:val="21"/>
              </w:rPr>
              <w:t>与项目有关的原有环境污染问题</w:t>
            </w:r>
          </w:p>
        </w:tc>
        <w:tc>
          <w:tcPr>
            <w:tcW w:w="4537" w:type="pct"/>
          </w:tcPr>
          <w:p>
            <w:pPr>
              <w:pStyle w:val="6"/>
              <w:ind w:left="311"/>
              <w:rPr>
                <w:rFonts w:hint="default" w:ascii="Times New Roman" w:hAnsi="Times New Roman" w:cs="Times New Roman"/>
                <w:color w:val="auto"/>
              </w:rPr>
            </w:pPr>
            <w:bookmarkStart w:id="6" w:name="_Toc66950656"/>
            <w:r>
              <w:rPr>
                <w:rFonts w:hint="default" w:ascii="Times New Roman" w:hAnsi="Times New Roman" w:cs="Times New Roman"/>
                <w:color w:val="auto"/>
              </w:rPr>
              <w:t>2.4与项目有关的原有环境污染问题</w:t>
            </w:r>
            <w:bookmarkEnd w:id="6"/>
          </w:p>
          <w:p>
            <w:pPr>
              <w:spacing w:line="440" w:lineRule="exact"/>
              <w:ind w:firstLine="480" w:firstLineChars="200"/>
              <w:rPr>
                <w:rFonts w:hint="default" w:ascii="Times New Roman" w:hAnsi="Times New Roman" w:cs="Times New Roman"/>
              </w:rPr>
            </w:pPr>
            <w:r>
              <w:rPr>
                <w:rFonts w:hint="default" w:ascii="Times New Roman" w:hAnsi="Times New Roman" w:cs="Times New Roman"/>
              </w:rPr>
              <w:t>本项目租用用地为岩盛公司原低品位矿烧结炉配套的原料堆场、破碎车间，租用车间为钢结构厂房，设置了顶棚，地面采取了硬化处理。租用的原料堆场、破碎车间涉及的物料为低品位铁矿，租用车间内物料已清运处置，地面无污水、固废等残留，没有发现场地污染的迹象，无与项目有关的原有污染问题。</w:t>
            </w:r>
          </w:p>
          <w:p>
            <w:pPr>
              <w:spacing w:line="440" w:lineRule="exact"/>
              <w:ind w:firstLine="480" w:firstLineChars="200"/>
              <w:rPr>
                <w:rFonts w:hint="default" w:ascii="Times New Roman" w:hAnsi="Times New Roman" w:cs="Times New Roman"/>
              </w:rPr>
            </w:pPr>
          </w:p>
          <w:p>
            <w:pPr>
              <w:pStyle w:val="39"/>
              <w:ind w:left="480" w:leftChars="200"/>
              <w:rPr>
                <w:rFonts w:hint="default" w:ascii="Times New Roman" w:hAnsi="Times New Roman" w:cs="Times New Roman"/>
                <w:color w:val="auto"/>
              </w:rPr>
            </w:pPr>
          </w:p>
        </w:tc>
      </w:tr>
    </w:tbl>
    <w:p>
      <w:pPr>
        <w:pStyle w:val="23"/>
        <w:ind w:firstLine="720"/>
        <w:jc w:val="center"/>
        <w:rPr>
          <w:rFonts w:ascii="Times New Roman" w:hAnsi="Times New Roman" w:eastAsia="黑体"/>
          <w:snapToGrid w:val="0"/>
          <w:sz w:val="36"/>
          <w:szCs w:val="36"/>
        </w:rPr>
        <w:sectPr>
          <w:pgSz w:w="11906" w:h="16838"/>
          <w:pgMar w:top="1701" w:right="1531" w:bottom="1701" w:left="1531" w:header="851" w:footer="851" w:gutter="0"/>
          <w:cols w:space="720" w:num="1"/>
          <w:docGrid w:linePitch="312" w:charSpace="0"/>
        </w:sectPr>
      </w:pPr>
    </w:p>
    <w:p>
      <w:pPr>
        <w:pStyle w:val="23"/>
        <w:adjustRightInd w:val="0"/>
        <w:snapToGrid w:val="0"/>
        <w:spacing w:before="0" w:beforeAutospacing="0" w:after="0" w:afterAutospacing="0" w:line="14" w:lineRule="auto"/>
        <w:ind w:firstLine="600"/>
        <w:jc w:val="center"/>
        <w:rPr>
          <w:rFonts w:ascii="Times New Roman" w:hAnsi="Times New Roman" w:eastAsia="黑体"/>
          <w:snapToGrid w:val="0"/>
          <w:sz w:val="30"/>
          <w:szCs w:val="30"/>
        </w:rPr>
      </w:pPr>
    </w:p>
    <w:p>
      <w:pPr>
        <w:pStyle w:val="23"/>
        <w:ind w:firstLine="600"/>
        <w:jc w:val="center"/>
        <w:outlineLvl w:val="0"/>
        <w:rPr>
          <w:rFonts w:ascii="Times New Roman" w:hAnsi="Times New Roman" w:eastAsia="黑体"/>
          <w:snapToGrid w:val="0"/>
          <w:sz w:val="30"/>
          <w:szCs w:val="30"/>
        </w:rPr>
      </w:pPr>
      <w:r>
        <w:rPr>
          <w:rFonts w:ascii="Times New Roman" w:hAnsi="Times New Roman" w:eastAsia="黑体"/>
          <w:snapToGrid w:val="0"/>
          <w:sz w:val="30"/>
          <w:szCs w:val="30"/>
        </w:rPr>
        <w:t>三、区域环境质量现状、环境保护目标及评价标准</w:t>
      </w:r>
    </w:p>
    <w:tbl>
      <w:tblPr>
        <w:tblStyle w:val="25"/>
        <w:tblW w:w="899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642"/>
        <w:gridCol w:w="834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343" w:hRule="atLeast"/>
          <w:jc w:val="center"/>
        </w:trPr>
        <w:tc>
          <w:tcPr>
            <w:tcW w:w="642" w:type="dxa"/>
            <w:vAlign w:val="center"/>
          </w:tcPr>
          <w:p>
            <w:pPr>
              <w:adjustRightInd w:val="0"/>
              <w:snapToGrid w:val="0"/>
              <w:jc w:val="center"/>
              <w:rPr>
                <w:rFonts w:ascii="Times New Roman" w:hAnsi="Times New Roman"/>
                <w:kern w:val="0"/>
                <w:szCs w:val="21"/>
              </w:rPr>
            </w:pPr>
            <w:r>
              <w:rPr>
                <w:rFonts w:ascii="Times New Roman" w:hAnsi="Times New Roman"/>
                <w:kern w:val="0"/>
                <w:szCs w:val="21"/>
              </w:rPr>
              <w:t>区域</w:t>
            </w:r>
          </w:p>
          <w:p>
            <w:pPr>
              <w:adjustRightInd w:val="0"/>
              <w:snapToGrid w:val="0"/>
              <w:jc w:val="center"/>
              <w:rPr>
                <w:rFonts w:ascii="Times New Roman" w:hAnsi="Times New Roman"/>
                <w:kern w:val="0"/>
                <w:szCs w:val="21"/>
              </w:rPr>
            </w:pPr>
            <w:r>
              <w:rPr>
                <w:rFonts w:ascii="Times New Roman" w:hAnsi="Times New Roman"/>
                <w:kern w:val="0"/>
                <w:szCs w:val="21"/>
              </w:rPr>
              <w:t>环境</w:t>
            </w:r>
          </w:p>
          <w:p>
            <w:pPr>
              <w:adjustRightInd w:val="0"/>
              <w:snapToGrid w:val="0"/>
              <w:jc w:val="center"/>
              <w:rPr>
                <w:rFonts w:ascii="Times New Roman" w:hAnsi="Times New Roman"/>
                <w:kern w:val="0"/>
                <w:szCs w:val="21"/>
              </w:rPr>
            </w:pPr>
            <w:r>
              <w:rPr>
                <w:rFonts w:ascii="Times New Roman" w:hAnsi="Times New Roman"/>
                <w:kern w:val="0"/>
                <w:szCs w:val="21"/>
              </w:rPr>
              <w:t>质量</w:t>
            </w:r>
          </w:p>
          <w:p>
            <w:pPr>
              <w:adjustRightInd w:val="0"/>
              <w:snapToGrid w:val="0"/>
              <w:jc w:val="center"/>
              <w:rPr>
                <w:rFonts w:ascii="Times New Roman" w:hAnsi="Times New Roman"/>
                <w:kern w:val="0"/>
                <w:szCs w:val="21"/>
              </w:rPr>
            </w:pPr>
            <w:r>
              <w:rPr>
                <w:rFonts w:ascii="Times New Roman" w:hAnsi="Times New Roman"/>
                <w:kern w:val="0"/>
                <w:szCs w:val="21"/>
              </w:rPr>
              <w:t>现状</w:t>
            </w:r>
          </w:p>
        </w:tc>
        <w:tc>
          <w:tcPr>
            <w:tcW w:w="8348" w:type="dxa"/>
            <w:vAlign w:val="center"/>
          </w:tcPr>
          <w:p>
            <w:pPr>
              <w:pStyle w:val="6"/>
              <w:ind w:left="311"/>
              <w:rPr>
                <w:color w:val="auto"/>
              </w:rPr>
            </w:pPr>
            <w:r>
              <w:rPr>
                <w:color w:val="auto"/>
              </w:rPr>
              <w:t>3.1环境质量现状</w:t>
            </w:r>
          </w:p>
          <w:p>
            <w:pPr>
              <w:pStyle w:val="3"/>
              <w:spacing w:line="400" w:lineRule="exact"/>
              <w:ind w:right="-120" w:firstLine="0" w:firstLineChars="0"/>
              <w:rPr>
                <w:rFonts w:ascii="Times New Roman" w:hAnsi="Times New Roman" w:eastAsia="黑体"/>
                <w:b/>
                <w:bCs/>
              </w:rPr>
            </w:pPr>
            <w:r>
              <w:rPr>
                <w:rFonts w:ascii="Times New Roman" w:hAnsi="Times New Roman" w:eastAsia="黑体"/>
                <w:b/>
                <w:bCs/>
              </w:rPr>
              <w:t>3.1.1大气环境</w:t>
            </w:r>
          </w:p>
          <w:p>
            <w:pPr>
              <w:pStyle w:val="3"/>
              <w:numPr>
                <w:ilvl w:val="0"/>
                <w:numId w:val="8"/>
              </w:numPr>
              <w:spacing w:line="430" w:lineRule="exact"/>
              <w:ind w:right="-120" w:firstLine="240"/>
              <w:rPr>
                <w:rFonts w:ascii="Times New Roman" w:hAnsi="Times New Roman"/>
              </w:rPr>
            </w:pPr>
            <w:r>
              <w:rPr>
                <w:rFonts w:ascii="Times New Roman" w:hAnsi="Times New Roman"/>
              </w:rPr>
              <w:t>大气环境功能区划及质量标准</w:t>
            </w:r>
          </w:p>
          <w:p>
            <w:pPr>
              <w:ind w:firstLine="480" w:firstLineChars="200"/>
            </w:pPr>
            <w:r>
              <w:rPr>
                <w:rFonts w:hint="eastAsia"/>
              </w:rPr>
              <w:t>①基本污染物</w:t>
            </w:r>
          </w:p>
          <w:p>
            <w:pPr>
              <w:spacing w:line="430" w:lineRule="exact"/>
              <w:ind w:firstLine="480" w:firstLineChars="200"/>
              <w:rPr>
                <w:rFonts w:ascii="Times New Roman" w:hAnsi="Times New Roman"/>
                <w:kern w:val="0"/>
                <w:szCs w:val="20"/>
              </w:rPr>
            </w:pPr>
            <w:r>
              <w:rPr>
                <w:rFonts w:ascii="Times New Roman" w:hAnsi="Times New Roman"/>
                <w:kern w:val="0"/>
                <w:szCs w:val="20"/>
              </w:rPr>
              <w:t>项目所处区域环境空气质量划为二类功能区，区域环境空气质量执行《环境空气质量标准》（GB3095-2012）二级标准</w:t>
            </w:r>
            <w:r>
              <w:rPr>
                <w:rFonts w:hint="eastAsia"/>
              </w:rPr>
              <w:t>及2018年修改单要求</w:t>
            </w:r>
            <w:r>
              <w:rPr>
                <w:rFonts w:ascii="Times New Roman" w:hAnsi="Times New Roman"/>
                <w:kern w:val="0"/>
                <w:szCs w:val="20"/>
              </w:rPr>
              <w:t>，见下表：</w:t>
            </w:r>
          </w:p>
          <w:p>
            <w:pPr>
              <w:pStyle w:val="4"/>
              <w:spacing w:after="60" w:line="260" w:lineRule="auto"/>
              <w:ind w:right="-120"/>
              <w:jc w:val="center"/>
              <w:rPr>
                <w:rFonts w:ascii="Times New Roman" w:hAnsi="Times New Roman" w:eastAsia="黑体"/>
                <w:sz w:val="24"/>
                <w:szCs w:val="24"/>
              </w:rPr>
            </w:pPr>
            <w:bookmarkStart w:id="7" w:name="_Ref285631175"/>
            <w:r>
              <w:rPr>
                <w:rFonts w:ascii="Times New Roman" w:hAnsi="Times New Roman" w:eastAsia="黑体"/>
                <w:sz w:val="24"/>
                <w:szCs w:val="24"/>
              </w:rPr>
              <w:t>表3.1-1  项目环境空气质量标准</w:t>
            </w:r>
            <w:bookmarkEnd w:id="7"/>
            <w:r>
              <w:rPr>
                <w:rFonts w:ascii="Times New Roman" w:hAnsi="Times New Roman" w:eastAsia="黑体"/>
                <w:sz w:val="24"/>
                <w:szCs w:val="24"/>
              </w:rPr>
              <w:t>（摘录）</w:t>
            </w:r>
          </w:p>
          <w:tbl>
            <w:tblPr>
              <w:tblStyle w:val="26"/>
              <w:tblW w:w="8129"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2025"/>
              <w:gridCol w:w="2409"/>
              <w:gridCol w:w="1895"/>
              <w:gridCol w:w="1800"/>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025" w:type="dxa"/>
                  <w:tcBorders>
                    <w:tl2br w:val="nil"/>
                    <w:tr2bl w:val="nil"/>
                  </w:tcBorders>
                  <w:vAlign w:val="center"/>
                </w:tcPr>
                <w:p>
                  <w:pPr>
                    <w:pStyle w:val="15"/>
                    <w:keepNext/>
                    <w:spacing w:line="320" w:lineRule="exact"/>
                    <w:jc w:val="center"/>
                    <w:outlineLvl w:val="0"/>
                    <w:rPr>
                      <w:rFonts w:ascii="Times New Roman" w:hAnsi="Times New Roman" w:eastAsiaTheme="minorEastAsia"/>
                      <w:b/>
                      <w:bCs/>
                      <w:sz w:val="21"/>
                      <w:szCs w:val="21"/>
                    </w:rPr>
                  </w:pPr>
                  <w:r>
                    <w:rPr>
                      <w:rFonts w:ascii="Times New Roman" w:hAnsi="Times New Roman" w:eastAsiaTheme="minorEastAsia"/>
                      <w:b/>
                      <w:bCs/>
                      <w:sz w:val="21"/>
                      <w:szCs w:val="21"/>
                    </w:rPr>
                    <w:t>污染物项目</w:t>
                  </w:r>
                </w:p>
              </w:tc>
              <w:tc>
                <w:tcPr>
                  <w:tcW w:w="2409" w:type="dxa"/>
                  <w:tcBorders>
                    <w:tl2br w:val="nil"/>
                    <w:tr2bl w:val="nil"/>
                  </w:tcBorders>
                  <w:vAlign w:val="center"/>
                </w:tcPr>
                <w:p>
                  <w:pPr>
                    <w:pStyle w:val="15"/>
                    <w:keepNext/>
                    <w:spacing w:line="320" w:lineRule="exact"/>
                    <w:jc w:val="center"/>
                    <w:outlineLvl w:val="0"/>
                    <w:rPr>
                      <w:rFonts w:ascii="Times New Roman" w:hAnsi="Times New Roman" w:eastAsiaTheme="minorEastAsia"/>
                      <w:b/>
                      <w:bCs/>
                      <w:sz w:val="21"/>
                      <w:szCs w:val="21"/>
                    </w:rPr>
                  </w:pPr>
                  <w:r>
                    <w:rPr>
                      <w:rFonts w:ascii="Times New Roman" w:hAnsi="Times New Roman" w:eastAsiaTheme="minorEastAsia"/>
                      <w:b/>
                      <w:bCs/>
                      <w:sz w:val="21"/>
                      <w:szCs w:val="21"/>
                    </w:rPr>
                    <w:t>取值时间</w:t>
                  </w:r>
                </w:p>
              </w:tc>
              <w:tc>
                <w:tcPr>
                  <w:tcW w:w="1895" w:type="dxa"/>
                  <w:tcBorders>
                    <w:tl2br w:val="nil"/>
                    <w:tr2bl w:val="nil"/>
                  </w:tcBorders>
                  <w:vAlign w:val="center"/>
                </w:tcPr>
                <w:p>
                  <w:pPr>
                    <w:pStyle w:val="15"/>
                    <w:keepNext/>
                    <w:spacing w:line="320" w:lineRule="exact"/>
                    <w:jc w:val="center"/>
                    <w:outlineLvl w:val="0"/>
                    <w:rPr>
                      <w:rFonts w:ascii="Times New Roman" w:hAnsi="Times New Roman" w:eastAsiaTheme="minorEastAsia"/>
                      <w:b/>
                      <w:bCs/>
                      <w:sz w:val="21"/>
                      <w:szCs w:val="21"/>
                    </w:rPr>
                  </w:pPr>
                  <w:r>
                    <w:rPr>
                      <w:rFonts w:ascii="Times New Roman" w:hAnsi="Times New Roman" w:eastAsiaTheme="minorEastAsia"/>
                      <w:b/>
                      <w:bCs/>
                      <w:sz w:val="21"/>
                      <w:szCs w:val="21"/>
                    </w:rPr>
                    <w:t>浓度限值</w:t>
                  </w:r>
                </w:p>
              </w:tc>
              <w:tc>
                <w:tcPr>
                  <w:tcW w:w="1800" w:type="dxa"/>
                  <w:tcBorders>
                    <w:tl2br w:val="nil"/>
                    <w:tr2bl w:val="nil"/>
                  </w:tcBorders>
                </w:tcPr>
                <w:p>
                  <w:pPr>
                    <w:pStyle w:val="15"/>
                    <w:spacing w:line="320" w:lineRule="exact"/>
                    <w:jc w:val="center"/>
                    <w:outlineLvl w:val="0"/>
                    <w:rPr>
                      <w:rFonts w:ascii="Times New Roman" w:hAnsi="Times New Roman" w:eastAsiaTheme="minorEastAsia"/>
                      <w:b/>
                      <w:bCs/>
                      <w:sz w:val="21"/>
                      <w:szCs w:val="21"/>
                    </w:rPr>
                  </w:pPr>
                  <w:r>
                    <w:rPr>
                      <w:rFonts w:ascii="Times New Roman" w:hAnsi="Times New Roman" w:eastAsiaTheme="minorEastAsia"/>
                      <w:b/>
                      <w:bCs/>
                      <w:sz w:val="21"/>
                      <w:szCs w:val="21"/>
                    </w:rPr>
                    <w:t>标准来源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025" w:type="dxa"/>
                  <w:vMerge w:val="restart"/>
                  <w:tcBorders>
                    <w:tl2br w:val="nil"/>
                    <w:tr2bl w:val="nil"/>
                  </w:tcBorders>
                  <w:vAlign w:val="center"/>
                </w:tcPr>
                <w:p>
                  <w:pPr>
                    <w:pStyle w:val="15"/>
                    <w:keepNext/>
                    <w:spacing w:line="320" w:lineRule="exact"/>
                    <w:jc w:val="center"/>
                    <w:outlineLvl w:val="0"/>
                    <w:rPr>
                      <w:rFonts w:ascii="Times New Roman" w:hAnsi="Times New Roman" w:eastAsiaTheme="minorEastAsia"/>
                      <w:bCs/>
                      <w:sz w:val="21"/>
                      <w:szCs w:val="21"/>
                    </w:rPr>
                  </w:pPr>
                  <w:r>
                    <w:rPr>
                      <w:rFonts w:ascii="Times New Roman" w:hAnsi="Times New Roman" w:eastAsiaTheme="minorEastAsia"/>
                      <w:bCs/>
                      <w:sz w:val="21"/>
                      <w:szCs w:val="21"/>
                    </w:rPr>
                    <w:t>二氧化硫</w:t>
                  </w:r>
                </w:p>
                <w:p>
                  <w:pPr>
                    <w:pStyle w:val="15"/>
                    <w:keepNext/>
                    <w:spacing w:line="320" w:lineRule="exact"/>
                    <w:jc w:val="center"/>
                    <w:outlineLvl w:val="0"/>
                    <w:rPr>
                      <w:rFonts w:ascii="Times New Roman" w:hAnsi="Times New Roman" w:eastAsiaTheme="minorEastAsia"/>
                      <w:bCs/>
                      <w:sz w:val="21"/>
                      <w:szCs w:val="21"/>
                    </w:rPr>
                  </w:pPr>
                  <w:r>
                    <w:rPr>
                      <w:rFonts w:ascii="Times New Roman" w:hAnsi="Times New Roman" w:eastAsiaTheme="minorEastAsia"/>
                      <w:bCs/>
                      <w:sz w:val="21"/>
                      <w:szCs w:val="21"/>
                    </w:rPr>
                    <w:t>SO</w:t>
                  </w:r>
                  <w:r>
                    <w:rPr>
                      <w:rFonts w:ascii="Times New Roman" w:hAnsi="Times New Roman" w:eastAsiaTheme="minorEastAsia"/>
                      <w:bCs/>
                      <w:sz w:val="21"/>
                      <w:szCs w:val="21"/>
                      <w:vertAlign w:val="subscript"/>
                    </w:rPr>
                    <w:t>2</w:t>
                  </w:r>
                </w:p>
              </w:tc>
              <w:tc>
                <w:tcPr>
                  <w:tcW w:w="2409" w:type="dxa"/>
                  <w:tcBorders>
                    <w:tl2br w:val="nil"/>
                    <w:tr2bl w:val="nil"/>
                  </w:tcBorders>
                  <w:vAlign w:val="center"/>
                </w:tcPr>
                <w:p>
                  <w:pPr>
                    <w:pStyle w:val="15"/>
                    <w:keepNext/>
                    <w:spacing w:line="320" w:lineRule="exact"/>
                    <w:jc w:val="center"/>
                    <w:outlineLvl w:val="0"/>
                    <w:rPr>
                      <w:rFonts w:ascii="Times New Roman" w:hAnsi="Times New Roman" w:eastAsiaTheme="minorEastAsia"/>
                      <w:bCs/>
                      <w:sz w:val="21"/>
                      <w:szCs w:val="21"/>
                    </w:rPr>
                  </w:pPr>
                  <w:r>
                    <w:rPr>
                      <w:rFonts w:ascii="Times New Roman" w:hAnsi="Times New Roman" w:eastAsiaTheme="minorEastAsia"/>
                      <w:bCs/>
                      <w:sz w:val="21"/>
                      <w:szCs w:val="21"/>
                    </w:rPr>
                    <w:t>年平均</w:t>
                  </w:r>
                </w:p>
              </w:tc>
              <w:tc>
                <w:tcPr>
                  <w:tcW w:w="1895" w:type="dxa"/>
                  <w:tcBorders>
                    <w:tl2br w:val="nil"/>
                    <w:tr2bl w:val="nil"/>
                  </w:tcBorders>
                  <w:vAlign w:val="center"/>
                </w:tcPr>
                <w:p>
                  <w:pPr>
                    <w:pStyle w:val="15"/>
                    <w:keepNext/>
                    <w:spacing w:line="320" w:lineRule="exact"/>
                    <w:jc w:val="center"/>
                    <w:outlineLvl w:val="0"/>
                    <w:rPr>
                      <w:rFonts w:ascii="Times New Roman" w:hAnsi="Times New Roman" w:eastAsiaTheme="minorEastAsia"/>
                      <w:bCs/>
                      <w:sz w:val="21"/>
                      <w:szCs w:val="21"/>
                    </w:rPr>
                  </w:pPr>
                  <w:r>
                    <w:rPr>
                      <w:rFonts w:ascii="Times New Roman" w:hAnsi="Times New Roman" w:eastAsiaTheme="minorEastAsia"/>
                      <w:bCs/>
                      <w:sz w:val="21"/>
                      <w:szCs w:val="21"/>
                    </w:rPr>
                    <w:t>60µ</w:t>
                  </w:r>
                  <w:r>
                    <w:rPr>
                      <w:rFonts w:ascii="Times New Roman" w:hAnsi="Times New Roman" w:eastAsiaTheme="minorEastAsia"/>
                      <w:sz w:val="21"/>
                      <w:szCs w:val="21"/>
                    </w:rPr>
                    <w:t>g/m</w:t>
                  </w:r>
                  <w:r>
                    <w:rPr>
                      <w:rFonts w:ascii="Times New Roman" w:hAnsi="Times New Roman" w:eastAsiaTheme="minorEastAsia"/>
                      <w:sz w:val="21"/>
                      <w:szCs w:val="21"/>
                      <w:vertAlign w:val="superscript"/>
                    </w:rPr>
                    <w:t>3</w:t>
                  </w:r>
                </w:p>
              </w:tc>
              <w:tc>
                <w:tcPr>
                  <w:tcW w:w="1800" w:type="dxa"/>
                  <w:vMerge w:val="restart"/>
                  <w:tcBorders>
                    <w:tl2br w:val="nil"/>
                    <w:tr2bl w:val="nil"/>
                  </w:tcBorders>
                  <w:vAlign w:val="center"/>
                </w:tcPr>
                <w:p>
                  <w:pPr>
                    <w:pStyle w:val="15"/>
                    <w:spacing w:line="320" w:lineRule="exact"/>
                    <w:jc w:val="center"/>
                    <w:outlineLvl w:val="0"/>
                    <w:rPr>
                      <w:rFonts w:ascii="Times New Roman" w:hAnsi="Times New Roman" w:eastAsiaTheme="minorEastAsia"/>
                      <w:bCs/>
                      <w:sz w:val="21"/>
                      <w:szCs w:val="21"/>
                    </w:rPr>
                  </w:pPr>
                  <w:r>
                    <w:rPr>
                      <w:rFonts w:ascii="Times New Roman" w:hAnsi="Times New Roman"/>
                      <w:sz w:val="21"/>
                      <w:szCs w:val="21"/>
                    </w:rPr>
                    <w:t>《环境空气质量标准》(GB3095-2012)</w:t>
                  </w:r>
                  <w:r>
                    <w:rPr>
                      <w:rFonts w:ascii="Times New Roman" w:hAnsi="Times New Roman" w:eastAsiaTheme="minorEastAsia"/>
                      <w:bCs/>
                      <w:sz w:val="21"/>
                      <w:szCs w:val="21"/>
                    </w:rPr>
                    <w:t>二级标准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025" w:type="dxa"/>
                  <w:vMerge w:val="continue"/>
                  <w:tcBorders>
                    <w:tl2br w:val="nil"/>
                    <w:tr2bl w:val="nil"/>
                  </w:tcBorders>
                  <w:vAlign w:val="center"/>
                </w:tcPr>
                <w:p>
                  <w:pPr>
                    <w:keepNext/>
                    <w:spacing w:line="320" w:lineRule="exact"/>
                    <w:rPr>
                      <w:rFonts w:ascii="Times New Roman" w:hAnsi="Times New Roman" w:eastAsiaTheme="minorEastAsia"/>
                      <w:bCs/>
                      <w:sz w:val="21"/>
                      <w:szCs w:val="21"/>
                    </w:rPr>
                  </w:pPr>
                </w:p>
              </w:tc>
              <w:tc>
                <w:tcPr>
                  <w:tcW w:w="2409" w:type="dxa"/>
                  <w:tcBorders>
                    <w:tl2br w:val="nil"/>
                    <w:tr2bl w:val="nil"/>
                  </w:tcBorders>
                  <w:vAlign w:val="center"/>
                </w:tcPr>
                <w:p>
                  <w:pPr>
                    <w:pStyle w:val="15"/>
                    <w:keepNext/>
                    <w:spacing w:line="320" w:lineRule="exact"/>
                    <w:jc w:val="center"/>
                    <w:outlineLvl w:val="0"/>
                    <w:rPr>
                      <w:rFonts w:ascii="Times New Roman" w:hAnsi="Times New Roman" w:eastAsiaTheme="minorEastAsia"/>
                      <w:bCs/>
                      <w:sz w:val="21"/>
                      <w:szCs w:val="21"/>
                    </w:rPr>
                  </w:pPr>
                  <w:r>
                    <w:rPr>
                      <w:rFonts w:ascii="Times New Roman" w:hAnsi="Times New Roman" w:eastAsiaTheme="minorEastAsia"/>
                      <w:bCs/>
                      <w:sz w:val="21"/>
                      <w:szCs w:val="21"/>
                    </w:rPr>
                    <w:t>24小时平均</w:t>
                  </w:r>
                </w:p>
              </w:tc>
              <w:tc>
                <w:tcPr>
                  <w:tcW w:w="1895" w:type="dxa"/>
                  <w:tcBorders>
                    <w:tl2br w:val="nil"/>
                    <w:tr2bl w:val="nil"/>
                  </w:tcBorders>
                  <w:vAlign w:val="center"/>
                </w:tcPr>
                <w:p>
                  <w:pPr>
                    <w:pStyle w:val="15"/>
                    <w:keepNext/>
                    <w:spacing w:line="320" w:lineRule="exact"/>
                    <w:jc w:val="center"/>
                    <w:outlineLvl w:val="0"/>
                    <w:rPr>
                      <w:rFonts w:ascii="Times New Roman" w:hAnsi="Times New Roman" w:eastAsiaTheme="minorEastAsia"/>
                      <w:bCs/>
                      <w:sz w:val="21"/>
                      <w:szCs w:val="21"/>
                    </w:rPr>
                  </w:pPr>
                  <w:r>
                    <w:rPr>
                      <w:rFonts w:ascii="Times New Roman" w:hAnsi="Times New Roman" w:eastAsiaTheme="minorEastAsia"/>
                      <w:bCs/>
                      <w:sz w:val="21"/>
                      <w:szCs w:val="21"/>
                    </w:rPr>
                    <w:t>150µ</w:t>
                  </w:r>
                  <w:r>
                    <w:rPr>
                      <w:rFonts w:ascii="Times New Roman" w:hAnsi="Times New Roman" w:eastAsiaTheme="minorEastAsia"/>
                      <w:sz w:val="21"/>
                      <w:szCs w:val="21"/>
                    </w:rPr>
                    <w:t>g/m</w:t>
                  </w:r>
                  <w:r>
                    <w:rPr>
                      <w:rFonts w:ascii="Times New Roman" w:hAnsi="Times New Roman" w:eastAsiaTheme="minorEastAsia"/>
                      <w:sz w:val="21"/>
                      <w:szCs w:val="21"/>
                      <w:vertAlign w:val="superscript"/>
                    </w:rPr>
                    <w:t>3</w:t>
                  </w:r>
                </w:p>
              </w:tc>
              <w:tc>
                <w:tcPr>
                  <w:tcW w:w="1800" w:type="dxa"/>
                  <w:vMerge w:val="continue"/>
                  <w:tcBorders>
                    <w:tl2br w:val="nil"/>
                    <w:tr2bl w:val="nil"/>
                  </w:tcBorders>
                </w:tcPr>
                <w:p>
                  <w:pPr>
                    <w:pStyle w:val="4"/>
                    <w:ind w:right="-120"/>
                    <w:rPr>
                      <w:rFonts w:ascii="Times New Roman" w:hAnsi="Times New Roman" w:eastAsia="黑体"/>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c>
                <w:tcPr>
                  <w:tcW w:w="2025" w:type="dxa"/>
                  <w:vMerge w:val="continue"/>
                  <w:tcBorders>
                    <w:tl2br w:val="nil"/>
                    <w:tr2bl w:val="nil"/>
                  </w:tcBorders>
                  <w:vAlign w:val="center"/>
                </w:tcPr>
                <w:p>
                  <w:pPr>
                    <w:keepNext/>
                    <w:spacing w:line="320" w:lineRule="exact"/>
                    <w:rPr>
                      <w:rFonts w:ascii="Times New Roman" w:hAnsi="Times New Roman" w:eastAsiaTheme="minorEastAsia"/>
                      <w:bCs/>
                      <w:sz w:val="21"/>
                      <w:szCs w:val="21"/>
                    </w:rPr>
                  </w:pPr>
                </w:p>
              </w:tc>
              <w:tc>
                <w:tcPr>
                  <w:tcW w:w="2409" w:type="dxa"/>
                  <w:tcBorders>
                    <w:tl2br w:val="nil"/>
                    <w:tr2bl w:val="nil"/>
                  </w:tcBorders>
                  <w:vAlign w:val="center"/>
                </w:tcPr>
                <w:p>
                  <w:pPr>
                    <w:pStyle w:val="15"/>
                    <w:keepNext/>
                    <w:spacing w:line="320" w:lineRule="exact"/>
                    <w:jc w:val="center"/>
                    <w:outlineLvl w:val="0"/>
                    <w:rPr>
                      <w:rFonts w:ascii="Times New Roman" w:hAnsi="Times New Roman" w:eastAsiaTheme="minorEastAsia"/>
                      <w:bCs/>
                      <w:sz w:val="21"/>
                      <w:szCs w:val="21"/>
                    </w:rPr>
                  </w:pPr>
                  <w:r>
                    <w:rPr>
                      <w:rFonts w:ascii="Times New Roman" w:hAnsi="Times New Roman" w:eastAsiaTheme="minorEastAsia"/>
                      <w:bCs/>
                      <w:sz w:val="21"/>
                      <w:szCs w:val="21"/>
                    </w:rPr>
                    <w:t>1小时平均</w:t>
                  </w:r>
                </w:p>
              </w:tc>
              <w:tc>
                <w:tcPr>
                  <w:tcW w:w="1895" w:type="dxa"/>
                  <w:tcBorders>
                    <w:tl2br w:val="nil"/>
                    <w:tr2bl w:val="nil"/>
                  </w:tcBorders>
                  <w:vAlign w:val="center"/>
                </w:tcPr>
                <w:p>
                  <w:pPr>
                    <w:pStyle w:val="15"/>
                    <w:keepNext/>
                    <w:spacing w:line="320" w:lineRule="exact"/>
                    <w:jc w:val="center"/>
                    <w:outlineLvl w:val="0"/>
                    <w:rPr>
                      <w:rFonts w:ascii="Times New Roman" w:hAnsi="Times New Roman" w:eastAsiaTheme="minorEastAsia"/>
                      <w:bCs/>
                      <w:sz w:val="21"/>
                      <w:szCs w:val="21"/>
                    </w:rPr>
                  </w:pPr>
                  <w:r>
                    <w:rPr>
                      <w:rFonts w:ascii="Times New Roman" w:hAnsi="Times New Roman" w:eastAsiaTheme="minorEastAsia"/>
                      <w:bCs/>
                      <w:sz w:val="21"/>
                      <w:szCs w:val="21"/>
                    </w:rPr>
                    <w:t>500µ</w:t>
                  </w:r>
                  <w:r>
                    <w:rPr>
                      <w:rFonts w:ascii="Times New Roman" w:hAnsi="Times New Roman" w:eastAsiaTheme="minorEastAsia"/>
                      <w:sz w:val="21"/>
                      <w:szCs w:val="21"/>
                    </w:rPr>
                    <w:t>g/m</w:t>
                  </w:r>
                  <w:r>
                    <w:rPr>
                      <w:rFonts w:ascii="Times New Roman" w:hAnsi="Times New Roman" w:eastAsiaTheme="minorEastAsia"/>
                      <w:sz w:val="21"/>
                      <w:szCs w:val="21"/>
                      <w:vertAlign w:val="superscript"/>
                    </w:rPr>
                    <w:t>3</w:t>
                  </w:r>
                </w:p>
              </w:tc>
              <w:tc>
                <w:tcPr>
                  <w:tcW w:w="1800" w:type="dxa"/>
                  <w:vMerge w:val="continue"/>
                  <w:tcBorders>
                    <w:tl2br w:val="nil"/>
                    <w:tr2bl w:val="nil"/>
                  </w:tcBorders>
                </w:tcPr>
                <w:p>
                  <w:pPr>
                    <w:pStyle w:val="4"/>
                    <w:ind w:right="-120"/>
                    <w:rPr>
                      <w:rFonts w:ascii="Times New Roman" w:hAnsi="Times New Roman" w:eastAsia="黑体"/>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025" w:type="dxa"/>
                  <w:vMerge w:val="restart"/>
                  <w:tcBorders>
                    <w:tl2br w:val="nil"/>
                    <w:tr2bl w:val="nil"/>
                  </w:tcBorders>
                  <w:vAlign w:val="center"/>
                </w:tcPr>
                <w:p>
                  <w:pPr>
                    <w:pStyle w:val="15"/>
                    <w:keepNext/>
                    <w:spacing w:line="320" w:lineRule="exact"/>
                    <w:jc w:val="center"/>
                    <w:outlineLvl w:val="0"/>
                    <w:rPr>
                      <w:rFonts w:ascii="Times New Roman" w:hAnsi="Times New Roman" w:eastAsiaTheme="minorEastAsia"/>
                      <w:bCs/>
                      <w:sz w:val="21"/>
                      <w:szCs w:val="21"/>
                    </w:rPr>
                  </w:pPr>
                  <w:r>
                    <w:rPr>
                      <w:rFonts w:ascii="Times New Roman" w:hAnsi="Times New Roman" w:eastAsiaTheme="minorEastAsia"/>
                      <w:bCs/>
                      <w:sz w:val="21"/>
                      <w:szCs w:val="21"/>
                    </w:rPr>
                    <w:t>二氧化氮</w:t>
                  </w:r>
                </w:p>
                <w:p>
                  <w:pPr>
                    <w:pStyle w:val="15"/>
                    <w:keepNext/>
                    <w:spacing w:line="320" w:lineRule="exact"/>
                    <w:jc w:val="center"/>
                    <w:outlineLvl w:val="0"/>
                    <w:rPr>
                      <w:rFonts w:ascii="Times New Roman" w:hAnsi="Times New Roman" w:eastAsiaTheme="minorEastAsia"/>
                      <w:bCs/>
                      <w:sz w:val="21"/>
                      <w:szCs w:val="21"/>
                    </w:rPr>
                  </w:pPr>
                  <w:r>
                    <w:rPr>
                      <w:rFonts w:ascii="Times New Roman" w:hAnsi="Times New Roman" w:eastAsiaTheme="minorEastAsia"/>
                      <w:bCs/>
                      <w:sz w:val="21"/>
                      <w:szCs w:val="21"/>
                    </w:rPr>
                    <w:t>NO</w:t>
                  </w:r>
                  <w:r>
                    <w:rPr>
                      <w:rFonts w:ascii="Times New Roman" w:hAnsi="Times New Roman" w:eastAsiaTheme="minorEastAsia"/>
                      <w:bCs/>
                      <w:sz w:val="21"/>
                      <w:szCs w:val="21"/>
                      <w:vertAlign w:val="subscript"/>
                    </w:rPr>
                    <w:t>2</w:t>
                  </w:r>
                </w:p>
              </w:tc>
              <w:tc>
                <w:tcPr>
                  <w:tcW w:w="2409" w:type="dxa"/>
                  <w:tcBorders>
                    <w:tl2br w:val="nil"/>
                    <w:tr2bl w:val="nil"/>
                  </w:tcBorders>
                  <w:vAlign w:val="center"/>
                </w:tcPr>
                <w:p>
                  <w:pPr>
                    <w:pStyle w:val="15"/>
                    <w:keepNext/>
                    <w:spacing w:line="320" w:lineRule="exact"/>
                    <w:jc w:val="center"/>
                    <w:outlineLvl w:val="0"/>
                    <w:rPr>
                      <w:rFonts w:ascii="Times New Roman" w:hAnsi="Times New Roman" w:eastAsiaTheme="minorEastAsia"/>
                      <w:bCs/>
                      <w:sz w:val="21"/>
                      <w:szCs w:val="21"/>
                    </w:rPr>
                  </w:pPr>
                  <w:r>
                    <w:rPr>
                      <w:rFonts w:ascii="Times New Roman" w:hAnsi="Times New Roman" w:eastAsiaTheme="minorEastAsia"/>
                      <w:bCs/>
                      <w:sz w:val="21"/>
                      <w:szCs w:val="21"/>
                    </w:rPr>
                    <w:t>年平均</w:t>
                  </w:r>
                </w:p>
              </w:tc>
              <w:tc>
                <w:tcPr>
                  <w:tcW w:w="1895" w:type="dxa"/>
                  <w:tcBorders>
                    <w:tl2br w:val="nil"/>
                    <w:tr2bl w:val="nil"/>
                  </w:tcBorders>
                  <w:vAlign w:val="center"/>
                </w:tcPr>
                <w:p>
                  <w:pPr>
                    <w:pStyle w:val="15"/>
                    <w:keepNext/>
                    <w:spacing w:line="320" w:lineRule="exact"/>
                    <w:jc w:val="center"/>
                    <w:outlineLvl w:val="0"/>
                    <w:rPr>
                      <w:rFonts w:ascii="Times New Roman" w:hAnsi="Times New Roman" w:eastAsiaTheme="minorEastAsia"/>
                      <w:bCs/>
                      <w:sz w:val="21"/>
                      <w:szCs w:val="21"/>
                    </w:rPr>
                  </w:pPr>
                  <w:r>
                    <w:rPr>
                      <w:rFonts w:ascii="Times New Roman" w:hAnsi="Times New Roman" w:eastAsiaTheme="minorEastAsia"/>
                      <w:bCs/>
                      <w:sz w:val="21"/>
                      <w:szCs w:val="21"/>
                    </w:rPr>
                    <w:t>40µ</w:t>
                  </w:r>
                  <w:r>
                    <w:rPr>
                      <w:rFonts w:ascii="Times New Roman" w:hAnsi="Times New Roman" w:eastAsiaTheme="minorEastAsia"/>
                      <w:sz w:val="21"/>
                      <w:szCs w:val="21"/>
                    </w:rPr>
                    <w:t>g/m</w:t>
                  </w:r>
                  <w:r>
                    <w:rPr>
                      <w:rFonts w:ascii="Times New Roman" w:hAnsi="Times New Roman" w:eastAsiaTheme="minorEastAsia"/>
                      <w:sz w:val="21"/>
                      <w:szCs w:val="21"/>
                      <w:vertAlign w:val="superscript"/>
                    </w:rPr>
                    <w:t>3</w:t>
                  </w:r>
                </w:p>
              </w:tc>
              <w:tc>
                <w:tcPr>
                  <w:tcW w:w="1800" w:type="dxa"/>
                  <w:vMerge w:val="continue"/>
                  <w:tcBorders>
                    <w:tl2br w:val="nil"/>
                    <w:tr2bl w:val="nil"/>
                  </w:tcBorders>
                </w:tcPr>
                <w:p>
                  <w:pPr>
                    <w:pStyle w:val="4"/>
                    <w:ind w:right="-120"/>
                    <w:rPr>
                      <w:rFonts w:ascii="Times New Roman" w:hAnsi="Times New Roman" w:eastAsia="黑体"/>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025" w:type="dxa"/>
                  <w:vMerge w:val="continue"/>
                  <w:tcBorders>
                    <w:tl2br w:val="nil"/>
                    <w:tr2bl w:val="nil"/>
                  </w:tcBorders>
                  <w:vAlign w:val="center"/>
                </w:tcPr>
                <w:p>
                  <w:pPr>
                    <w:keepNext/>
                    <w:spacing w:line="320" w:lineRule="exact"/>
                    <w:rPr>
                      <w:rFonts w:ascii="Times New Roman" w:hAnsi="Times New Roman" w:eastAsiaTheme="minorEastAsia"/>
                      <w:bCs/>
                      <w:sz w:val="21"/>
                      <w:szCs w:val="21"/>
                    </w:rPr>
                  </w:pPr>
                </w:p>
              </w:tc>
              <w:tc>
                <w:tcPr>
                  <w:tcW w:w="2409" w:type="dxa"/>
                  <w:tcBorders>
                    <w:tl2br w:val="nil"/>
                    <w:tr2bl w:val="nil"/>
                  </w:tcBorders>
                  <w:vAlign w:val="center"/>
                </w:tcPr>
                <w:p>
                  <w:pPr>
                    <w:pStyle w:val="15"/>
                    <w:keepNext/>
                    <w:spacing w:line="320" w:lineRule="exact"/>
                    <w:jc w:val="center"/>
                    <w:outlineLvl w:val="0"/>
                    <w:rPr>
                      <w:rFonts w:ascii="Times New Roman" w:hAnsi="Times New Roman" w:eastAsiaTheme="minorEastAsia"/>
                      <w:bCs/>
                      <w:sz w:val="21"/>
                      <w:szCs w:val="21"/>
                    </w:rPr>
                  </w:pPr>
                  <w:r>
                    <w:rPr>
                      <w:rFonts w:ascii="Times New Roman" w:hAnsi="Times New Roman" w:eastAsiaTheme="minorEastAsia"/>
                      <w:bCs/>
                      <w:sz w:val="21"/>
                      <w:szCs w:val="21"/>
                    </w:rPr>
                    <w:t>24小时平均</w:t>
                  </w:r>
                </w:p>
              </w:tc>
              <w:tc>
                <w:tcPr>
                  <w:tcW w:w="1895" w:type="dxa"/>
                  <w:tcBorders>
                    <w:tl2br w:val="nil"/>
                    <w:tr2bl w:val="nil"/>
                  </w:tcBorders>
                  <w:vAlign w:val="center"/>
                </w:tcPr>
                <w:p>
                  <w:pPr>
                    <w:pStyle w:val="15"/>
                    <w:keepNext/>
                    <w:spacing w:line="320" w:lineRule="exact"/>
                    <w:jc w:val="center"/>
                    <w:outlineLvl w:val="0"/>
                    <w:rPr>
                      <w:rFonts w:ascii="Times New Roman" w:hAnsi="Times New Roman" w:eastAsiaTheme="minorEastAsia"/>
                      <w:bCs/>
                      <w:sz w:val="21"/>
                      <w:szCs w:val="21"/>
                    </w:rPr>
                  </w:pPr>
                  <w:r>
                    <w:rPr>
                      <w:rFonts w:ascii="Times New Roman" w:hAnsi="Times New Roman" w:eastAsiaTheme="minorEastAsia"/>
                      <w:bCs/>
                      <w:sz w:val="21"/>
                      <w:szCs w:val="21"/>
                    </w:rPr>
                    <w:t>80µ</w:t>
                  </w:r>
                  <w:r>
                    <w:rPr>
                      <w:rFonts w:ascii="Times New Roman" w:hAnsi="Times New Roman" w:eastAsiaTheme="minorEastAsia"/>
                      <w:sz w:val="21"/>
                      <w:szCs w:val="21"/>
                    </w:rPr>
                    <w:t>g/m</w:t>
                  </w:r>
                  <w:r>
                    <w:rPr>
                      <w:rFonts w:ascii="Times New Roman" w:hAnsi="Times New Roman" w:eastAsiaTheme="minorEastAsia"/>
                      <w:sz w:val="21"/>
                      <w:szCs w:val="21"/>
                      <w:vertAlign w:val="superscript"/>
                    </w:rPr>
                    <w:t>3</w:t>
                  </w:r>
                </w:p>
              </w:tc>
              <w:tc>
                <w:tcPr>
                  <w:tcW w:w="1800" w:type="dxa"/>
                  <w:vMerge w:val="continue"/>
                  <w:tcBorders>
                    <w:tl2br w:val="nil"/>
                    <w:tr2bl w:val="nil"/>
                  </w:tcBorders>
                </w:tcPr>
                <w:p>
                  <w:pPr>
                    <w:pStyle w:val="4"/>
                    <w:ind w:right="-120"/>
                    <w:rPr>
                      <w:rFonts w:ascii="Times New Roman" w:hAnsi="Times New Roman" w:eastAsia="黑体"/>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025" w:type="dxa"/>
                  <w:vMerge w:val="continue"/>
                  <w:tcBorders>
                    <w:tl2br w:val="nil"/>
                    <w:tr2bl w:val="nil"/>
                  </w:tcBorders>
                  <w:vAlign w:val="center"/>
                </w:tcPr>
                <w:p>
                  <w:pPr>
                    <w:keepNext/>
                    <w:spacing w:line="320" w:lineRule="exact"/>
                    <w:rPr>
                      <w:rFonts w:ascii="Times New Roman" w:hAnsi="Times New Roman" w:eastAsiaTheme="minorEastAsia"/>
                      <w:bCs/>
                      <w:sz w:val="21"/>
                      <w:szCs w:val="21"/>
                    </w:rPr>
                  </w:pPr>
                </w:p>
              </w:tc>
              <w:tc>
                <w:tcPr>
                  <w:tcW w:w="2409" w:type="dxa"/>
                  <w:tcBorders>
                    <w:tl2br w:val="nil"/>
                    <w:tr2bl w:val="nil"/>
                  </w:tcBorders>
                  <w:vAlign w:val="center"/>
                </w:tcPr>
                <w:p>
                  <w:pPr>
                    <w:pStyle w:val="15"/>
                    <w:keepNext/>
                    <w:spacing w:line="320" w:lineRule="exact"/>
                    <w:jc w:val="center"/>
                    <w:outlineLvl w:val="0"/>
                    <w:rPr>
                      <w:rFonts w:ascii="Times New Roman" w:hAnsi="Times New Roman" w:eastAsiaTheme="minorEastAsia"/>
                      <w:bCs/>
                      <w:sz w:val="21"/>
                      <w:szCs w:val="21"/>
                    </w:rPr>
                  </w:pPr>
                  <w:r>
                    <w:rPr>
                      <w:rFonts w:ascii="Times New Roman" w:hAnsi="Times New Roman" w:eastAsiaTheme="minorEastAsia"/>
                      <w:bCs/>
                      <w:sz w:val="21"/>
                      <w:szCs w:val="21"/>
                    </w:rPr>
                    <w:t>1小时平均</w:t>
                  </w:r>
                </w:p>
              </w:tc>
              <w:tc>
                <w:tcPr>
                  <w:tcW w:w="1895" w:type="dxa"/>
                  <w:tcBorders>
                    <w:tl2br w:val="nil"/>
                    <w:tr2bl w:val="nil"/>
                  </w:tcBorders>
                  <w:vAlign w:val="center"/>
                </w:tcPr>
                <w:p>
                  <w:pPr>
                    <w:pStyle w:val="15"/>
                    <w:keepNext/>
                    <w:spacing w:line="320" w:lineRule="exact"/>
                    <w:jc w:val="center"/>
                    <w:outlineLvl w:val="0"/>
                    <w:rPr>
                      <w:rFonts w:ascii="Times New Roman" w:hAnsi="Times New Roman" w:eastAsiaTheme="minorEastAsia"/>
                      <w:bCs/>
                      <w:sz w:val="21"/>
                      <w:szCs w:val="21"/>
                    </w:rPr>
                  </w:pPr>
                  <w:r>
                    <w:rPr>
                      <w:rFonts w:ascii="Times New Roman" w:hAnsi="Times New Roman" w:eastAsiaTheme="minorEastAsia"/>
                      <w:bCs/>
                      <w:sz w:val="21"/>
                      <w:szCs w:val="21"/>
                    </w:rPr>
                    <w:t>200µ</w:t>
                  </w:r>
                  <w:r>
                    <w:rPr>
                      <w:rFonts w:ascii="Times New Roman" w:hAnsi="Times New Roman" w:eastAsiaTheme="minorEastAsia"/>
                      <w:sz w:val="21"/>
                      <w:szCs w:val="21"/>
                    </w:rPr>
                    <w:t>g/m</w:t>
                  </w:r>
                  <w:r>
                    <w:rPr>
                      <w:rFonts w:ascii="Times New Roman" w:hAnsi="Times New Roman" w:eastAsiaTheme="minorEastAsia"/>
                      <w:sz w:val="21"/>
                      <w:szCs w:val="21"/>
                      <w:vertAlign w:val="superscript"/>
                    </w:rPr>
                    <w:t>3</w:t>
                  </w:r>
                </w:p>
              </w:tc>
              <w:tc>
                <w:tcPr>
                  <w:tcW w:w="1800" w:type="dxa"/>
                  <w:vMerge w:val="continue"/>
                  <w:tcBorders>
                    <w:tl2br w:val="nil"/>
                    <w:tr2bl w:val="nil"/>
                  </w:tcBorders>
                </w:tcPr>
                <w:p>
                  <w:pPr>
                    <w:pStyle w:val="4"/>
                    <w:ind w:right="-120"/>
                    <w:rPr>
                      <w:rFonts w:ascii="Times New Roman" w:hAnsi="Times New Roman" w:eastAsia="黑体"/>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c>
                <w:tcPr>
                  <w:tcW w:w="2025" w:type="dxa"/>
                  <w:vMerge w:val="restart"/>
                  <w:tcBorders>
                    <w:tl2br w:val="nil"/>
                    <w:tr2bl w:val="nil"/>
                  </w:tcBorders>
                  <w:vAlign w:val="center"/>
                </w:tcPr>
                <w:p>
                  <w:pPr>
                    <w:keepNext/>
                    <w:spacing w:line="320" w:lineRule="exact"/>
                    <w:jc w:val="center"/>
                    <w:rPr>
                      <w:rFonts w:ascii="Times New Roman" w:hAnsi="Times New Roman" w:eastAsiaTheme="minorEastAsia"/>
                      <w:sz w:val="21"/>
                      <w:szCs w:val="21"/>
                    </w:rPr>
                  </w:pPr>
                  <w:r>
                    <w:rPr>
                      <w:rFonts w:ascii="Times New Roman" w:hAnsi="Times New Roman" w:eastAsiaTheme="minorEastAsia"/>
                      <w:sz w:val="21"/>
                      <w:szCs w:val="21"/>
                    </w:rPr>
                    <w:t>PM</w:t>
                  </w:r>
                  <w:r>
                    <w:rPr>
                      <w:rFonts w:ascii="Times New Roman" w:hAnsi="Times New Roman" w:eastAsiaTheme="minorEastAsia"/>
                      <w:sz w:val="21"/>
                      <w:szCs w:val="21"/>
                      <w:vertAlign w:val="subscript"/>
                    </w:rPr>
                    <w:t>10</w:t>
                  </w:r>
                </w:p>
              </w:tc>
              <w:tc>
                <w:tcPr>
                  <w:tcW w:w="2409" w:type="dxa"/>
                  <w:tcBorders>
                    <w:tl2br w:val="nil"/>
                    <w:tr2bl w:val="nil"/>
                  </w:tcBorders>
                  <w:vAlign w:val="center"/>
                </w:tcPr>
                <w:p>
                  <w:pPr>
                    <w:keepNext/>
                    <w:spacing w:line="320" w:lineRule="exact"/>
                    <w:jc w:val="center"/>
                    <w:rPr>
                      <w:rFonts w:ascii="Times New Roman" w:hAnsi="Times New Roman" w:eastAsiaTheme="minorEastAsia"/>
                      <w:sz w:val="21"/>
                      <w:szCs w:val="21"/>
                    </w:rPr>
                  </w:pPr>
                  <w:r>
                    <w:rPr>
                      <w:rFonts w:ascii="Times New Roman" w:hAnsi="Times New Roman" w:eastAsiaTheme="minorEastAsia"/>
                      <w:sz w:val="21"/>
                      <w:szCs w:val="21"/>
                    </w:rPr>
                    <w:t>年平均</w:t>
                  </w:r>
                </w:p>
              </w:tc>
              <w:tc>
                <w:tcPr>
                  <w:tcW w:w="1895" w:type="dxa"/>
                  <w:tcBorders>
                    <w:tl2br w:val="nil"/>
                    <w:tr2bl w:val="nil"/>
                  </w:tcBorders>
                  <w:vAlign w:val="center"/>
                </w:tcPr>
                <w:p>
                  <w:pPr>
                    <w:keepNext/>
                    <w:spacing w:line="320" w:lineRule="exact"/>
                    <w:jc w:val="center"/>
                    <w:rPr>
                      <w:rFonts w:ascii="Times New Roman" w:hAnsi="Times New Roman" w:eastAsiaTheme="minorEastAsia"/>
                      <w:sz w:val="21"/>
                      <w:szCs w:val="21"/>
                    </w:rPr>
                  </w:pPr>
                  <w:r>
                    <w:rPr>
                      <w:rFonts w:ascii="Times New Roman" w:hAnsi="Times New Roman" w:eastAsiaTheme="minorEastAsia"/>
                      <w:sz w:val="21"/>
                      <w:szCs w:val="21"/>
                    </w:rPr>
                    <w:t>70μg/m</w:t>
                  </w:r>
                  <w:r>
                    <w:rPr>
                      <w:rFonts w:ascii="Times New Roman" w:hAnsi="Times New Roman" w:eastAsiaTheme="minorEastAsia"/>
                      <w:sz w:val="21"/>
                      <w:szCs w:val="21"/>
                      <w:vertAlign w:val="superscript"/>
                    </w:rPr>
                    <w:t>3</w:t>
                  </w:r>
                </w:p>
              </w:tc>
              <w:tc>
                <w:tcPr>
                  <w:tcW w:w="1800" w:type="dxa"/>
                  <w:vMerge w:val="continue"/>
                  <w:tcBorders>
                    <w:tl2br w:val="nil"/>
                    <w:tr2bl w:val="nil"/>
                  </w:tcBorders>
                </w:tcPr>
                <w:p>
                  <w:pPr>
                    <w:pStyle w:val="4"/>
                    <w:ind w:right="-120"/>
                    <w:rPr>
                      <w:rFonts w:ascii="Times New Roman" w:hAnsi="Times New Roman" w:eastAsia="黑体"/>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025" w:type="dxa"/>
                  <w:vMerge w:val="continue"/>
                  <w:tcBorders>
                    <w:tl2br w:val="nil"/>
                    <w:tr2bl w:val="nil"/>
                  </w:tcBorders>
                  <w:vAlign w:val="center"/>
                </w:tcPr>
                <w:p>
                  <w:pPr>
                    <w:keepNext/>
                    <w:spacing w:line="320" w:lineRule="exact"/>
                    <w:rPr>
                      <w:rFonts w:ascii="Times New Roman" w:hAnsi="Times New Roman" w:eastAsiaTheme="minorEastAsia"/>
                      <w:sz w:val="21"/>
                      <w:szCs w:val="21"/>
                    </w:rPr>
                  </w:pPr>
                </w:p>
              </w:tc>
              <w:tc>
                <w:tcPr>
                  <w:tcW w:w="2409" w:type="dxa"/>
                  <w:tcBorders>
                    <w:tl2br w:val="nil"/>
                    <w:tr2bl w:val="nil"/>
                  </w:tcBorders>
                  <w:vAlign w:val="center"/>
                </w:tcPr>
                <w:p>
                  <w:pPr>
                    <w:pStyle w:val="15"/>
                    <w:keepNext/>
                    <w:spacing w:line="320" w:lineRule="exact"/>
                    <w:jc w:val="center"/>
                    <w:outlineLvl w:val="0"/>
                    <w:rPr>
                      <w:rFonts w:ascii="Times New Roman" w:hAnsi="Times New Roman" w:eastAsiaTheme="minorEastAsia"/>
                      <w:bCs/>
                      <w:sz w:val="21"/>
                      <w:szCs w:val="21"/>
                    </w:rPr>
                  </w:pPr>
                  <w:r>
                    <w:rPr>
                      <w:rFonts w:ascii="Times New Roman" w:hAnsi="Times New Roman" w:eastAsiaTheme="minorEastAsia"/>
                      <w:kern w:val="0"/>
                      <w:sz w:val="21"/>
                      <w:szCs w:val="21"/>
                    </w:rPr>
                    <w:t>24小时平均</w:t>
                  </w:r>
                </w:p>
              </w:tc>
              <w:tc>
                <w:tcPr>
                  <w:tcW w:w="1895" w:type="dxa"/>
                  <w:tcBorders>
                    <w:tl2br w:val="nil"/>
                    <w:tr2bl w:val="nil"/>
                  </w:tcBorders>
                  <w:vAlign w:val="center"/>
                </w:tcPr>
                <w:p>
                  <w:pPr>
                    <w:pStyle w:val="15"/>
                    <w:keepNext/>
                    <w:spacing w:line="320" w:lineRule="exact"/>
                    <w:jc w:val="center"/>
                    <w:outlineLvl w:val="0"/>
                    <w:rPr>
                      <w:rFonts w:ascii="Times New Roman" w:hAnsi="Times New Roman" w:eastAsiaTheme="minorEastAsia"/>
                      <w:bCs/>
                      <w:sz w:val="21"/>
                      <w:szCs w:val="21"/>
                    </w:rPr>
                  </w:pPr>
                  <w:r>
                    <w:rPr>
                      <w:rFonts w:ascii="Times New Roman" w:hAnsi="Times New Roman" w:eastAsiaTheme="minorEastAsia"/>
                      <w:kern w:val="0"/>
                      <w:sz w:val="21"/>
                      <w:szCs w:val="21"/>
                    </w:rPr>
                    <w:t>150μg/m</w:t>
                  </w:r>
                  <w:r>
                    <w:rPr>
                      <w:rFonts w:ascii="Times New Roman" w:hAnsi="Times New Roman" w:eastAsiaTheme="minorEastAsia"/>
                      <w:kern w:val="0"/>
                      <w:sz w:val="21"/>
                      <w:szCs w:val="21"/>
                      <w:vertAlign w:val="superscript"/>
                    </w:rPr>
                    <w:t>3</w:t>
                  </w:r>
                </w:p>
              </w:tc>
              <w:tc>
                <w:tcPr>
                  <w:tcW w:w="1800" w:type="dxa"/>
                  <w:vMerge w:val="continue"/>
                  <w:tcBorders>
                    <w:tl2br w:val="nil"/>
                    <w:tr2bl w:val="nil"/>
                  </w:tcBorders>
                </w:tcPr>
                <w:p>
                  <w:pPr>
                    <w:pStyle w:val="4"/>
                    <w:ind w:right="-120"/>
                    <w:rPr>
                      <w:rFonts w:ascii="Times New Roman" w:hAnsi="Times New Roman" w:eastAsia="黑体"/>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025" w:type="dxa"/>
                  <w:vMerge w:val="restart"/>
                  <w:tcBorders>
                    <w:tl2br w:val="nil"/>
                    <w:tr2bl w:val="nil"/>
                  </w:tcBorders>
                  <w:vAlign w:val="center"/>
                </w:tcPr>
                <w:p>
                  <w:pPr>
                    <w:keepNext/>
                    <w:spacing w:line="320" w:lineRule="exact"/>
                    <w:jc w:val="center"/>
                    <w:rPr>
                      <w:rFonts w:ascii="Times New Roman" w:hAnsi="Times New Roman" w:eastAsiaTheme="minorEastAsia"/>
                      <w:sz w:val="21"/>
                      <w:szCs w:val="21"/>
                    </w:rPr>
                  </w:pPr>
                  <w:r>
                    <w:rPr>
                      <w:rFonts w:ascii="Times New Roman" w:hAnsi="Times New Roman" w:eastAsiaTheme="minorEastAsia"/>
                      <w:sz w:val="21"/>
                      <w:szCs w:val="21"/>
                    </w:rPr>
                    <w:t>PM</w:t>
                  </w:r>
                  <w:r>
                    <w:rPr>
                      <w:rFonts w:ascii="Times New Roman" w:hAnsi="Times New Roman" w:eastAsiaTheme="minorEastAsia"/>
                      <w:sz w:val="21"/>
                      <w:szCs w:val="21"/>
                      <w:vertAlign w:val="subscript"/>
                    </w:rPr>
                    <w:t>2.5</w:t>
                  </w:r>
                </w:p>
              </w:tc>
              <w:tc>
                <w:tcPr>
                  <w:tcW w:w="2409" w:type="dxa"/>
                  <w:tcBorders>
                    <w:tl2br w:val="nil"/>
                    <w:tr2bl w:val="nil"/>
                  </w:tcBorders>
                  <w:vAlign w:val="center"/>
                </w:tcPr>
                <w:p>
                  <w:pPr>
                    <w:keepNext/>
                    <w:spacing w:line="320" w:lineRule="exact"/>
                    <w:jc w:val="center"/>
                    <w:rPr>
                      <w:rFonts w:ascii="Times New Roman" w:hAnsi="Times New Roman" w:eastAsiaTheme="minorEastAsia"/>
                      <w:sz w:val="21"/>
                      <w:szCs w:val="21"/>
                    </w:rPr>
                  </w:pPr>
                  <w:r>
                    <w:rPr>
                      <w:rFonts w:ascii="Times New Roman" w:hAnsi="Times New Roman" w:eastAsiaTheme="minorEastAsia"/>
                      <w:sz w:val="21"/>
                      <w:szCs w:val="21"/>
                    </w:rPr>
                    <w:t>年平均</w:t>
                  </w:r>
                </w:p>
              </w:tc>
              <w:tc>
                <w:tcPr>
                  <w:tcW w:w="1895" w:type="dxa"/>
                  <w:tcBorders>
                    <w:tl2br w:val="nil"/>
                    <w:tr2bl w:val="nil"/>
                  </w:tcBorders>
                  <w:vAlign w:val="center"/>
                </w:tcPr>
                <w:p>
                  <w:pPr>
                    <w:keepNext/>
                    <w:spacing w:line="320" w:lineRule="exact"/>
                    <w:jc w:val="center"/>
                    <w:rPr>
                      <w:rFonts w:ascii="Times New Roman" w:hAnsi="Times New Roman" w:eastAsiaTheme="minorEastAsia"/>
                      <w:sz w:val="21"/>
                      <w:szCs w:val="21"/>
                    </w:rPr>
                  </w:pPr>
                  <w:r>
                    <w:rPr>
                      <w:rFonts w:ascii="Times New Roman" w:hAnsi="Times New Roman" w:eastAsiaTheme="minorEastAsia"/>
                      <w:sz w:val="21"/>
                      <w:szCs w:val="21"/>
                    </w:rPr>
                    <w:t>35μg/m</w:t>
                  </w:r>
                  <w:r>
                    <w:rPr>
                      <w:rFonts w:ascii="Times New Roman" w:hAnsi="Times New Roman" w:eastAsiaTheme="minorEastAsia"/>
                      <w:sz w:val="21"/>
                      <w:szCs w:val="21"/>
                      <w:vertAlign w:val="superscript"/>
                    </w:rPr>
                    <w:t>3</w:t>
                  </w:r>
                </w:p>
              </w:tc>
              <w:tc>
                <w:tcPr>
                  <w:tcW w:w="1800" w:type="dxa"/>
                  <w:vMerge w:val="continue"/>
                  <w:tcBorders>
                    <w:tl2br w:val="nil"/>
                    <w:tr2bl w:val="nil"/>
                  </w:tcBorders>
                </w:tcPr>
                <w:p>
                  <w:pPr>
                    <w:pStyle w:val="4"/>
                    <w:ind w:right="-120"/>
                    <w:rPr>
                      <w:rFonts w:ascii="Times New Roman" w:hAnsi="Times New Roman" w:eastAsia="黑体"/>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025" w:type="dxa"/>
                  <w:vMerge w:val="continue"/>
                  <w:tcBorders>
                    <w:tl2br w:val="nil"/>
                    <w:tr2bl w:val="nil"/>
                  </w:tcBorders>
                  <w:vAlign w:val="center"/>
                </w:tcPr>
                <w:p>
                  <w:pPr>
                    <w:keepNext/>
                    <w:spacing w:line="320" w:lineRule="exact"/>
                    <w:rPr>
                      <w:rFonts w:ascii="Times New Roman" w:hAnsi="Times New Roman" w:eastAsiaTheme="minorEastAsia"/>
                      <w:sz w:val="21"/>
                      <w:szCs w:val="21"/>
                    </w:rPr>
                  </w:pPr>
                </w:p>
              </w:tc>
              <w:tc>
                <w:tcPr>
                  <w:tcW w:w="2409" w:type="dxa"/>
                  <w:tcBorders>
                    <w:tl2br w:val="nil"/>
                    <w:tr2bl w:val="nil"/>
                  </w:tcBorders>
                  <w:vAlign w:val="center"/>
                </w:tcPr>
                <w:p>
                  <w:pPr>
                    <w:pStyle w:val="15"/>
                    <w:keepNext/>
                    <w:spacing w:line="320" w:lineRule="exact"/>
                    <w:jc w:val="center"/>
                    <w:outlineLvl w:val="0"/>
                    <w:rPr>
                      <w:rFonts w:ascii="Times New Roman" w:hAnsi="Times New Roman" w:eastAsiaTheme="minorEastAsia"/>
                      <w:bCs/>
                      <w:sz w:val="21"/>
                      <w:szCs w:val="21"/>
                    </w:rPr>
                  </w:pPr>
                  <w:r>
                    <w:rPr>
                      <w:rFonts w:ascii="Times New Roman" w:hAnsi="Times New Roman" w:eastAsiaTheme="minorEastAsia"/>
                      <w:kern w:val="0"/>
                      <w:sz w:val="21"/>
                      <w:szCs w:val="21"/>
                    </w:rPr>
                    <w:t>24小时平均</w:t>
                  </w:r>
                </w:p>
              </w:tc>
              <w:tc>
                <w:tcPr>
                  <w:tcW w:w="1895" w:type="dxa"/>
                  <w:tcBorders>
                    <w:tl2br w:val="nil"/>
                    <w:tr2bl w:val="nil"/>
                  </w:tcBorders>
                  <w:vAlign w:val="center"/>
                </w:tcPr>
                <w:p>
                  <w:pPr>
                    <w:pStyle w:val="15"/>
                    <w:keepNext/>
                    <w:spacing w:line="320" w:lineRule="exact"/>
                    <w:jc w:val="center"/>
                    <w:outlineLvl w:val="0"/>
                    <w:rPr>
                      <w:rFonts w:ascii="Times New Roman" w:hAnsi="Times New Roman" w:eastAsiaTheme="minorEastAsia"/>
                      <w:bCs/>
                      <w:sz w:val="21"/>
                      <w:szCs w:val="21"/>
                    </w:rPr>
                  </w:pPr>
                  <w:r>
                    <w:rPr>
                      <w:rFonts w:ascii="Times New Roman" w:hAnsi="Times New Roman" w:eastAsiaTheme="minorEastAsia"/>
                      <w:kern w:val="0"/>
                      <w:sz w:val="21"/>
                      <w:szCs w:val="21"/>
                    </w:rPr>
                    <w:t>75μg/m</w:t>
                  </w:r>
                  <w:r>
                    <w:rPr>
                      <w:rFonts w:ascii="Times New Roman" w:hAnsi="Times New Roman" w:eastAsiaTheme="minorEastAsia"/>
                      <w:kern w:val="0"/>
                      <w:sz w:val="21"/>
                      <w:szCs w:val="21"/>
                      <w:vertAlign w:val="superscript"/>
                    </w:rPr>
                    <w:t>3</w:t>
                  </w:r>
                </w:p>
              </w:tc>
              <w:tc>
                <w:tcPr>
                  <w:tcW w:w="1800" w:type="dxa"/>
                  <w:vMerge w:val="continue"/>
                  <w:tcBorders>
                    <w:tl2br w:val="nil"/>
                    <w:tr2bl w:val="nil"/>
                  </w:tcBorders>
                </w:tcPr>
                <w:p>
                  <w:pPr>
                    <w:pStyle w:val="4"/>
                    <w:ind w:right="-120"/>
                    <w:rPr>
                      <w:rFonts w:ascii="Times New Roman" w:hAnsi="Times New Roman" w:eastAsia="黑体"/>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c>
                <w:tcPr>
                  <w:tcW w:w="2025" w:type="dxa"/>
                  <w:vMerge w:val="restart"/>
                  <w:tcBorders>
                    <w:tl2br w:val="nil"/>
                    <w:tr2bl w:val="nil"/>
                  </w:tcBorders>
                  <w:vAlign w:val="center"/>
                </w:tcPr>
                <w:p>
                  <w:pPr>
                    <w:keepNext/>
                    <w:spacing w:line="320" w:lineRule="exact"/>
                    <w:jc w:val="center"/>
                    <w:rPr>
                      <w:rFonts w:ascii="Times New Roman" w:hAnsi="Times New Roman" w:eastAsiaTheme="minorEastAsia"/>
                      <w:sz w:val="21"/>
                      <w:szCs w:val="21"/>
                    </w:rPr>
                  </w:pPr>
                  <w:r>
                    <w:rPr>
                      <w:rFonts w:ascii="Times New Roman" w:hAnsi="Times New Roman" w:eastAsiaTheme="minorEastAsia"/>
                      <w:sz w:val="21"/>
                      <w:szCs w:val="21"/>
                    </w:rPr>
                    <w:t>一氧化碳（CO）</w:t>
                  </w:r>
                </w:p>
              </w:tc>
              <w:tc>
                <w:tcPr>
                  <w:tcW w:w="2409" w:type="dxa"/>
                  <w:tcBorders>
                    <w:tl2br w:val="nil"/>
                    <w:tr2bl w:val="nil"/>
                  </w:tcBorders>
                  <w:vAlign w:val="center"/>
                </w:tcPr>
                <w:p>
                  <w:pPr>
                    <w:keepNext/>
                    <w:spacing w:line="320" w:lineRule="exact"/>
                    <w:jc w:val="center"/>
                    <w:rPr>
                      <w:rFonts w:ascii="Times New Roman" w:hAnsi="Times New Roman" w:eastAsiaTheme="minorEastAsia"/>
                      <w:sz w:val="21"/>
                      <w:szCs w:val="21"/>
                    </w:rPr>
                  </w:pPr>
                  <w:r>
                    <w:rPr>
                      <w:rFonts w:ascii="Times New Roman" w:hAnsi="Times New Roman" w:eastAsiaTheme="minorEastAsia"/>
                      <w:sz w:val="21"/>
                      <w:szCs w:val="21"/>
                    </w:rPr>
                    <w:t>24小时平均</w:t>
                  </w:r>
                </w:p>
              </w:tc>
              <w:tc>
                <w:tcPr>
                  <w:tcW w:w="1895" w:type="dxa"/>
                  <w:tcBorders>
                    <w:tl2br w:val="nil"/>
                    <w:tr2bl w:val="nil"/>
                  </w:tcBorders>
                  <w:vAlign w:val="center"/>
                </w:tcPr>
                <w:p>
                  <w:pPr>
                    <w:keepNext/>
                    <w:spacing w:line="320" w:lineRule="exact"/>
                    <w:jc w:val="center"/>
                    <w:rPr>
                      <w:rFonts w:ascii="Times New Roman" w:hAnsi="Times New Roman" w:eastAsiaTheme="minorEastAsia"/>
                      <w:sz w:val="21"/>
                      <w:szCs w:val="21"/>
                    </w:rPr>
                  </w:pPr>
                  <w:r>
                    <w:rPr>
                      <w:rFonts w:ascii="Times New Roman" w:hAnsi="Times New Roman" w:eastAsiaTheme="minorEastAsia"/>
                      <w:sz w:val="21"/>
                      <w:szCs w:val="21"/>
                    </w:rPr>
                    <w:t>4mg/m</w:t>
                  </w:r>
                  <w:r>
                    <w:rPr>
                      <w:rFonts w:ascii="Times New Roman" w:hAnsi="Times New Roman" w:eastAsiaTheme="minorEastAsia"/>
                      <w:sz w:val="21"/>
                      <w:szCs w:val="21"/>
                      <w:vertAlign w:val="superscript"/>
                    </w:rPr>
                    <w:t>3</w:t>
                  </w:r>
                </w:p>
              </w:tc>
              <w:tc>
                <w:tcPr>
                  <w:tcW w:w="1800" w:type="dxa"/>
                  <w:vMerge w:val="continue"/>
                  <w:tcBorders>
                    <w:tl2br w:val="nil"/>
                    <w:tr2bl w:val="nil"/>
                  </w:tcBorders>
                </w:tcPr>
                <w:p>
                  <w:pPr>
                    <w:pStyle w:val="4"/>
                    <w:ind w:right="-120"/>
                    <w:rPr>
                      <w:rFonts w:ascii="Times New Roman" w:hAnsi="Times New Roman" w:eastAsia="黑体"/>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025" w:type="dxa"/>
                  <w:vMerge w:val="continue"/>
                  <w:tcBorders>
                    <w:tl2br w:val="nil"/>
                    <w:tr2bl w:val="nil"/>
                  </w:tcBorders>
                  <w:vAlign w:val="center"/>
                </w:tcPr>
                <w:p>
                  <w:pPr>
                    <w:keepNext/>
                    <w:spacing w:line="320" w:lineRule="exact"/>
                    <w:rPr>
                      <w:rFonts w:ascii="Times New Roman" w:hAnsi="Times New Roman" w:eastAsiaTheme="minorEastAsia"/>
                      <w:sz w:val="21"/>
                      <w:szCs w:val="21"/>
                    </w:rPr>
                  </w:pPr>
                </w:p>
              </w:tc>
              <w:tc>
                <w:tcPr>
                  <w:tcW w:w="2409" w:type="dxa"/>
                  <w:tcBorders>
                    <w:tl2br w:val="nil"/>
                    <w:tr2bl w:val="nil"/>
                  </w:tcBorders>
                  <w:vAlign w:val="center"/>
                </w:tcPr>
                <w:p>
                  <w:pPr>
                    <w:pStyle w:val="15"/>
                    <w:keepNext/>
                    <w:spacing w:line="320" w:lineRule="exact"/>
                    <w:jc w:val="center"/>
                    <w:outlineLvl w:val="0"/>
                    <w:rPr>
                      <w:rFonts w:ascii="Times New Roman" w:hAnsi="Times New Roman" w:eastAsiaTheme="minorEastAsia"/>
                      <w:bCs/>
                      <w:sz w:val="21"/>
                      <w:szCs w:val="21"/>
                    </w:rPr>
                  </w:pPr>
                  <w:r>
                    <w:rPr>
                      <w:rFonts w:ascii="Times New Roman" w:hAnsi="Times New Roman" w:eastAsiaTheme="minorEastAsia"/>
                      <w:kern w:val="0"/>
                      <w:sz w:val="21"/>
                      <w:szCs w:val="21"/>
                    </w:rPr>
                    <w:t>1小时平均</w:t>
                  </w:r>
                </w:p>
              </w:tc>
              <w:tc>
                <w:tcPr>
                  <w:tcW w:w="1895" w:type="dxa"/>
                  <w:tcBorders>
                    <w:tl2br w:val="nil"/>
                    <w:tr2bl w:val="nil"/>
                  </w:tcBorders>
                  <w:vAlign w:val="center"/>
                </w:tcPr>
                <w:p>
                  <w:pPr>
                    <w:pStyle w:val="15"/>
                    <w:keepNext/>
                    <w:spacing w:line="320" w:lineRule="exact"/>
                    <w:jc w:val="center"/>
                    <w:outlineLvl w:val="0"/>
                    <w:rPr>
                      <w:rFonts w:ascii="Times New Roman" w:hAnsi="Times New Roman" w:eastAsiaTheme="minorEastAsia"/>
                      <w:bCs/>
                      <w:sz w:val="21"/>
                      <w:szCs w:val="21"/>
                    </w:rPr>
                  </w:pPr>
                  <w:r>
                    <w:rPr>
                      <w:rFonts w:ascii="Times New Roman" w:hAnsi="Times New Roman" w:eastAsiaTheme="minorEastAsia"/>
                      <w:kern w:val="0"/>
                      <w:sz w:val="21"/>
                      <w:szCs w:val="21"/>
                    </w:rPr>
                    <w:t>10mg/m</w:t>
                  </w:r>
                  <w:r>
                    <w:rPr>
                      <w:rFonts w:ascii="Times New Roman" w:hAnsi="Times New Roman" w:eastAsiaTheme="minorEastAsia"/>
                      <w:kern w:val="0"/>
                      <w:sz w:val="21"/>
                      <w:szCs w:val="21"/>
                      <w:vertAlign w:val="superscript"/>
                    </w:rPr>
                    <w:t>3</w:t>
                  </w:r>
                </w:p>
              </w:tc>
              <w:tc>
                <w:tcPr>
                  <w:tcW w:w="1800" w:type="dxa"/>
                  <w:vMerge w:val="continue"/>
                  <w:tcBorders>
                    <w:tl2br w:val="nil"/>
                    <w:tr2bl w:val="nil"/>
                  </w:tcBorders>
                </w:tcPr>
                <w:p>
                  <w:pPr>
                    <w:pStyle w:val="4"/>
                    <w:ind w:right="-120"/>
                    <w:rPr>
                      <w:rFonts w:ascii="Times New Roman" w:hAnsi="Times New Roman" w:eastAsia="黑体"/>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025" w:type="dxa"/>
                  <w:vMerge w:val="restart"/>
                  <w:tcBorders>
                    <w:tl2br w:val="nil"/>
                    <w:tr2bl w:val="nil"/>
                  </w:tcBorders>
                  <w:vAlign w:val="center"/>
                </w:tcPr>
                <w:p>
                  <w:pPr>
                    <w:spacing w:line="320" w:lineRule="exact"/>
                    <w:jc w:val="center"/>
                    <w:rPr>
                      <w:rFonts w:ascii="Times New Roman" w:hAnsi="Times New Roman" w:eastAsiaTheme="minorEastAsia"/>
                      <w:sz w:val="21"/>
                      <w:szCs w:val="21"/>
                    </w:rPr>
                  </w:pPr>
                  <w:r>
                    <w:rPr>
                      <w:rFonts w:ascii="Times New Roman" w:hAnsi="Times New Roman" w:eastAsiaTheme="minorEastAsia"/>
                      <w:sz w:val="21"/>
                      <w:szCs w:val="21"/>
                    </w:rPr>
                    <w:t>臭氧（O</w:t>
                  </w:r>
                  <w:r>
                    <w:rPr>
                      <w:rFonts w:ascii="Times New Roman" w:hAnsi="Times New Roman" w:eastAsiaTheme="minorEastAsia"/>
                      <w:sz w:val="21"/>
                      <w:szCs w:val="21"/>
                      <w:vertAlign w:val="subscript"/>
                    </w:rPr>
                    <w:t>3</w:t>
                  </w:r>
                  <w:r>
                    <w:rPr>
                      <w:rFonts w:ascii="Times New Roman" w:hAnsi="Times New Roman" w:eastAsiaTheme="minorEastAsia"/>
                      <w:sz w:val="21"/>
                      <w:szCs w:val="21"/>
                    </w:rPr>
                    <w:t>）</w:t>
                  </w:r>
                </w:p>
              </w:tc>
              <w:tc>
                <w:tcPr>
                  <w:tcW w:w="2409" w:type="dxa"/>
                  <w:tcBorders>
                    <w:tl2br w:val="nil"/>
                    <w:tr2bl w:val="nil"/>
                  </w:tcBorders>
                  <w:vAlign w:val="center"/>
                </w:tcPr>
                <w:p>
                  <w:pPr>
                    <w:spacing w:line="320" w:lineRule="exact"/>
                    <w:jc w:val="center"/>
                    <w:rPr>
                      <w:rFonts w:ascii="Times New Roman" w:hAnsi="Times New Roman" w:eastAsiaTheme="minorEastAsia"/>
                      <w:sz w:val="21"/>
                      <w:szCs w:val="21"/>
                    </w:rPr>
                  </w:pPr>
                  <w:r>
                    <w:rPr>
                      <w:rFonts w:ascii="Times New Roman" w:hAnsi="Times New Roman" w:eastAsiaTheme="minorEastAsia"/>
                      <w:sz w:val="21"/>
                      <w:szCs w:val="21"/>
                    </w:rPr>
                    <w:t>日最大8小时平均</w:t>
                  </w:r>
                </w:p>
              </w:tc>
              <w:tc>
                <w:tcPr>
                  <w:tcW w:w="1895" w:type="dxa"/>
                  <w:tcBorders>
                    <w:tl2br w:val="nil"/>
                    <w:tr2bl w:val="nil"/>
                  </w:tcBorders>
                  <w:vAlign w:val="center"/>
                </w:tcPr>
                <w:p>
                  <w:pPr>
                    <w:spacing w:line="320" w:lineRule="exact"/>
                    <w:jc w:val="center"/>
                    <w:rPr>
                      <w:rFonts w:ascii="Times New Roman" w:hAnsi="Times New Roman" w:eastAsiaTheme="minorEastAsia"/>
                      <w:sz w:val="21"/>
                      <w:szCs w:val="21"/>
                    </w:rPr>
                  </w:pPr>
                  <w:r>
                    <w:rPr>
                      <w:rFonts w:ascii="Times New Roman" w:hAnsi="Times New Roman" w:eastAsiaTheme="minorEastAsia"/>
                      <w:sz w:val="21"/>
                      <w:szCs w:val="21"/>
                    </w:rPr>
                    <w:t>160μg/m</w:t>
                  </w:r>
                  <w:r>
                    <w:rPr>
                      <w:rFonts w:ascii="Times New Roman" w:hAnsi="Times New Roman" w:eastAsiaTheme="minorEastAsia"/>
                      <w:sz w:val="21"/>
                      <w:szCs w:val="21"/>
                      <w:vertAlign w:val="superscript"/>
                    </w:rPr>
                    <w:t>3</w:t>
                  </w:r>
                </w:p>
              </w:tc>
              <w:tc>
                <w:tcPr>
                  <w:tcW w:w="1800" w:type="dxa"/>
                  <w:vMerge w:val="continue"/>
                  <w:tcBorders>
                    <w:tl2br w:val="nil"/>
                    <w:tr2bl w:val="nil"/>
                  </w:tcBorders>
                </w:tcPr>
                <w:p>
                  <w:pPr>
                    <w:pStyle w:val="4"/>
                    <w:ind w:right="-120"/>
                    <w:rPr>
                      <w:rFonts w:ascii="Times New Roman" w:hAnsi="Times New Roman" w:eastAsia="黑体"/>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025" w:type="dxa"/>
                  <w:vMerge w:val="continue"/>
                  <w:tcBorders>
                    <w:tl2br w:val="nil"/>
                    <w:tr2bl w:val="nil"/>
                  </w:tcBorders>
                  <w:vAlign w:val="center"/>
                </w:tcPr>
                <w:p>
                  <w:pPr>
                    <w:spacing w:line="320" w:lineRule="exact"/>
                    <w:rPr>
                      <w:rFonts w:ascii="Times New Roman" w:hAnsi="Times New Roman" w:eastAsiaTheme="minorEastAsia"/>
                      <w:sz w:val="21"/>
                      <w:szCs w:val="21"/>
                    </w:rPr>
                  </w:pPr>
                </w:p>
              </w:tc>
              <w:tc>
                <w:tcPr>
                  <w:tcW w:w="2409" w:type="dxa"/>
                  <w:tcBorders>
                    <w:tl2br w:val="nil"/>
                    <w:tr2bl w:val="nil"/>
                  </w:tcBorders>
                  <w:vAlign w:val="center"/>
                </w:tcPr>
                <w:p>
                  <w:pPr>
                    <w:pStyle w:val="15"/>
                    <w:spacing w:line="320" w:lineRule="exact"/>
                    <w:jc w:val="center"/>
                    <w:outlineLvl w:val="0"/>
                    <w:rPr>
                      <w:rFonts w:ascii="Times New Roman" w:hAnsi="Times New Roman" w:eastAsiaTheme="minorEastAsia"/>
                      <w:kern w:val="0"/>
                      <w:sz w:val="21"/>
                      <w:szCs w:val="21"/>
                    </w:rPr>
                  </w:pPr>
                  <w:r>
                    <w:rPr>
                      <w:rFonts w:ascii="Times New Roman" w:hAnsi="Times New Roman" w:eastAsiaTheme="minorEastAsia"/>
                      <w:kern w:val="0"/>
                      <w:sz w:val="21"/>
                      <w:szCs w:val="21"/>
                    </w:rPr>
                    <w:t>1小时平均</w:t>
                  </w:r>
                </w:p>
              </w:tc>
              <w:tc>
                <w:tcPr>
                  <w:tcW w:w="1895" w:type="dxa"/>
                  <w:tcBorders>
                    <w:tl2br w:val="nil"/>
                    <w:tr2bl w:val="nil"/>
                  </w:tcBorders>
                  <w:vAlign w:val="center"/>
                </w:tcPr>
                <w:p>
                  <w:pPr>
                    <w:pStyle w:val="15"/>
                    <w:spacing w:line="320" w:lineRule="exact"/>
                    <w:jc w:val="center"/>
                    <w:outlineLvl w:val="0"/>
                    <w:rPr>
                      <w:rFonts w:ascii="Times New Roman" w:hAnsi="Times New Roman" w:eastAsiaTheme="minorEastAsia"/>
                      <w:kern w:val="0"/>
                      <w:sz w:val="21"/>
                      <w:szCs w:val="21"/>
                    </w:rPr>
                  </w:pPr>
                  <w:r>
                    <w:rPr>
                      <w:rFonts w:ascii="Times New Roman" w:hAnsi="Times New Roman" w:eastAsiaTheme="minorEastAsia"/>
                      <w:kern w:val="0"/>
                      <w:sz w:val="21"/>
                      <w:szCs w:val="21"/>
                    </w:rPr>
                    <w:t>200μg/m</w:t>
                  </w:r>
                  <w:r>
                    <w:rPr>
                      <w:rFonts w:ascii="Times New Roman" w:hAnsi="Times New Roman" w:eastAsiaTheme="minorEastAsia"/>
                      <w:kern w:val="0"/>
                      <w:sz w:val="21"/>
                      <w:szCs w:val="21"/>
                      <w:vertAlign w:val="superscript"/>
                    </w:rPr>
                    <w:t>3</w:t>
                  </w:r>
                </w:p>
              </w:tc>
              <w:tc>
                <w:tcPr>
                  <w:tcW w:w="1800" w:type="dxa"/>
                  <w:vMerge w:val="continue"/>
                  <w:tcBorders>
                    <w:tl2br w:val="nil"/>
                    <w:tr2bl w:val="nil"/>
                  </w:tcBorders>
                </w:tcPr>
                <w:p>
                  <w:pPr>
                    <w:pStyle w:val="4"/>
                    <w:ind w:right="-120"/>
                    <w:rPr>
                      <w:rFonts w:ascii="Times New Roman" w:hAnsi="Times New Roman" w:eastAsia="黑体"/>
                      <w:sz w:val="21"/>
                      <w:szCs w:val="21"/>
                    </w:rPr>
                  </w:pPr>
                </w:p>
              </w:tc>
            </w:tr>
          </w:tbl>
          <w:p>
            <w:pPr>
              <w:spacing w:line="430" w:lineRule="exact"/>
              <w:ind w:firstLine="480" w:firstLineChars="200"/>
              <w:rPr>
                <w:rFonts w:ascii="Times New Roman" w:hAnsi="Times New Roman"/>
                <w:kern w:val="0"/>
                <w:szCs w:val="20"/>
              </w:rPr>
            </w:pPr>
            <w:r>
              <w:rPr>
                <w:rFonts w:hint="eastAsia" w:ascii="Times New Roman" w:hAnsi="Times New Roman"/>
                <w:kern w:val="0"/>
                <w:szCs w:val="20"/>
              </w:rPr>
              <w:t>②特征污染物</w:t>
            </w:r>
          </w:p>
          <w:p>
            <w:pPr>
              <w:spacing w:line="430" w:lineRule="exact"/>
              <w:ind w:firstLine="480" w:firstLineChars="200"/>
              <w:rPr>
                <w:rFonts w:ascii="Times New Roman" w:hAnsi="Times New Roman"/>
                <w:kern w:val="0"/>
                <w:szCs w:val="20"/>
              </w:rPr>
            </w:pPr>
            <w:r>
              <w:rPr>
                <w:rFonts w:hint="eastAsia" w:ascii="Times New Roman" w:hAnsi="Times New Roman"/>
                <w:kern w:val="0"/>
                <w:szCs w:val="20"/>
              </w:rPr>
              <w:t>项目特征污染物</w:t>
            </w:r>
            <w:r>
              <w:rPr>
                <w:rFonts w:ascii="Times New Roman" w:hAnsi="Times New Roman"/>
                <w:kern w:val="0"/>
                <w:szCs w:val="20"/>
              </w:rPr>
              <w:t>TSP执行《环境空气质量标准》(GB3095-2012)表</w:t>
            </w:r>
            <w:r>
              <w:rPr>
                <w:rFonts w:hint="eastAsia" w:ascii="Times New Roman" w:hAnsi="Times New Roman"/>
                <w:kern w:val="0"/>
                <w:szCs w:val="20"/>
              </w:rPr>
              <w:t>2</w:t>
            </w:r>
            <w:r>
              <w:rPr>
                <w:rFonts w:ascii="Times New Roman" w:hAnsi="Times New Roman"/>
                <w:kern w:val="0"/>
                <w:szCs w:val="20"/>
              </w:rPr>
              <w:t>二级标准。</w:t>
            </w:r>
          </w:p>
          <w:p>
            <w:pPr>
              <w:pStyle w:val="4"/>
              <w:spacing w:after="60" w:line="260" w:lineRule="auto"/>
              <w:ind w:right="-120"/>
              <w:jc w:val="center"/>
              <w:rPr>
                <w:rFonts w:ascii="Times New Roman" w:hAnsi="Times New Roman" w:eastAsia="黑体"/>
                <w:sz w:val="24"/>
                <w:szCs w:val="24"/>
              </w:rPr>
            </w:pPr>
            <w:r>
              <w:rPr>
                <w:rFonts w:ascii="Times New Roman" w:hAnsi="Times New Roman" w:eastAsia="黑体"/>
                <w:sz w:val="24"/>
                <w:szCs w:val="24"/>
              </w:rPr>
              <w:t>表3.1-</w:t>
            </w:r>
            <w:r>
              <w:rPr>
                <w:rFonts w:hint="eastAsia" w:ascii="Times New Roman" w:hAnsi="Times New Roman" w:eastAsia="黑体"/>
                <w:sz w:val="24"/>
                <w:szCs w:val="24"/>
              </w:rPr>
              <w:t>2</w:t>
            </w:r>
            <w:r>
              <w:rPr>
                <w:rFonts w:ascii="Times New Roman" w:hAnsi="Times New Roman" w:eastAsia="黑体"/>
                <w:sz w:val="24"/>
                <w:szCs w:val="24"/>
              </w:rPr>
              <w:t xml:space="preserve">  项目环境空气质量标准（摘录）</w:t>
            </w:r>
          </w:p>
          <w:tbl>
            <w:tblPr>
              <w:tblStyle w:val="25"/>
              <w:tblW w:w="4999"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0" w:type="dxa"/>
                <w:bottom w:w="0" w:type="dxa"/>
                <w:right w:w="0" w:type="dxa"/>
              </w:tblCellMar>
            </w:tblPr>
            <w:tblGrid>
              <w:gridCol w:w="1338"/>
              <w:gridCol w:w="1345"/>
              <w:gridCol w:w="1076"/>
              <w:gridCol w:w="4371"/>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823" w:type="pct"/>
                  <w:vAlign w:val="center"/>
                </w:tcPr>
                <w:p>
                  <w:pPr>
                    <w:keepNext/>
                    <w:autoSpaceDE w:val="0"/>
                    <w:autoSpaceDN w:val="0"/>
                    <w:adjustRightInd w:val="0"/>
                    <w:jc w:val="center"/>
                    <w:rPr>
                      <w:rFonts w:ascii="Times New Roman" w:hAnsi="Times New Roman"/>
                      <w:sz w:val="21"/>
                      <w:szCs w:val="21"/>
                    </w:rPr>
                  </w:pPr>
                  <w:r>
                    <w:rPr>
                      <w:rFonts w:ascii="Times New Roman" w:hAnsi="Times New Roman"/>
                      <w:sz w:val="21"/>
                      <w:szCs w:val="21"/>
                    </w:rPr>
                    <w:t>污染物</w:t>
                  </w:r>
                  <w:r>
                    <w:rPr>
                      <w:rFonts w:hint="eastAsia" w:ascii="Times New Roman" w:hAnsi="Times New Roman"/>
                      <w:sz w:val="21"/>
                      <w:szCs w:val="21"/>
                    </w:rPr>
                    <w:t>项目</w:t>
                  </w:r>
                </w:p>
              </w:tc>
              <w:tc>
                <w:tcPr>
                  <w:tcW w:w="827" w:type="pct"/>
                  <w:vAlign w:val="center"/>
                </w:tcPr>
                <w:p>
                  <w:pPr>
                    <w:keepNext/>
                    <w:autoSpaceDE w:val="0"/>
                    <w:autoSpaceDN w:val="0"/>
                    <w:adjustRightInd w:val="0"/>
                    <w:jc w:val="center"/>
                    <w:rPr>
                      <w:rFonts w:ascii="Times New Roman" w:hAnsi="Times New Roman"/>
                      <w:sz w:val="21"/>
                      <w:szCs w:val="21"/>
                    </w:rPr>
                  </w:pPr>
                  <w:r>
                    <w:rPr>
                      <w:rFonts w:hint="eastAsia" w:ascii="Times New Roman" w:hAnsi="Times New Roman"/>
                      <w:sz w:val="21"/>
                      <w:szCs w:val="21"/>
                    </w:rPr>
                    <w:t>平均时间</w:t>
                  </w:r>
                </w:p>
              </w:tc>
              <w:tc>
                <w:tcPr>
                  <w:tcW w:w="662" w:type="pct"/>
                  <w:vAlign w:val="center"/>
                </w:tcPr>
                <w:p>
                  <w:pPr>
                    <w:keepNext/>
                    <w:autoSpaceDE w:val="0"/>
                    <w:autoSpaceDN w:val="0"/>
                    <w:adjustRightInd w:val="0"/>
                    <w:jc w:val="center"/>
                    <w:rPr>
                      <w:rFonts w:ascii="Times New Roman" w:hAnsi="Times New Roman"/>
                      <w:sz w:val="21"/>
                      <w:szCs w:val="21"/>
                    </w:rPr>
                  </w:pPr>
                  <w:r>
                    <w:rPr>
                      <w:rFonts w:ascii="Times New Roman" w:hAnsi="Times New Roman"/>
                      <w:sz w:val="21"/>
                      <w:szCs w:val="21"/>
                    </w:rPr>
                    <w:t>浓度</w:t>
                  </w:r>
                  <w:r>
                    <w:rPr>
                      <w:rFonts w:hint="eastAsia" w:ascii="Times New Roman" w:hAnsi="Times New Roman"/>
                      <w:sz w:val="21"/>
                      <w:szCs w:val="21"/>
                    </w:rPr>
                    <w:t>限值</w:t>
                  </w:r>
                </w:p>
              </w:tc>
              <w:tc>
                <w:tcPr>
                  <w:tcW w:w="2689" w:type="pct"/>
                  <w:vAlign w:val="center"/>
                </w:tcPr>
                <w:p>
                  <w:pPr>
                    <w:keepNext/>
                    <w:autoSpaceDE w:val="0"/>
                    <w:autoSpaceDN w:val="0"/>
                    <w:adjustRightInd w:val="0"/>
                    <w:jc w:val="center"/>
                    <w:rPr>
                      <w:rFonts w:ascii="Times New Roman" w:hAnsi="Times New Roman"/>
                      <w:sz w:val="21"/>
                      <w:szCs w:val="21"/>
                    </w:rPr>
                  </w:pPr>
                  <w:r>
                    <w:rPr>
                      <w:rFonts w:ascii="Times New Roman" w:hAnsi="Times New Roman"/>
                      <w:sz w:val="21"/>
                      <w:szCs w:val="21"/>
                    </w:rPr>
                    <w:t>标准来源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822" w:type="pct"/>
                  <w:vMerge w:val="restart"/>
                  <w:vAlign w:val="center"/>
                </w:tcPr>
                <w:p>
                  <w:pPr>
                    <w:autoSpaceDE w:val="0"/>
                    <w:autoSpaceDN w:val="0"/>
                    <w:adjustRightInd w:val="0"/>
                    <w:jc w:val="center"/>
                    <w:rPr>
                      <w:rFonts w:ascii="Times New Roman" w:hAnsi="Times New Roman"/>
                      <w:sz w:val="21"/>
                      <w:szCs w:val="21"/>
                    </w:rPr>
                  </w:pPr>
                  <w:r>
                    <w:rPr>
                      <w:rFonts w:hint="eastAsia" w:ascii="Times New Roman" w:hAnsi="Times New Roman"/>
                      <w:sz w:val="21"/>
                      <w:szCs w:val="21"/>
                    </w:rPr>
                    <w:t>TSP</w:t>
                  </w:r>
                </w:p>
              </w:tc>
              <w:tc>
                <w:tcPr>
                  <w:tcW w:w="826" w:type="pct"/>
                  <w:vAlign w:val="center"/>
                </w:tcPr>
                <w:p>
                  <w:pPr>
                    <w:autoSpaceDE w:val="0"/>
                    <w:autoSpaceDN w:val="0"/>
                    <w:adjustRightInd w:val="0"/>
                    <w:jc w:val="center"/>
                    <w:rPr>
                      <w:rFonts w:ascii="Times New Roman" w:hAnsi="Times New Roman"/>
                      <w:sz w:val="21"/>
                      <w:szCs w:val="21"/>
                    </w:rPr>
                  </w:pPr>
                  <w:r>
                    <w:rPr>
                      <w:rFonts w:hint="eastAsia" w:ascii="Times New Roman" w:hAnsi="Times New Roman"/>
                      <w:sz w:val="21"/>
                      <w:szCs w:val="21"/>
                    </w:rPr>
                    <w:t>年平均</w:t>
                  </w:r>
                </w:p>
              </w:tc>
              <w:tc>
                <w:tcPr>
                  <w:tcW w:w="662" w:type="pct"/>
                  <w:vAlign w:val="center"/>
                </w:tcPr>
                <w:p>
                  <w:pPr>
                    <w:autoSpaceDE w:val="0"/>
                    <w:autoSpaceDN w:val="0"/>
                    <w:adjustRightInd w:val="0"/>
                    <w:jc w:val="center"/>
                    <w:rPr>
                      <w:rFonts w:ascii="Times New Roman" w:hAnsi="Times New Roman"/>
                      <w:sz w:val="21"/>
                      <w:szCs w:val="21"/>
                    </w:rPr>
                  </w:pPr>
                  <w:r>
                    <w:rPr>
                      <w:rFonts w:ascii="Times New Roman" w:hAnsi="Times New Roman"/>
                      <w:sz w:val="21"/>
                      <w:szCs w:val="21"/>
                    </w:rPr>
                    <w:t>200μg/m</w:t>
                  </w:r>
                  <w:r>
                    <w:rPr>
                      <w:rFonts w:ascii="Times New Roman" w:hAnsi="Times New Roman"/>
                      <w:sz w:val="21"/>
                      <w:szCs w:val="21"/>
                      <w:vertAlign w:val="superscript"/>
                    </w:rPr>
                    <w:t>3</w:t>
                  </w:r>
                </w:p>
              </w:tc>
              <w:tc>
                <w:tcPr>
                  <w:tcW w:w="2687" w:type="pct"/>
                  <w:vMerge w:val="restart"/>
                  <w:vAlign w:val="center"/>
                </w:tcPr>
                <w:p>
                  <w:pPr>
                    <w:keepNext/>
                    <w:autoSpaceDE w:val="0"/>
                    <w:autoSpaceDN w:val="0"/>
                    <w:adjustRightInd w:val="0"/>
                    <w:jc w:val="center"/>
                    <w:rPr>
                      <w:rFonts w:ascii="Times New Roman" w:hAnsi="Times New Roman"/>
                      <w:sz w:val="21"/>
                      <w:szCs w:val="21"/>
                    </w:rPr>
                  </w:pPr>
                  <w:r>
                    <w:rPr>
                      <w:rFonts w:ascii="Times New Roman" w:hAnsi="Times New Roman"/>
                      <w:sz w:val="21"/>
                      <w:szCs w:val="21"/>
                    </w:rPr>
                    <w:t xml:space="preserve">《环境空气质量标准》(GB3095-2012)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823" w:type="pct"/>
                  <w:vMerge w:val="continue"/>
                  <w:vAlign w:val="center"/>
                </w:tcPr>
                <w:p>
                  <w:pPr>
                    <w:autoSpaceDE w:val="0"/>
                    <w:autoSpaceDN w:val="0"/>
                    <w:adjustRightInd w:val="0"/>
                    <w:jc w:val="center"/>
                    <w:rPr>
                      <w:rFonts w:ascii="Times New Roman" w:hAnsi="Times New Roman"/>
                      <w:sz w:val="21"/>
                      <w:szCs w:val="21"/>
                    </w:rPr>
                  </w:pPr>
                </w:p>
              </w:tc>
              <w:tc>
                <w:tcPr>
                  <w:tcW w:w="827" w:type="pct"/>
                  <w:vAlign w:val="center"/>
                </w:tcPr>
                <w:p>
                  <w:pPr>
                    <w:autoSpaceDE w:val="0"/>
                    <w:autoSpaceDN w:val="0"/>
                    <w:adjustRightInd w:val="0"/>
                    <w:jc w:val="center"/>
                    <w:rPr>
                      <w:rFonts w:ascii="Times New Roman" w:hAnsi="Times New Roman"/>
                      <w:sz w:val="21"/>
                      <w:szCs w:val="21"/>
                    </w:rPr>
                  </w:pPr>
                  <w:r>
                    <w:rPr>
                      <w:rFonts w:hint="eastAsia" w:ascii="Times New Roman" w:hAnsi="Times New Roman"/>
                      <w:sz w:val="21"/>
                      <w:szCs w:val="21"/>
                    </w:rPr>
                    <w:t>24小时平均</w:t>
                  </w:r>
                </w:p>
              </w:tc>
              <w:tc>
                <w:tcPr>
                  <w:tcW w:w="662" w:type="pct"/>
                  <w:vAlign w:val="center"/>
                </w:tcPr>
                <w:p>
                  <w:pPr>
                    <w:autoSpaceDE w:val="0"/>
                    <w:autoSpaceDN w:val="0"/>
                    <w:adjustRightInd w:val="0"/>
                    <w:jc w:val="center"/>
                    <w:rPr>
                      <w:rFonts w:ascii="Times New Roman" w:hAnsi="Times New Roman"/>
                      <w:sz w:val="21"/>
                      <w:szCs w:val="21"/>
                    </w:rPr>
                  </w:pPr>
                  <w:r>
                    <w:rPr>
                      <w:rFonts w:hint="eastAsia" w:ascii="Times New Roman" w:hAnsi="Times New Roman"/>
                      <w:sz w:val="21"/>
                      <w:szCs w:val="21"/>
                    </w:rPr>
                    <w:t>300</w:t>
                  </w:r>
                  <w:r>
                    <w:rPr>
                      <w:rFonts w:ascii="Times New Roman" w:hAnsi="Times New Roman"/>
                      <w:sz w:val="21"/>
                      <w:szCs w:val="21"/>
                    </w:rPr>
                    <w:t>μg/m</w:t>
                  </w:r>
                  <w:r>
                    <w:rPr>
                      <w:rFonts w:ascii="Times New Roman" w:hAnsi="Times New Roman"/>
                      <w:sz w:val="21"/>
                      <w:szCs w:val="21"/>
                      <w:vertAlign w:val="superscript"/>
                    </w:rPr>
                    <w:t>3</w:t>
                  </w:r>
                </w:p>
              </w:tc>
              <w:tc>
                <w:tcPr>
                  <w:tcW w:w="2689" w:type="pct"/>
                  <w:vMerge w:val="continue"/>
                  <w:vAlign w:val="center"/>
                </w:tcPr>
                <w:p>
                  <w:pPr>
                    <w:keepNext/>
                    <w:autoSpaceDE w:val="0"/>
                    <w:autoSpaceDN w:val="0"/>
                    <w:adjustRightInd w:val="0"/>
                    <w:jc w:val="center"/>
                    <w:rPr>
                      <w:rFonts w:ascii="Times New Roman" w:hAnsi="Times New Roman"/>
                      <w:sz w:val="21"/>
                      <w:szCs w:val="21"/>
                    </w:rPr>
                  </w:pPr>
                </w:p>
              </w:tc>
            </w:tr>
          </w:tbl>
          <w:p>
            <w:pPr>
              <w:pStyle w:val="3"/>
              <w:numPr>
                <w:ilvl w:val="0"/>
                <w:numId w:val="8"/>
              </w:numPr>
              <w:spacing w:line="430" w:lineRule="exact"/>
              <w:ind w:right="-120" w:firstLine="240"/>
              <w:rPr>
                <w:rFonts w:ascii="Times New Roman" w:hAnsi="Times New Roman"/>
              </w:rPr>
            </w:pPr>
            <w:r>
              <w:rPr>
                <w:rFonts w:ascii="Times New Roman" w:hAnsi="Times New Roman"/>
              </w:rPr>
              <w:t>大气环境质量现状</w:t>
            </w:r>
          </w:p>
          <w:p>
            <w:pPr>
              <w:ind w:firstLine="480" w:firstLineChars="200"/>
            </w:pPr>
            <w:r>
              <w:rPr>
                <w:rFonts w:hint="eastAsia"/>
              </w:rPr>
              <w:t>①基本污染物</w:t>
            </w:r>
          </w:p>
          <w:p>
            <w:pPr>
              <w:pStyle w:val="3"/>
              <w:spacing w:line="430" w:lineRule="exact"/>
              <w:ind w:right="-120" w:firstLine="480" w:firstLineChars="200"/>
              <w:rPr>
                <w:rFonts w:ascii="Times New Roman" w:hAnsi="Times New Roman"/>
                <w:szCs w:val="24"/>
              </w:rPr>
            </w:pPr>
            <w:r>
              <w:rPr>
                <w:rFonts w:ascii="Times New Roman" w:hAnsi="Times New Roman"/>
              </w:rPr>
              <w:t>根据《</w:t>
            </w:r>
            <w:r>
              <w:rPr>
                <w:rFonts w:ascii="Times New Roman" w:hAnsi="Times New Roman"/>
                <w:bCs/>
                <w:szCs w:val="24"/>
                <w:shd w:val="clear" w:color="auto" w:fill="FFFFFF"/>
              </w:rPr>
              <w:t>202</w:t>
            </w:r>
            <w:r>
              <w:rPr>
                <w:rFonts w:hint="eastAsia" w:ascii="Times New Roman" w:hAnsi="Times New Roman"/>
                <w:bCs/>
                <w:szCs w:val="24"/>
                <w:shd w:val="clear" w:color="auto" w:fill="FFFFFF"/>
              </w:rPr>
              <w:t>4</w:t>
            </w:r>
            <w:r>
              <w:rPr>
                <w:rFonts w:ascii="Times New Roman" w:hAnsi="Times New Roman"/>
                <w:bCs/>
                <w:szCs w:val="24"/>
                <w:shd w:val="clear" w:color="auto" w:fill="FFFFFF"/>
              </w:rPr>
              <w:t>年</w:t>
            </w:r>
            <w:r>
              <w:rPr>
                <w:rFonts w:hint="eastAsia" w:ascii="Times New Roman" w:hAnsi="Times New Roman"/>
                <w:bCs/>
                <w:szCs w:val="24"/>
                <w:shd w:val="clear" w:color="auto" w:fill="FFFFFF"/>
              </w:rPr>
              <w:t>3</w:t>
            </w:r>
            <w:r>
              <w:rPr>
                <w:rFonts w:ascii="Times New Roman" w:hAnsi="Times New Roman"/>
                <w:bCs/>
                <w:szCs w:val="24"/>
                <w:shd w:val="clear" w:color="auto" w:fill="FFFFFF"/>
              </w:rPr>
              <w:t>月三明市环境空气质量月报》（三明</w:t>
            </w:r>
            <w:r>
              <w:rPr>
                <w:rFonts w:hint="eastAsia" w:ascii="Times New Roman" w:hAnsi="Times New Roman"/>
                <w:bCs/>
                <w:szCs w:val="24"/>
                <w:shd w:val="clear" w:color="auto" w:fill="FFFFFF"/>
                <w:lang w:eastAsia="zh-CN"/>
              </w:rPr>
              <w:t>市生态环境局</w:t>
            </w:r>
            <w:r>
              <w:rPr>
                <w:rFonts w:ascii="Times New Roman" w:hAnsi="Times New Roman"/>
                <w:bCs/>
                <w:szCs w:val="24"/>
                <w:shd w:val="clear" w:color="auto" w:fill="FFFFFF"/>
              </w:rPr>
              <w:t>，20</w:t>
            </w:r>
            <w:r>
              <w:rPr>
                <w:rFonts w:hint="eastAsia" w:ascii="Times New Roman" w:hAnsi="Times New Roman"/>
                <w:bCs/>
                <w:szCs w:val="24"/>
                <w:shd w:val="clear" w:color="auto" w:fill="FFFFFF"/>
              </w:rPr>
              <w:t>24</w:t>
            </w:r>
            <w:r>
              <w:rPr>
                <w:rFonts w:ascii="Times New Roman" w:hAnsi="Times New Roman"/>
                <w:bCs/>
                <w:szCs w:val="24"/>
                <w:shd w:val="clear" w:color="auto" w:fill="FFFFFF"/>
              </w:rPr>
              <w:t>年</w:t>
            </w:r>
            <w:r>
              <w:rPr>
                <w:rFonts w:hint="eastAsia" w:ascii="Times New Roman" w:hAnsi="Times New Roman"/>
                <w:bCs/>
                <w:szCs w:val="24"/>
                <w:shd w:val="clear" w:color="auto" w:fill="FFFFFF"/>
              </w:rPr>
              <w:t>4</w:t>
            </w:r>
            <w:r>
              <w:rPr>
                <w:rFonts w:ascii="Times New Roman" w:hAnsi="Times New Roman"/>
                <w:bCs/>
                <w:szCs w:val="24"/>
                <w:shd w:val="clear" w:color="auto" w:fill="FFFFFF"/>
              </w:rPr>
              <w:t>月</w:t>
            </w:r>
            <w:r>
              <w:rPr>
                <w:rFonts w:hint="eastAsia" w:ascii="Times New Roman" w:hAnsi="Times New Roman"/>
                <w:bCs/>
                <w:szCs w:val="24"/>
                <w:shd w:val="clear" w:color="auto" w:fill="FFFFFF"/>
              </w:rPr>
              <w:t>10</w:t>
            </w:r>
            <w:r>
              <w:rPr>
                <w:rFonts w:ascii="Times New Roman" w:hAnsi="Times New Roman"/>
                <w:bCs/>
                <w:szCs w:val="24"/>
                <w:shd w:val="clear" w:color="auto" w:fill="FFFFFF"/>
              </w:rPr>
              <w:t>日），20</w:t>
            </w:r>
            <w:r>
              <w:rPr>
                <w:rFonts w:hint="eastAsia" w:ascii="Times New Roman" w:hAnsi="Times New Roman"/>
                <w:bCs/>
                <w:szCs w:val="24"/>
                <w:shd w:val="clear" w:color="auto" w:fill="FFFFFF"/>
              </w:rPr>
              <w:t>24</w:t>
            </w:r>
            <w:r>
              <w:rPr>
                <w:rFonts w:ascii="Times New Roman" w:hAnsi="Times New Roman"/>
                <w:bCs/>
                <w:szCs w:val="24"/>
                <w:shd w:val="clear" w:color="auto" w:fill="FFFFFF"/>
              </w:rPr>
              <w:t>年</w:t>
            </w:r>
            <w:r>
              <w:rPr>
                <w:rFonts w:hint="eastAsia" w:ascii="Times New Roman" w:hAnsi="Times New Roman"/>
                <w:bCs/>
                <w:szCs w:val="24"/>
                <w:shd w:val="clear" w:color="auto" w:fill="FFFFFF"/>
              </w:rPr>
              <w:t>3</w:t>
            </w:r>
            <w:r>
              <w:rPr>
                <w:rFonts w:ascii="Times New Roman" w:hAnsi="Times New Roman"/>
                <w:bCs/>
                <w:szCs w:val="24"/>
                <w:shd w:val="clear" w:color="auto" w:fill="FFFFFF"/>
              </w:rPr>
              <w:t>月，市区达标天数比例为100%，空气质量综合指数为</w:t>
            </w:r>
            <w:r>
              <w:rPr>
                <w:rFonts w:hint="eastAsia" w:ascii="Times New Roman" w:hAnsi="Times New Roman"/>
                <w:bCs/>
                <w:szCs w:val="24"/>
                <w:shd w:val="clear" w:color="auto" w:fill="FFFFFF"/>
              </w:rPr>
              <w:t>3.07</w:t>
            </w:r>
            <w:r>
              <w:rPr>
                <w:rFonts w:ascii="Times New Roman" w:hAnsi="Times New Roman"/>
                <w:bCs/>
                <w:szCs w:val="24"/>
                <w:shd w:val="clear" w:color="auto" w:fill="FFFFFF"/>
              </w:rPr>
              <w:t>，首要污染物为</w:t>
            </w:r>
            <w:r>
              <w:rPr>
                <w:rFonts w:hint="eastAsia" w:ascii="Times New Roman" w:hAnsi="Times New Roman"/>
                <w:bCs/>
                <w:szCs w:val="24"/>
                <w:shd w:val="clear" w:color="auto" w:fill="FFFFFF"/>
              </w:rPr>
              <w:t>细颗粒物</w:t>
            </w:r>
            <w:r>
              <w:rPr>
                <w:rFonts w:ascii="Times New Roman" w:hAnsi="Times New Roman"/>
                <w:bCs/>
                <w:szCs w:val="24"/>
                <w:shd w:val="clear" w:color="auto" w:fill="FFFFFF"/>
              </w:rPr>
              <w:t>。各县（市、区）达标天数比例均为100%，空气质量综合指数范围为</w:t>
            </w:r>
            <w:r>
              <w:rPr>
                <w:rFonts w:hint="eastAsia" w:ascii="Times New Roman" w:hAnsi="Times New Roman"/>
                <w:bCs/>
                <w:szCs w:val="24"/>
                <w:shd w:val="clear" w:color="auto" w:fill="FFFFFF"/>
              </w:rPr>
              <w:t>1.64</w:t>
            </w:r>
            <w:r>
              <w:rPr>
                <w:rFonts w:ascii="Times New Roman" w:hAnsi="Times New Roman"/>
                <w:bCs/>
                <w:szCs w:val="24"/>
                <w:shd w:val="clear" w:color="auto" w:fill="FFFFFF"/>
              </w:rPr>
              <w:t>—</w:t>
            </w:r>
            <w:r>
              <w:rPr>
                <w:rFonts w:hint="eastAsia" w:ascii="Times New Roman" w:hAnsi="Times New Roman"/>
                <w:bCs/>
                <w:szCs w:val="24"/>
                <w:shd w:val="clear" w:color="auto" w:fill="FFFFFF"/>
              </w:rPr>
              <w:t>2.69</w:t>
            </w:r>
            <w:r>
              <w:rPr>
                <w:rFonts w:ascii="Times New Roman" w:hAnsi="Times New Roman"/>
                <w:bCs/>
                <w:szCs w:val="24"/>
                <w:shd w:val="clear" w:color="auto" w:fill="FFFFFF"/>
              </w:rPr>
              <w:t>，</w:t>
            </w:r>
            <w:r>
              <w:rPr>
                <w:rFonts w:hint="eastAsia" w:ascii="Times New Roman" w:hAnsi="Times New Roman"/>
                <w:bCs/>
                <w:szCs w:val="24"/>
                <w:shd w:val="clear" w:color="auto" w:fill="FFFFFF"/>
              </w:rPr>
              <w:t>永宁市首要污染物为细颗粒物</w:t>
            </w:r>
            <w:r>
              <w:rPr>
                <w:rFonts w:ascii="宋体" w:hAnsi="宋体" w:cs="宋体"/>
                <w:sz w:val="25"/>
                <w:szCs w:val="25"/>
                <w:shd w:val="clear" w:color="auto" w:fill="FFFFFF"/>
              </w:rPr>
              <w:t>，其余各县（</w:t>
            </w:r>
            <w:r>
              <w:rPr>
                <w:rFonts w:hint="eastAsia" w:ascii="宋体" w:hAnsi="宋体" w:cs="宋体"/>
                <w:sz w:val="25"/>
                <w:szCs w:val="25"/>
                <w:shd w:val="clear" w:color="auto" w:fill="FFFFFF"/>
              </w:rPr>
              <w:t>区</w:t>
            </w:r>
            <w:r>
              <w:rPr>
                <w:rFonts w:ascii="宋体" w:hAnsi="宋体" w:cs="宋体"/>
                <w:sz w:val="25"/>
                <w:szCs w:val="25"/>
                <w:shd w:val="clear" w:color="auto" w:fill="FFFFFF"/>
              </w:rPr>
              <w:t>）</w:t>
            </w:r>
            <w:r>
              <w:rPr>
                <w:rFonts w:hint="eastAsia" w:ascii="宋体" w:hAnsi="宋体" w:cs="宋体"/>
                <w:sz w:val="25"/>
                <w:szCs w:val="25"/>
                <w:shd w:val="clear" w:color="auto" w:fill="FFFFFF"/>
              </w:rPr>
              <w:t>首要污染物均为臭氧</w:t>
            </w:r>
            <w:r>
              <w:rPr>
                <w:rFonts w:ascii="Times New Roman" w:hAnsi="Times New Roman"/>
                <w:bCs/>
                <w:szCs w:val="24"/>
                <w:shd w:val="clear" w:color="auto" w:fill="FFFFFF"/>
              </w:rPr>
              <w:t>。大田县环境空气质量综合指数为</w:t>
            </w:r>
            <w:r>
              <w:rPr>
                <w:rFonts w:hint="eastAsia" w:ascii="Times New Roman" w:hAnsi="Times New Roman"/>
                <w:bCs/>
                <w:szCs w:val="24"/>
                <w:shd w:val="clear" w:color="auto" w:fill="FFFFFF"/>
              </w:rPr>
              <w:t>2.11</w:t>
            </w:r>
            <w:r>
              <w:rPr>
                <w:rFonts w:ascii="Times New Roman" w:hAnsi="Times New Roman"/>
                <w:bCs/>
                <w:szCs w:val="24"/>
                <w:shd w:val="clear" w:color="auto" w:fill="FFFFFF"/>
              </w:rPr>
              <w:t>，达标天数比例为100%，首要污染物</w:t>
            </w:r>
            <w:r>
              <w:rPr>
                <w:rFonts w:ascii="Times New Roman" w:hAnsi="Times New Roman"/>
                <w:szCs w:val="24"/>
              </w:rPr>
              <w:t>为臭氧，SO</w:t>
            </w:r>
            <w:r>
              <w:rPr>
                <w:rFonts w:ascii="Times New Roman" w:hAnsi="Times New Roman"/>
                <w:szCs w:val="24"/>
                <w:vertAlign w:val="subscript"/>
              </w:rPr>
              <w:t>2</w:t>
            </w:r>
            <w:r>
              <w:rPr>
                <w:rFonts w:ascii="Times New Roman" w:hAnsi="Times New Roman"/>
                <w:szCs w:val="24"/>
              </w:rPr>
              <w:t>浓度为</w:t>
            </w:r>
            <w:r>
              <w:rPr>
                <w:rFonts w:hint="eastAsia" w:ascii="Times New Roman" w:hAnsi="Times New Roman"/>
                <w:szCs w:val="24"/>
              </w:rPr>
              <w:t>5</w:t>
            </w:r>
            <w:r>
              <w:rPr>
                <w:rFonts w:ascii="Times New Roman" w:hAnsi="Times New Roman"/>
                <w:szCs w:val="24"/>
              </w:rPr>
              <w:t>μg/m</w:t>
            </w:r>
            <w:r>
              <w:rPr>
                <w:rFonts w:ascii="Times New Roman" w:hAnsi="Times New Roman"/>
                <w:szCs w:val="24"/>
                <w:vertAlign w:val="superscript"/>
              </w:rPr>
              <w:t>3</w:t>
            </w:r>
            <w:r>
              <w:rPr>
                <w:rFonts w:ascii="Times New Roman" w:hAnsi="Times New Roman"/>
                <w:szCs w:val="24"/>
              </w:rPr>
              <w:t>、NO</w:t>
            </w:r>
            <w:r>
              <w:rPr>
                <w:rFonts w:ascii="Times New Roman" w:hAnsi="Times New Roman"/>
                <w:szCs w:val="24"/>
                <w:vertAlign w:val="subscript"/>
              </w:rPr>
              <w:t>2</w:t>
            </w:r>
            <w:r>
              <w:rPr>
                <w:rFonts w:ascii="Times New Roman" w:hAnsi="Times New Roman"/>
                <w:szCs w:val="24"/>
              </w:rPr>
              <w:t>浓度为</w:t>
            </w:r>
            <w:r>
              <w:rPr>
                <w:rFonts w:hint="eastAsia" w:ascii="Times New Roman" w:hAnsi="Times New Roman"/>
                <w:szCs w:val="24"/>
              </w:rPr>
              <w:t>8</w:t>
            </w:r>
            <w:r>
              <w:rPr>
                <w:rFonts w:ascii="Times New Roman" w:hAnsi="Times New Roman"/>
                <w:szCs w:val="24"/>
              </w:rPr>
              <w:t>μg/m</w:t>
            </w:r>
            <w:r>
              <w:rPr>
                <w:rFonts w:ascii="Times New Roman" w:hAnsi="Times New Roman"/>
                <w:szCs w:val="24"/>
                <w:vertAlign w:val="superscript"/>
              </w:rPr>
              <w:t>3</w:t>
            </w:r>
            <w:r>
              <w:rPr>
                <w:rFonts w:ascii="Times New Roman" w:hAnsi="Times New Roman"/>
                <w:szCs w:val="24"/>
              </w:rPr>
              <w:t>、PM</w:t>
            </w:r>
            <w:r>
              <w:rPr>
                <w:rFonts w:ascii="Times New Roman" w:hAnsi="Times New Roman"/>
                <w:szCs w:val="24"/>
                <w:vertAlign w:val="subscript"/>
              </w:rPr>
              <w:t>10</w:t>
            </w:r>
            <w:r>
              <w:rPr>
                <w:rFonts w:ascii="Times New Roman" w:hAnsi="Times New Roman"/>
                <w:szCs w:val="24"/>
              </w:rPr>
              <w:t>浓度为</w:t>
            </w:r>
            <w:r>
              <w:rPr>
                <w:rFonts w:hint="eastAsia" w:ascii="Times New Roman" w:hAnsi="Times New Roman"/>
                <w:szCs w:val="24"/>
              </w:rPr>
              <w:t>31</w:t>
            </w:r>
            <w:r>
              <w:rPr>
                <w:rFonts w:ascii="Times New Roman" w:hAnsi="Times New Roman"/>
                <w:szCs w:val="24"/>
              </w:rPr>
              <w:t>μg/m</w:t>
            </w:r>
            <w:r>
              <w:rPr>
                <w:rFonts w:ascii="Times New Roman" w:hAnsi="Times New Roman"/>
                <w:szCs w:val="24"/>
                <w:vertAlign w:val="superscript"/>
              </w:rPr>
              <w:t>3</w:t>
            </w:r>
            <w:r>
              <w:rPr>
                <w:rFonts w:ascii="Times New Roman" w:hAnsi="Times New Roman"/>
                <w:szCs w:val="24"/>
              </w:rPr>
              <w:t>、PM</w:t>
            </w:r>
            <w:r>
              <w:rPr>
                <w:rFonts w:ascii="Times New Roman" w:hAnsi="Times New Roman"/>
                <w:szCs w:val="24"/>
                <w:vertAlign w:val="subscript"/>
              </w:rPr>
              <w:t>2.5</w:t>
            </w:r>
            <w:r>
              <w:rPr>
                <w:rFonts w:ascii="Times New Roman" w:hAnsi="Times New Roman"/>
                <w:szCs w:val="24"/>
              </w:rPr>
              <w:t>浓度为</w:t>
            </w:r>
            <w:r>
              <w:rPr>
                <w:rFonts w:hint="eastAsia" w:ascii="Times New Roman" w:hAnsi="Times New Roman"/>
                <w:szCs w:val="24"/>
              </w:rPr>
              <w:t>18</w:t>
            </w:r>
            <w:r>
              <w:rPr>
                <w:rFonts w:ascii="Times New Roman" w:hAnsi="Times New Roman"/>
                <w:szCs w:val="24"/>
              </w:rPr>
              <w:t>μg/m</w:t>
            </w:r>
            <w:r>
              <w:rPr>
                <w:rFonts w:ascii="Times New Roman" w:hAnsi="Times New Roman"/>
                <w:szCs w:val="24"/>
                <w:vertAlign w:val="superscript"/>
              </w:rPr>
              <w:t>3</w:t>
            </w:r>
            <w:r>
              <w:rPr>
                <w:rFonts w:ascii="Times New Roman" w:hAnsi="Times New Roman"/>
                <w:szCs w:val="24"/>
              </w:rPr>
              <w:t>、CO（95per）浓度为</w:t>
            </w:r>
            <w:r>
              <w:rPr>
                <w:rFonts w:hint="eastAsia" w:ascii="Times New Roman" w:hAnsi="Times New Roman"/>
                <w:szCs w:val="24"/>
              </w:rPr>
              <w:t>0.8</w:t>
            </w:r>
            <w:r>
              <w:rPr>
                <w:rFonts w:ascii="Times New Roman" w:hAnsi="Times New Roman"/>
                <w:szCs w:val="24"/>
              </w:rPr>
              <w:t>mg/m</w:t>
            </w:r>
            <w:r>
              <w:rPr>
                <w:rFonts w:ascii="Times New Roman" w:hAnsi="Times New Roman"/>
                <w:szCs w:val="24"/>
                <w:vertAlign w:val="superscript"/>
              </w:rPr>
              <w:t>3</w:t>
            </w:r>
            <w:r>
              <w:rPr>
                <w:rFonts w:ascii="Times New Roman" w:hAnsi="Times New Roman"/>
                <w:szCs w:val="24"/>
              </w:rPr>
              <w:t>、O</w:t>
            </w:r>
            <w:r>
              <w:rPr>
                <w:rFonts w:ascii="Times New Roman" w:hAnsi="Times New Roman"/>
                <w:szCs w:val="24"/>
                <w:vertAlign w:val="subscript"/>
              </w:rPr>
              <w:t>3</w:t>
            </w:r>
            <w:r>
              <w:rPr>
                <w:rFonts w:ascii="Times New Roman" w:hAnsi="Times New Roman"/>
                <w:szCs w:val="24"/>
              </w:rPr>
              <w:t>（8h-90per）浓度为</w:t>
            </w:r>
            <w:r>
              <w:rPr>
                <w:rFonts w:hint="eastAsia" w:ascii="Times New Roman" w:hAnsi="Times New Roman"/>
                <w:szCs w:val="24"/>
              </w:rPr>
              <w:t>108</w:t>
            </w:r>
            <w:r>
              <w:rPr>
                <w:rFonts w:ascii="Times New Roman" w:hAnsi="Times New Roman"/>
                <w:szCs w:val="24"/>
              </w:rPr>
              <w:t>μg/m</w:t>
            </w:r>
            <w:r>
              <w:rPr>
                <w:rFonts w:ascii="Times New Roman" w:hAnsi="Times New Roman"/>
                <w:szCs w:val="24"/>
                <w:vertAlign w:val="superscript"/>
              </w:rPr>
              <w:t>3</w:t>
            </w:r>
            <w:r>
              <w:rPr>
                <w:rFonts w:ascii="Times New Roman" w:hAnsi="Times New Roman"/>
                <w:szCs w:val="24"/>
              </w:rPr>
              <w:t>。项目所在的区域为环境空气质量达标区。</w:t>
            </w:r>
          </w:p>
          <w:p>
            <w:pPr>
              <w:ind w:firstLine="480" w:firstLineChars="200"/>
            </w:pPr>
            <w:r>
              <w:rPr>
                <w:rFonts w:hint="eastAsia"/>
              </w:rPr>
              <w:t>②特征污染物</w:t>
            </w:r>
          </w:p>
          <w:p>
            <w:pPr>
              <w:pStyle w:val="46"/>
              <w:rPr>
                <w:color w:val="auto"/>
              </w:rPr>
            </w:pPr>
            <w:r>
              <w:rPr>
                <w:color w:val="auto"/>
              </w:rPr>
              <w:t>为了解本项目特征污染物（</w:t>
            </w:r>
            <w:r>
              <w:rPr>
                <w:rFonts w:hint="eastAsia"/>
                <w:color w:val="auto"/>
              </w:rPr>
              <w:t>TSP</w:t>
            </w:r>
            <w:r>
              <w:rPr>
                <w:color w:val="auto"/>
              </w:rPr>
              <w:t>）环境空气质量现状情况，</w:t>
            </w:r>
            <w:r>
              <w:rPr>
                <w:rFonts w:hint="eastAsia"/>
                <w:color w:val="auto"/>
              </w:rPr>
              <w:t>本项目委托</w:t>
            </w:r>
            <w:r>
              <w:rPr>
                <w:color w:val="auto"/>
              </w:rPr>
              <w:t>福建天安环境检测评价有限公司</w:t>
            </w:r>
            <w:r>
              <w:rPr>
                <w:rFonts w:hint="eastAsia"/>
                <w:color w:val="auto"/>
              </w:rPr>
              <w:t>于2023年12月28日～12月30日（连续3天）对项目所在地环境空气质量进行现状监测，监测因子为TSP，</w:t>
            </w:r>
            <w:r>
              <w:rPr>
                <w:color w:val="auto"/>
              </w:rPr>
              <w:t>监测点位位于项目</w:t>
            </w:r>
            <w:r>
              <w:rPr>
                <w:rFonts w:hint="eastAsia"/>
                <w:color w:val="auto"/>
              </w:rPr>
              <w:t>南</w:t>
            </w:r>
            <w:r>
              <w:rPr>
                <w:color w:val="auto"/>
              </w:rPr>
              <w:t>侧</w:t>
            </w:r>
            <w:r>
              <w:rPr>
                <w:rFonts w:hint="eastAsia"/>
                <w:color w:val="auto"/>
              </w:rPr>
              <w:t>40m处，</w:t>
            </w:r>
            <w:r>
              <w:rPr>
                <w:color w:val="auto"/>
              </w:rPr>
              <w:t>具体见图3-1</w:t>
            </w:r>
            <w:r>
              <w:rPr>
                <w:rFonts w:hint="eastAsia"/>
                <w:color w:val="auto"/>
              </w:rPr>
              <w:t>。</w:t>
            </w:r>
            <w:r>
              <w:rPr>
                <w:color w:val="auto"/>
              </w:rPr>
              <w:t>具体监测结果见</w:t>
            </w:r>
            <w:r>
              <w:rPr>
                <w:rFonts w:hint="eastAsia"/>
                <w:color w:val="auto"/>
              </w:rPr>
              <w:t>表3.1-3。</w:t>
            </w:r>
          </w:p>
          <w:p>
            <w:pPr>
              <w:pStyle w:val="4"/>
              <w:spacing w:after="60" w:line="260" w:lineRule="auto"/>
              <w:ind w:right="-120"/>
              <w:jc w:val="center"/>
              <w:rPr>
                <w:rFonts w:ascii="Times New Roman" w:hAnsi="Times New Roman"/>
              </w:rPr>
            </w:pPr>
            <w:r>
              <w:rPr>
                <w:rFonts w:ascii="Times New Roman" w:hAnsi="Times New Roman" w:eastAsia="黑体"/>
                <w:sz w:val="24"/>
                <w:szCs w:val="24"/>
              </w:rPr>
              <w:t>表3.1-</w:t>
            </w:r>
            <w:r>
              <w:rPr>
                <w:rFonts w:hint="eastAsia" w:ascii="Times New Roman" w:hAnsi="Times New Roman" w:eastAsia="黑体"/>
                <w:sz w:val="24"/>
                <w:szCs w:val="24"/>
              </w:rPr>
              <w:t>3</w:t>
            </w:r>
            <w:r>
              <w:rPr>
                <w:rFonts w:ascii="Times New Roman" w:hAnsi="Times New Roman" w:eastAsia="黑体"/>
                <w:sz w:val="24"/>
                <w:szCs w:val="24"/>
              </w:rPr>
              <w:t xml:space="preserve">  </w:t>
            </w:r>
            <w:bookmarkStart w:id="8" w:name="_Ref82785107"/>
            <w:r>
              <w:rPr>
                <w:rFonts w:hint="eastAsia" w:ascii="Times New Roman" w:hAnsi="Times New Roman" w:eastAsia="黑体"/>
                <w:sz w:val="24"/>
                <w:szCs w:val="24"/>
              </w:rPr>
              <w:t>特征</w:t>
            </w:r>
            <w:r>
              <w:rPr>
                <w:rFonts w:ascii="Times New Roman" w:hAnsi="Times New Roman" w:eastAsia="黑体"/>
                <w:sz w:val="24"/>
                <w:szCs w:val="24"/>
              </w:rPr>
              <w:t>污染物环境空气现状监测结果</w:t>
            </w:r>
            <w:bookmarkEnd w:id="8"/>
          </w:p>
          <w:tbl>
            <w:tblPr>
              <w:tblStyle w:val="25"/>
              <w:tblW w:w="8132"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596"/>
              <w:gridCol w:w="1731"/>
              <w:gridCol w:w="788"/>
              <w:gridCol w:w="756"/>
              <w:gridCol w:w="1182"/>
              <w:gridCol w:w="1182"/>
              <w:gridCol w:w="719"/>
              <w:gridCol w:w="558"/>
              <w:gridCol w:w="620"/>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33" w:type="dxa"/>
                  <w:vAlign w:val="center"/>
                </w:tcPr>
                <w:p>
                  <w:pPr>
                    <w:adjustRightInd w:val="0"/>
                    <w:snapToGrid w:val="0"/>
                    <w:spacing w:line="240" w:lineRule="exact"/>
                    <w:jc w:val="center"/>
                    <w:rPr>
                      <w:rFonts w:ascii="Times New Roman" w:hAnsi="Times New Roman"/>
                      <w:sz w:val="18"/>
                      <w:szCs w:val="18"/>
                    </w:rPr>
                  </w:pPr>
                  <w:r>
                    <w:rPr>
                      <w:rFonts w:ascii="Times New Roman" w:hAnsi="Times New Roman"/>
                      <w:sz w:val="18"/>
                      <w:szCs w:val="18"/>
                    </w:rPr>
                    <w:t>监测点位</w:t>
                  </w:r>
                </w:p>
              </w:tc>
              <w:tc>
                <w:tcPr>
                  <w:tcW w:w="1499" w:type="dxa"/>
                  <w:vAlign w:val="center"/>
                </w:tcPr>
                <w:p>
                  <w:pPr>
                    <w:adjustRightInd w:val="0"/>
                    <w:snapToGrid w:val="0"/>
                    <w:spacing w:line="240" w:lineRule="exact"/>
                    <w:jc w:val="center"/>
                    <w:rPr>
                      <w:rFonts w:ascii="Times New Roman" w:hAnsi="Times New Roman"/>
                      <w:sz w:val="18"/>
                      <w:szCs w:val="18"/>
                    </w:rPr>
                  </w:pPr>
                  <w:r>
                    <w:rPr>
                      <w:rFonts w:ascii="Times New Roman" w:hAnsi="Times New Roman"/>
                      <w:sz w:val="18"/>
                      <w:szCs w:val="18"/>
                    </w:rPr>
                    <w:t>监测点坐标</w:t>
                  </w:r>
                </w:p>
              </w:tc>
              <w:tc>
                <w:tcPr>
                  <w:tcW w:w="859" w:type="dxa"/>
                  <w:vAlign w:val="center"/>
                </w:tcPr>
                <w:p>
                  <w:pPr>
                    <w:adjustRightInd w:val="0"/>
                    <w:snapToGrid w:val="0"/>
                    <w:spacing w:line="240" w:lineRule="exact"/>
                    <w:jc w:val="center"/>
                    <w:rPr>
                      <w:rFonts w:ascii="Times New Roman" w:hAnsi="Times New Roman"/>
                      <w:sz w:val="18"/>
                      <w:szCs w:val="18"/>
                    </w:rPr>
                  </w:pPr>
                  <w:r>
                    <w:rPr>
                      <w:rFonts w:ascii="Times New Roman" w:hAnsi="Times New Roman"/>
                      <w:sz w:val="18"/>
                      <w:szCs w:val="18"/>
                    </w:rPr>
                    <w:t>污染物</w:t>
                  </w:r>
                </w:p>
              </w:tc>
              <w:tc>
                <w:tcPr>
                  <w:tcW w:w="864" w:type="dxa"/>
                  <w:vAlign w:val="center"/>
                </w:tcPr>
                <w:p>
                  <w:pPr>
                    <w:adjustRightInd w:val="0"/>
                    <w:snapToGrid w:val="0"/>
                    <w:spacing w:line="240" w:lineRule="exact"/>
                    <w:jc w:val="center"/>
                    <w:rPr>
                      <w:rFonts w:ascii="Times New Roman" w:hAnsi="Times New Roman"/>
                      <w:sz w:val="18"/>
                      <w:szCs w:val="18"/>
                    </w:rPr>
                  </w:pPr>
                  <w:r>
                    <w:rPr>
                      <w:rFonts w:ascii="Times New Roman" w:hAnsi="Times New Roman"/>
                      <w:sz w:val="18"/>
                      <w:szCs w:val="18"/>
                    </w:rPr>
                    <w:t>平均时间</w:t>
                  </w:r>
                </w:p>
              </w:tc>
              <w:tc>
                <w:tcPr>
                  <w:tcW w:w="1152" w:type="dxa"/>
                  <w:vAlign w:val="center"/>
                </w:tcPr>
                <w:p>
                  <w:pPr>
                    <w:adjustRightInd w:val="0"/>
                    <w:snapToGrid w:val="0"/>
                    <w:spacing w:line="240" w:lineRule="exact"/>
                    <w:jc w:val="center"/>
                    <w:rPr>
                      <w:rFonts w:ascii="Times New Roman" w:hAnsi="Times New Roman"/>
                      <w:sz w:val="18"/>
                      <w:szCs w:val="18"/>
                    </w:rPr>
                  </w:pPr>
                  <w:r>
                    <w:rPr>
                      <w:rFonts w:ascii="Times New Roman" w:hAnsi="Times New Roman"/>
                      <w:sz w:val="18"/>
                      <w:szCs w:val="18"/>
                    </w:rPr>
                    <w:t>监测浓度</w:t>
                  </w:r>
                </w:p>
                <w:p>
                  <w:pPr>
                    <w:adjustRightInd w:val="0"/>
                    <w:snapToGrid w:val="0"/>
                    <w:spacing w:line="240" w:lineRule="exact"/>
                    <w:jc w:val="center"/>
                    <w:rPr>
                      <w:rFonts w:ascii="Times New Roman" w:hAnsi="Times New Roman"/>
                      <w:sz w:val="18"/>
                      <w:szCs w:val="18"/>
                    </w:rPr>
                  </w:pPr>
                  <w:r>
                    <w:rPr>
                      <w:rFonts w:ascii="Times New Roman" w:hAnsi="Times New Roman"/>
                      <w:sz w:val="18"/>
                      <w:szCs w:val="18"/>
                    </w:rPr>
                    <w:t>范围（</w:t>
                  </w:r>
                  <w:r>
                    <w:rPr>
                      <w:rFonts w:hint="eastAsia" w:ascii="Times New Roman" w:hAnsi="Times New Roman"/>
                      <w:sz w:val="18"/>
                      <w:szCs w:val="18"/>
                    </w:rPr>
                    <w:t>mg</w:t>
                  </w:r>
                  <w:r>
                    <w:rPr>
                      <w:rFonts w:ascii="Times New Roman" w:hAnsi="Times New Roman"/>
                      <w:sz w:val="18"/>
                      <w:szCs w:val="18"/>
                    </w:rPr>
                    <w:t>/m</w:t>
                  </w:r>
                  <w:r>
                    <w:rPr>
                      <w:rFonts w:ascii="Times New Roman" w:hAnsi="Times New Roman"/>
                      <w:sz w:val="18"/>
                      <w:szCs w:val="18"/>
                      <w:vertAlign w:val="superscript"/>
                    </w:rPr>
                    <w:t>3</w:t>
                  </w:r>
                  <w:r>
                    <w:rPr>
                      <w:rFonts w:ascii="Times New Roman" w:hAnsi="Times New Roman"/>
                      <w:sz w:val="18"/>
                      <w:szCs w:val="18"/>
                    </w:rPr>
                    <w:t>）</w:t>
                  </w:r>
                </w:p>
              </w:tc>
              <w:tc>
                <w:tcPr>
                  <w:tcW w:w="1096" w:type="dxa"/>
                  <w:vAlign w:val="center"/>
                </w:tcPr>
                <w:p>
                  <w:pPr>
                    <w:adjustRightInd w:val="0"/>
                    <w:snapToGrid w:val="0"/>
                    <w:spacing w:line="240" w:lineRule="exact"/>
                    <w:jc w:val="center"/>
                    <w:rPr>
                      <w:rFonts w:ascii="Times New Roman" w:hAnsi="Times New Roman"/>
                      <w:sz w:val="18"/>
                      <w:szCs w:val="18"/>
                    </w:rPr>
                  </w:pPr>
                  <w:r>
                    <w:rPr>
                      <w:rFonts w:ascii="Times New Roman" w:hAnsi="Times New Roman"/>
                      <w:sz w:val="18"/>
                      <w:szCs w:val="18"/>
                    </w:rPr>
                    <w:t>评价标准（</w:t>
                  </w:r>
                  <w:r>
                    <w:rPr>
                      <w:rFonts w:hint="eastAsia" w:ascii="Times New Roman" w:hAnsi="Times New Roman"/>
                      <w:sz w:val="18"/>
                      <w:szCs w:val="18"/>
                    </w:rPr>
                    <w:t>m</w:t>
                  </w:r>
                  <w:r>
                    <w:rPr>
                      <w:rFonts w:ascii="Times New Roman" w:hAnsi="Times New Roman"/>
                      <w:sz w:val="18"/>
                      <w:szCs w:val="18"/>
                    </w:rPr>
                    <w:t>g/m</w:t>
                  </w:r>
                  <w:r>
                    <w:rPr>
                      <w:rFonts w:ascii="Times New Roman" w:hAnsi="Times New Roman"/>
                      <w:sz w:val="18"/>
                      <w:szCs w:val="18"/>
                      <w:vertAlign w:val="superscript"/>
                    </w:rPr>
                    <w:t>3</w:t>
                  </w:r>
                  <w:r>
                    <w:rPr>
                      <w:rFonts w:ascii="Times New Roman" w:hAnsi="Times New Roman"/>
                      <w:sz w:val="18"/>
                      <w:szCs w:val="18"/>
                    </w:rPr>
                    <w:t>）</w:t>
                  </w:r>
                </w:p>
              </w:tc>
              <w:tc>
                <w:tcPr>
                  <w:tcW w:w="776" w:type="dxa"/>
                  <w:vAlign w:val="center"/>
                </w:tcPr>
                <w:p>
                  <w:pPr>
                    <w:adjustRightInd w:val="0"/>
                    <w:snapToGrid w:val="0"/>
                    <w:spacing w:line="240" w:lineRule="exact"/>
                    <w:jc w:val="center"/>
                    <w:rPr>
                      <w:rFonts w:ascii="Times New Roman" w:hAnsi="Times New Roman"/>
                      <w:sz w:val="18"/>
                      <w:szCs w:val="18"/>
                    </w:rPr>
                  </w:pPr>
                  <w:r>
                    <w:rPr>
                      <w:rFonts w:ascii="Times New Roman" w:hAnsi="Times New Roman"/>
                      <w:sz w:val="18"/>
                      <w:szCs w:val="18"/>
                    </w:rPr>
                    <w:t>最大浓度占标率(%)</w:t>
                  </w:r>
                </w:p>
              </w:tc>
              <w:tc>
                <w:tcPr>
                  <w:tcW w:w="567" w:type="dxa"/>
                  <w:vAlign w:val="center"/>
                </w:tcPr>
                <w:p>
                  <w:pPr>
                    <w:adjustRightInd w:val="0"/>
                    <w:snapToGrid w:val="0"/>
                    <w:spacing w:line="240" w:lineRule="exact"/>
                    <w:jc w:val="center"/>
                    <w:rPr>
                      <w:rFonts w:ascii="Times New Roman" w:hAnsi="Times New Roman"/>
                      <w:sz w:val="18"/>
                      <w:szCs w:val="18"/>
                    </w:rPr>
                  </w:pPr>
                  <w:r>
                    <w:rPr>
                      <w:rFonts w:ascii="Times New Roman" w:hAnsi="Times New Roman"/>
                      <w:sz w:val="18"/>
                      <w:szCs w:val="18"/>
                    </w:rPr>
                    <w:t>超标率(%)</w:t>
                  </w:r>
                </w:p>
              </w:tc>
              <w:tc>
                <w:tcPr>
                  <w:tcW w:w="686" w:type="dxa"/>
                  <w:vAlign w:val="center"/>
                </w:tcPr>
                <w:p>
                  <w:pPr>
                    <w:adjustRightInd w:val="0"/>
                    <w:snapToGrid w:val="0"/>
                    <w:spacing w:line="240" w:lineRule="exact"/>
                    <w:jc w:val="center"/>
                    <w:rPr>
                      <w:rFonts w:ascii="Times New Roman" w:hAnsi="Times New Roman"/>
                      <w:sz w:val="18"/>
                      <w:szCs w:val="18"/>
                    </w:rPr>
                  </w:pPr>
                  <w:r>
                    <w:rPr>
                      <w:rFonts w:ascii="Times New Roman" w:hAnsi="Times New Roman"/>
                      <w:sz w:val="18"/>
                      <w:szCs w:val="18"/>
                    </w:rPr>
                    <w:t>达标情况</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33" w:type="dxa"/>
                  <w:vAlign w:val="center"/>
                </w:tcPr>
                <w:p>
                  <w:pPr>
                    <w:adjustRightInd w:val="0"/>
                    <w:snapToGrid w:val="0"/>
                    <w:spacing w:line="240" w:lineRule="exact"/>
                    <w:jc w:val="center"/>
                    <w:rPr>
                      <w:rFonts w:ascii="Times New Roman" w:hAnsi="Times New Roman"/>
                      <w:sz w:val="18"/>
                      <w:szCs w:val="18"/>
                    </w:rPr>
                  </w:pPr>
                  <w:r>
                    <w:rPr>
                      <w:rFonts w:hint="eastAsia" w:ascii="Times New Roman" w:hAnsi="Times New Roman"/>
                      <w:sz w:val="18"/>
                      <w:szCs w:val="18"/>
                    </w:rPr>
                    <w:t>Q</w:t>
                  </w:r>
                  <w:r>
                    <w:rPr>
                      <w:rFonts w:ascii="Times New Roman" w:hAnsi="Times New Roman"/>
                      <w:sz w:val="18"/>
                      <w:szCs w:val="18"/>
                    </w:rPr>
                    <w:t>1</w:t>
                  </w:r>
                </w:p>
              </w:tc>
              <w:tc>
                <w:tcPr>
                  <w:tcW w:w="1499" w:type="dxa"/>
                  <w:vAlign w:val="center"/>
                </w:tcPr>
                <w:p>
                  <w:pPr>
                    <w:spacing w:line="240" w:lineRule="exact"/>
                    <w:jc w:val="center"/>
                    <w:rPr>
                      <w:rFonts w:ascii="Times New Roman" w:hAnsi="Times New Roman"/>
                      <w:sz w:val="18"/>
                      <w:szCs w:val="18"/>
                    </w:rPr>
                  </w:pPr>
                  <w:r>
                    <w:rPr>
                      <w:rFonts w:ascii="Times New Roman" w:hAnsi="Times New Roman"/>
                      <w:sz w:val="18"/>
                      <w:szCs w:val="18"/>
                    </w:rPr>
                    <w:t>E11</w:t>
                  </w:r>
                  <w:r>
                    <w:rPr>
                      <w:rFonts w:hint="eastAsia" w:ascii="Times New Roman" w:hAnsi="Times New Roman"/>
                      <w:sz w:val="18"/>
                      <w:szCs w:val="18"/>
                    </w:rPr>
                    <w:t>7</w:t>
                  </w:r>
                  <w:r>
                    <w:rPr>
                      <w:rFonts w:ascii="Times New Roman" w:hAnsi="Times New Roman"/>
                      <w:sz w:val="18"/>
                      <w:szCs w:val="18"/>
                    </w:rPr>
                    <w:t>°</w:t>
                  </w:r>
                  <w:r>
                    <w:rPr>
                      <w:rFonts w:hint="eastAsia" w:ascii="Times New Roman" w:hAnsi="Times New Roman"/>
                      <w:sz w:val="18"/>
                      <w:szCs w:val="18"/>
                    </w:rPr>
                    <w:t>47</w:t>
                  </w:r>
                  <w:r>
                    <w:rPr>
                      <w:rFonts w:ascii="Times New Roman" w:hAnsi="Times New Roman"/>
                      <w:sz w:val="18"/>
                      <w:szCs w:val="18"/>
                    </w:rPr>
                    <w:t>′</w:t>
                  </w:r>
                  <w:r>
                    <w:rPr>
                      <w:rFonts w:hint="eastAsia" w:ascii="Times New Roman" w:hAnsi="Times New Roman"/>
                      <w:sz w:val="18"/>
                      <w:szCs w:val="18"/>
                    </w:rPr>
                    <w:t>26</w:t>
                  </w:r>
                  <w:r>
                    <w:rPr>
                      <w:rFonts w:ascii="Times New Roman" w:hAnsi="Times New Roman"/>
                      <w:sz w:val="18"/>
                      <w:szCs w:val="18"/>
                    </w:rPr>
                    <w:t>.</w:t>
                  </w:r>
                  <w:r>
                    <w:rPr>
                      <w:rFonts w:hint="eastAsia" w:ascii="Times New Roman" w:hAnsi="Times New Roman"/>
                      <w:sz w:val="18"/>
                      <w:szCs w:val="18"/>
                    </w:rPr>
                    <w:t>714</w:t>
                  </w:r>
                  <w:r>
                    <w:rPr>
                      <w:rFonts w:ascii="Times New Roman" w:hAnsi="Times New Roman"/>
                      <w:sz w:val="18"/>
                      <w:szCs w:val="18"/>
                    </w:rPr>
                    <w:t>″</w:t>
                  </w:r>
                </w:p>
                <w:p>
                  <w:pPr>
                    <w:spacing w:line="240" w:lineRule="exact"/>
                    <w:jc w:val="center"/>
                    <w:rPr>
                      <w:rFonts w:ascii="Times New Roman" w:hAnsi="Times New Roman"/>
                      <w:sz w:val="18"/>
                      <w:szCs w:val="18"/>
                    </w:rPr>
                  </w:pPr>
                  <w:r>
                    <w:rPr>
                      <w:rFonts w:ascii="Times New Roman" w:hAnsi="Times New Roman"/>
                      <w:sz w:val="18"/>
                      <w:szCs w:val="18"/>
                    </w:rPr>
                    <w:t>N2</w:t>
                  </w:r>
                  <w:r>
                    <w:rPr>
                      <w:rFonts w:hint="eastAsia" w:ascii="Times New Roman" w:hAnsi="Times New Roman"/>
                      <w:sz w:val="18"/>
                      <w:szCs w:val="18"/>
                    </w:rPr>
                    <w:t>5</w:t>
                  </w:r>
                  <w:r>
                    <w:rPr>
                      <w:rFonts w:ascii="Times New Roman" w:hAnsi="Times New Roman"/>
                      <w:sz w:val="18"/>
                      <w:szCs w:val="18"/>
                    </w:rPr>
                    <w:t>°</w:t>
                  </w:r>
                  <w:r>
                    <w:rPr>
                      <w:rFonts w:hint="eastAsia" w:ascii="Times New Roman" w:hAnsi="Times New Roman"/>
                      <w:sz w:val="18"/>
                      <w:szCs w:val="18"/>
                    </w:rPr>
                    <w:t>37</w:t>
                  </w:r>
                  <w:r>
                    <w:rPr>
                      <w:rFonts w:ascii="Times New Roman" w:hAnsi="Times New Roman"/>
                      <w:sz w:val="18"/>
                      <w:szCs w:val="18"/>
                    </w:rPr>
                    <w:t>′</w:t>
                  </w:r>
                  <w:r>
                    <w:rPr>
                      <w:rFonts w:hint="eastAsia" w:ascii="Times New Roman" w:hAnsi="Times New Roman"/>
                      <w:sz w:val="18"/>
                      <w:szCs w:val="18"/>
                    </w:rPr>
                    <w:t>57.146</w:t>
                  </w:r>
                  <w:r>
                    <w:rPr>
                      <w:rFonts w:ascii="Times New Roman" w:hAnsi="Times New Roman"/>
                      <w:sz w:val="18"/>
                      <w:szCs w:val="18"/>
                    </w:rPr>
                    <w:t>″</w:t>
                  </w:r>
                </w:p>
              </w:tc>
              <w:tc>
                <w:tcPr>
                  <w:tcW w:w="859" w:type="dxa"/>
                  <w:vAlign w:val="center"/>
                </w:tcPr>
                <w:p>
                  <w:pPr>
                    <w:adjustRightInd w:val="0"/>
                    <w:snapToGrid w:val="0"/>
                    <w:spacing w:line="240" w:lineRule="exact"/>
                    <w:jc w:val="center"/>
                    <w:rPr>
                      <w:rFonts w:ascii="Times New Roman" w:hAnsi="Times New Roman"/>
                      <w:sz w:val="18"/>
                      <w:szCs w:val="18"/>
                    </w:rPr>
                  </w:pPr>
                  <w:r>
                    <w:rPr>
                      <w:rFonts w:hint="eastAsia" w:ascii="Times New Roman" w:hAnsi="Times New Roman"/>
                      <w:sz w:val="18"/>
                      <w:szCs w:val="18"/>
                    </w:rPr>
                    <w:t>TSP</w:t>
                  </w:r>
                </w:p>
              </w:tc>
              <w:tc>
                <w:tcPr>
                  <w:tcW w:w="864" w:type="dxa"/>
                  <w:vAlign w:val="center"/>
                </w:tcPr>
                <w:p>
                  <w:pPr>
                    <w:adjustRightInd w:val="0"/>
                    <w:snapToGrid w:val="0"/>
                    <w:spacing w:line="240" w:lineRule="exact"/>
                    <w:jc w:val="center"/>
                    <w:rPr>
                      <w:rFonts w:ascii="Times New Roman" w:hAnsi="Times New Roman"/>
                      <w:sz w:val="18"/>
                      <w:szCs w:val="18"/>
                    </w:rPr>
                  </w:pPr>
                  <w:r>
                    <w:rPr>
                      <w:rFonts w:hint="eastAsia" w:ascii="Times New Roman" w:hAnsi="Times New Roman"/>
                      <w:sz w:val="18"/>
                      <w:szCs w:val="18"/>
                    </w:rPr>
                    <w:t>日均值</w:t>
                  </w:r>
                </w:p>
              </w:tc>
              <w:tc>
                <w:tcPr>
                  <w:tcW w:w="1152" w:type="dxa"/>
                  <w:vAlign w:val="center"/>
                </w:tcPr>
                <w:p>
                  <w:pPr>
                    <w:spacing w:line="240" w:lineRule="exact"/>
                    <w:jc w:val="center"/>
                    <w:rPr>
                      <w:rFonts w:ascii="Times New Roman" w:hAnsi="Times New Roman"/>
                      <w:sz w:val="18"/>
                      <w:szCs w:val="18"/>
                    </w:rPr>
                  </w:pPr>
                  <w:r>
                    <w:rPr>
                      <w:rFonts w:hint="eastAsia" w:ascii="Times New Roman" w:hAnsi="Times New Roman"/>
                      <w:sz w:val="18"/>
                      <w:szCs w:val="18"/>
                    </w:rPr>
                    <w:t>0.148-0.177</w:t>
                  </w:r>
                </w:p>
              </w:tc>
              <w:tc>
                <w:tcPr>
                  <w:tcW w:w="1096" w:type="dxa"/>
                  <w:vAlign w:val="center"/>
                </w:tcPr>
                <w:p>
                  <w:pPr>
                    <w:spacing w:line="240" w:lineRule="exact"/>
                    <w:jc w:val="center"/>
                    <w:rPr>
                      <w:rFonts w:ascii="Times New Roman" w:hAnsi="Times New Roman"/>
                      <w:sz w:val="18"/>
                      <w:szCs w:val="18"/>
                    </w:rPr>
                  </w:pPr>
                  <w:r>
                    <w:rPr>
                      <w:rFonts w:hint="eastAsia" w:ascii="Times New Roman" w:hAnsi="Times New Roman"/>
                      <w:sz w:val="18"/>
                      <w:szCs w:val="18"/>
                    </w:rPr>
                    <w:t>0.3</w:t>
                  </w:r>
                </w:p>
              </w:tc>
              <w:tc>
                <w:tcPr>
                  <w:tcW w:w="776" w:type="dxa"/>
                  <w:vAlign w:val="center"/>
                </w:tcPr>
                <w:p>
                  <w:pPr>
                    <w:spacing w:line="240" w:lineRule="exact"/>
                    <w:jc w:val="center"/>
                    <w:rPr>
                      <w:rFonts w:ascii="Times New Roman" w:hAnsi="Times New Roman"/>
                      <w:sz w:val="18"/>
                      <w:szCs w:val="18"/>
                    </w:rPr>
                  </w:pPr>
                  <w:r>
                    <w:rPr>
                      <w:rFonts w:hint="eastAsia" w:ascii="Times New Roman" w:hAnsi="Times New Roman"/>
                      <w:sz w:val="18"/>
                      <w:szCs w:val="18"/>
                    </w:rPr>
                    <w:t>59</w:t>
                  </w:r>
                </w:p>
              </w:tc>
              <w:tc>
                <w:tcPr>
                  <w:tcW w:w="567" w:type="dxa"/>
                  <w:vAlign w:val="center"/>
                </w:tcPr>
                <w:p>
                  <w:pPr>
                    <w:adjustRightInd w:val="0"/>
                    <w:snapToGrid w:val="0"/>
                    <w:spacing w:line="240" w:lineRule="exact"/>
                    <w:jc w:val="center"/>
                    <w:rPr>
                      <w:rFonts w:ascii="Times New Roman" w:hAnsi="Times New Roman"/>
                      <w:sz w:val="18"/>
                      <w:szCs w:val="18"/>
                    </w:rPr>
                  </w:pPr>
                  <w:r>
                    <w:rPr>
                      <w:rFonts w:ascii="Times New Roman" w:hAnsi="Times New Roman"/>
                      <w:sz w:val="18"/>
                      <w:szCs w:val="18"/>
                    </w:rPr>
                    <w:t>0</w:t>
                  </w:r>
                </w:p>
              </w:tc>
              <w:tc>
                <w:tcPr>
                  <w:tcW w:w="686" w:type="dxa"/>
                  <w:vAlign w:val="center"/>
                </w:tcPr>
                <w:p>
                  <w:pPr>
                    <w:adjustRightInd w:val="0"/>
                    <w:snapToGrid w:val="0"/>
                    <w:spacing w:line="240" w:lineRule="exact"/>
                    <w:jc w:val="center"/>
                    <w:rPr>
                      <w:rFonts w:ascii="Times New Roman" w:hAnsi="Times New Roman"/>
                      <w:sz w:val="18"/>
                      <w:szCs w:val="18"/>
                    </w:rPr>
                  </w:pPr>
                  <w:r>
                    <w:rPr>
                      <w:rFonts w:ascii="Times New Roman" w:hAnsi="Times New Roman"/>
                      <w:sz w:val="18"/>
                      <w:szCs w:val="18"/>
                    </w:rPr>
                    <w:t>达标</w:t>
                  </w:r>
                </w:p>
              </w:tc>
            </w:tr>
          </w:tbl>
          <w:p>
            <w:pPr>
              <w:adjustRightInd w:val="0"/>
              <w:snapToGrid w:val="0"/>
              <w:spacing w:line="440" w:lineRule="exact"/>
              <w:ind w:firstLine="480" w:firstLineChars="200"/>
              <w:rPr>
                <w:rFonts w:ascii="Times New Roman" w:hAnsi="Times New Roman"/>
              </w:rPr>
            </w:pPr>
            <w:r>
              <w:rPr>
                <w:rFonts w:ascii="Times New Roman" w:hAnsi="Times New Roman"/>
              </w:rPr>
              <w:t>根据监测结果，</w:t>
            </w:r>
            <w:r>
              <w:rPr>
                <w:rFonts w:hint="eastAsia" w:ascii="Times New Roman" w:hAnsi="Times New Roman"/>
              </w:rPr>
              <w:t>大气环境质量</w:t>
            </w:r>
            <w:r>
              <w:rPr>
                <w:rFonts w:ascii="Times New Roman" w:hAnsi="Times New Roman"/>
              </w:rPr>
              <w:t>监测点的</w:t>
            </w:r>
            <w:r>
              <w:rPr>
                <w:rFonts w:hint="eastAsia" w:ascii="Times New Roman" w:hAnsi="Times New Roman"/>
              </w:rPr>
              <w:t>TSP浓度日均值</w:t>
            </w:r>
            <w:r>
              <w:rPr>
                <w:rFonts w:ascii="Times New Roman" w:hAnsi="Times New Roman"/>
              </w:rPr>
              <w:t>满足《环境空气质量标准》(GB3095-2012)表</w:t>
            </w:r>
            <w:r>
              <w:rPr>
                <w:rFonts w:hint="eastAsia" w:ascii="Times New Roman" w:hAnsi="Times New Roman"/>
              </w:rPr>
              <w:t>2</w:t>
            </w:r>
            <w:r>
              <w:rPr>
                <w:rFonts w:ascii="Times New Roman" w:hAnsi="Times New Roman"/>
              </w:rPr>
              <w:t>二级标准</w:t>
            </w:r>
            <w:r>
              <w:rPr>
                <w:rFonts w:hint="eastAsia" w:ascii="Times New Roman" w:hAnsi="Times New Roman"/>
              </w:rPr>
              <w:t>。项目所在区域环境质量现状良好，具有一定的环境容量。具体检测报告见附件七。</w:t>
            </w:r>
          </w:p>
          <w:p>
            <w:pPr>
              <w:pStyle w:val="46"/>
              <w:rPr>
                <w:color w:val="auto"/>
              </w:rPr>
            </w:pPr>
          </w:p>
          <w:p>
            <w:pPr>
              <w:pStyle w:val="46"/>
              <w:rPr>
                <w:color w:val="auto"/>
              </w:rPr>
            </w:pPr>
          </w:p>
          <w:p>
            <w:pPr>
              <w:pStyle w:val="46"/>
              <w:rPr>
                <w:color w:val="auto"/>
              </w:rPr>
            </w:pPr>
          </w:p>
          <w:p>
            <w:pPr>
              <w:pStyle w:val="46"/>
              <w:rPr>
                <w:color w:val="auto"/>
              </w:rPr>
            </w:pPr>
          </w:p>
          <w:p>
            <w:pPr>
              <w:pStyle w:val="46"/>
              <w:rPr>
                <w:color w:val="auto"/>
              </w:rPr>
            </w:pPr>
          </w:p>
          <w:p>
            <w:pPr>
              <w:pStyle w:val="46"/>
              <w:rPr>
                <w:color w:val="auto"/>
              </w:rPr>
            </w:pPr>
          </w:p>
          <w:p>
            <w:pPr>
              <w:jc w:val="center"/>
              <w:rPr>
                <w:rFonts w:ascii="Times New Roman" w:hAnsi="Times New Roman"/>
              </w:rPr>
            </w:pPr>
            <w:r>
              <w:rPr>
                <w:rFonts w:ascii="Times New Roman" w:hAnsi="Times New Roman"/>
                <w:sz w:val="21"/>
              </w:rPr>
              <mc:AlternateContent>
                <mc:Choice Requires="wps">
                  <w:drawing>
                    <wp:anchor distT="0" distB="0" distL="114300" distR="114300" simplePos="0" relativeHeight="251662336" behindDoc="0" locked="0" layoutInCell="1" allowOverlap="1">
                      <wp:simplePos x="0" y="0"/>
                      <wp:positionH relativeFrom="column">
                        <wp:posOffset>2162175</wp:posOffset>
                      </wp:positionH>
                      <wp:positionV relativeFrom="paragraph">
                        <wp:posOffset>2587625</wp:posOffset>
                      </wp:positionV>
                      <wp:extent cx="519430" cy="371475"/>
                      <wp:effectExtent l="0" t="0" r="0" b="0"/>
                      <wp:wrapNone/>
                      <wp:docPr id="50" name="文本框 50"/>
                      <wp:cNvGraphicFramePr/>
                      <a:graphic xmlns:a="http://schemas.openxmlformats.org/drawingml/2006/main">
                        <a:graphicData uri="http://schemas.microsoft.com/office/word/2010/wordprocessingShape">
                          <wps:wsp>
                            <wps:cNvSpPr txBox="1"/>
                            <wps:spPr>
                              <a:xfrm>
                                <a:off x="0" y="0"/>
                                <a:ext cx="519430" cy="371475"/>
                              </a:xfrm>
                              <a:prstGeom prst="rect">
                                <a:avLst/>
                              </a:prstGeom>
                              <a:noFill/>
                              <a:ln>
                                <a:noFill/>
                              </a:ln>
                            </wps:spPr>
                            <wps:txbx>
                              <w:txbxContent>
                                <w:p>
                                  <w:pPr>
                                    <w:rPr>
                                      <w:rFonts w:ascii="微软雅黑" w:hAnsi="微软雅黑" w:eastAsia="微软雅黑" w:cs="微软雅黑"/>
                                      <w:color w:val="FF0000"/>
                                      <w:sz w:val="32"/>
                                      <w:szCs w:val="32"/>
                                    </w:rPr>
                                  </w:pPr>
                                  <w:r>
                                    <w:rPr>
                                      <w:rFonts w:hint="eastAsia" w:ascii="微软雅黑" w:hAnsi="微软雅黑" w:eastAsia="微软雅黑" w:cs="微软雅黑"/>
                                      <w:color w:val="FF0000"/>
                                      <w:sz w:val="32"/>
                                      <w:szCs w:val="32"/>
                                    </w:rPr>
                                    <w:t>1#</w:t>
                                  </w:r>
                                </w:p>
                              </w:txbxContent>
                            </wps:txbx>
                            <wps:bodyPr upright="1"/>
                          </wps:wsp>
                        </a:graphicData>
                      </a:graphic>
                    </wp:anchor>
                  </w:drawing>
                </mc:Choice>
                <mc:Fallback>
                  <w:pict>
                    <v:shape id="_x0000_s1026" o:spid="_x0000_s1026" o:spt="202" type="#_x0000_t202" style="position:absolute;left:0pt;margin-left:170.25pt;margin-top:203.75pt;height:29.25pt;width:40.9pt;z-index:251662336;mso-width-relative:page;mso-height-relative:page;" filled="f" stroked="f" coordsize="21600,21600" o:gfxdata="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BYAAABkcnMv&#10;UEsBAhQAFAAAAAgAh07iQJfPLVHYAAAACwEAAA8AAAAAAAAAAQAgAAAAOAAAAGRycy9kb3ducmV2&#10;LnhtbFBLAQIUABQAAAAIAIdO4kAoUlUsrQEAAE8DAAAOAAAAAAAAAAEAIAAAAD0BAABkcnMvZTJv&#10;RG9jLnhtbFBLBQYAAAAABgAGAFkBAABcBQAAAAA=&#10;">
                      <v:fill on="f" focussize="0,0"/>
                      <v:stroke on="f"/>
                      <v:imagedata o:title=""/>
                      <o:lock v:ext="edit" aspectratio="f"/>
                      <v:textbox>
                        <w:txbxContent>
                          <w:p>
                            <w:pPr>
                              <w:rPr>
                                <w:rFonts w:ascii="微软雅黑" w:hAnsi="微软雅黑" w:eastAsia="微软雅黑" w:cs="微软雅黑"/>
                                <w:color w:val="FF0000"/>
                                <w:sz w:val="32"/>
                                <w:szCs w:val="32"/>
                              </w:rPr>
                            </w:pPr>
                            <w:r>
                              <w:rPr>
                                <w:rFonts w:hint="eastAsia" w:ascii="微软雅黑" w:hAnsi="微软雅黑" w:eastAsia="微软雅黑" w:cs="微软雅黑"/>
                                <w:color w:val="FF0000"/>
                                <w:sz w:val="32"/>
                                <w:szCs w:val="32"/>
                              </w:rPr>
                              <w:t>1#</w:t>
                            </w:r>
                          </w:p>
                        </w:txbxContent>
                      </v:textbox>
                    </v:shape>
                  </w:pict>
                </mc:Fallback>
              </mc:AlternateContent>
            </w:r>
            <w:r>
              <w:rPr>
                <w:rFonts w:ascii="Times New Roman" w:hAnsi="Times New Roman"/>
              </w:rPr>
              <mc:AlternateContent>
                <mc:Choice Requires="wps">
                  <w:drawing>
                    <wp:anchor distT="0" distB="0" distL="114300" distR="114300" simplePos="0" relativeHeight="251661312" behindDoc="0" locked="0" layoutInCell="1" allowOverlap="1">
                      <wp:simplePos x="0" y="0"/>
                      <wp:positionH relativeFrom="column">
                        <wp:posOffset>2582545</wp:posOffset>
                      </wp:positionH>
                      <wp:positionV relativeFrom="paragraph">
                        <wp:posOffset>2637155</wp:posOffset>
                      </wp:positionV>
                      <wp:extent cx="201930" cy="203200"/>
                      <wp:effectExtent l="9525" t="9525" r="17145" b="15875"/>
                      <wp:wrapNone/>
                      <wp:docPr id="49" name="椭圆 49"/>
                      <wp:cNvGraphicFramePr/>
                      <a:graphic xmlns:a="http://schemas.openxmlformats.org/drawingml/2006/main">
                        <a:graphicData uri="http://schemas.microsoft.com/office/word/2010/wordprocessingShape">
                          <wps:wsp>
                            <wps:cNvSpPr/>
                            <wps:spPr>
                              <a:xfrm>
                                <a:off x="0" y="0"/>
                                <a:ext cx="201930" cy="203200"/>
                              </a:xfrm>
                              <a:prstGeom prst="ellipse">
                                <a:avLst/>
                              </a:prstGeom>
                              <a:noFill/>
                              <a:ln w="1905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203.35pt;margin-top:207.65pt;height:16pt;width:15.9pt;z-index:251661312;v-text-anchor:middle;mso-width-relative:page;mso-height-relative:page;" filled="f" stroked="t" coordsize="21600,21600" o:gfxdata="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">
                      <v:fill on="f" focussize="0,0"/>
                      <v:stroke weight="1.5pt" color="#FF0000" joinstyle="round"/>
                      <v:imagedata o:title=""/>
                      <o:lock v:ext="edit" aspectratio="f"/>
                    </v:shape>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3863975</wp:posOffset>
                      </wp:positionH>
                      <wp:positionV relativeFrom="paragraph">
                        <wp:posOffset>5689600</wp:posOffset>
                      </wp:positionV>
                      <wp:extent cx="365125" cy="8255"/>
                      <wp:effectExtent l="0" t="0" r="0" b="0"/>
                      <wp:wrapNone/>
                      <wp:docPr id="42" name="直接连接符 42"/>
                      <wp:cNvGraphicFramePr/>
                      <a:graphic xmlns:a="http://schemas.openxmlformats.org/drawingml/2006/main">
                        <a:graphicData uri="http://schemas.microsoft.com/office/word/2010/wordprocessingShape">
                          <wps:wsp>
                            <wps:cNvCnPr/>
                            <wps:spPr>
                              <a:xfrm flipV="1">
                                <a:off x="5139690" y="7117080"/>
                                <a:ext cx="365125" cy="8255"/>
                              </a:xfrm>
                              <a:prstGeom prst="line">
                                <a:avLst/>
                              </a:prstGeom>
                              <a:ln>
                                <a:solidFill>
                                  <a:srgbClr val="FF0000"/>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flip:y;margin-left:304.25pt;margin-top:448pt;height:0.65pt;width:28.75pt;z-index:251663360;mso-width-relative:page;mso-height-relative:page;" filled="f" stroked="t" coordsize="21600,21600" o:gfxdata="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BYAAABkcnMvUEsBAhQAFAAAAAgAh07iQINq3JrWAAAACwEAAA8AAAAAAAAAAQAgAAAAOAAA&#10;AGRycy9kb3ducmV2LnhtbFBLAQIUABQAAAAIAIdO4kD4eMA59AEAALUDAAAOAAAAAAAAAAEAIAAA&#10;ADsBAABkcnMvZTJvRG9jLnhtbFBLBQYAAAAABgAGAFkBAAChBQAAAAA=&#10;">
                      <v:fill on="f" focussize="0,0"/>
                      <v:stroke weight="2pt" color="#FF0000 [3204]" joinstyle="round"/>
                      <v:imagedata o:title=""/>
                      <o:lock v:ext="edit" aspectratio="f"/>
                    </v:line>
                  </w:pict>
                </mc:Fallback>
              </mc:AlternateContent>
            </w:r>
            <w:r>
              <w:rPr>
                <w:rFonts w:ascii="Times New Roman" w:hAnsi="Times New Roman"/>
                <w:sz w:val="21"/>
              </w:rPr>
              <mc:AlternateContent>
                <mc:Choice Requires="wps">
                  <w:drawing>
                    <wp:anchor distT="0" distB="0" distL="114300" distR="114300" simplePos="0" relativeHeight="251664384" behindDoc="0" locked="0" layoutInCell="1" allowOverlap="1">
                      <wp:simplePos x="0" y="0"/>
                      <wp:positionH relativeFrom="column">
                        <wp:posOffset>3751580</wp:posOffset>
                      </wp:positionH>
                      <wp:positionV relativeFrom="paragraph">
                        <wp:posOffset>5329555</wp:posOffset>
                      </wp:positionV>
                      <wp:extent cx="598805" cy="285750"/>
                      <wp:effectExtent l="0" t="0" r="0" b="0"/>
                      <wp:wrapNone/>
                      <wp:docPr id="52" name="文本框 52"/>
                      <wp:cNvGraphicFramePr/>
                      <a:graphic xmlns:a="http://schemas.openxmlformats.org/drawingml/2006/main">
                        <a:graphicData uri="http://schemas.microsoft.com/office/word/2010/wordprocessingShape">
                          <wps:wsp>
                            <wps:cNvSpPr txBox="1"/>
                            <wps:spPr>
                              <a:xfrm>
                                <a:off x="0" y="0"/>
                                <a:ext cx="598805" cy="285750"/>
                              </a:xfrm>
                              <a:prstGeom prst="rect">
                                <a:avLst/>
                              </a:prstGeom>
                              <a:noFill/>
                              <a:ln>
                                <a:noFill/>
                              </a:ln>
                            </wps:spPr>
                            <wps:txbx>
                              <w:txbxContent>
                                <w:p>
                                  <w:pPr>
                                    <w:rPr>
                                      <w:color w:val="FF0000"/>
                                      <w:sz w:val="30"/>
                                      <w:szCs w:val="30"/>
                                    </w:rPr>
                                  </w:pPr>
                                  <w:r>
                                    <w:rPr>
                                      <w:rFonts w:hint="eastAsia"/>
                                      <w:color w:val="FF0000"/>
                                      <w:sz w:val="30"/>
                                      <w:szCs w:val="30"/>
                                    </w:rPr>
                                    <w:t>20m</w:t>
                                  </w:r>
                                </w:p>
                              </w:txbxContent>
                            </wps:txbx>
                            <wps:bodyPr upright="1"/>
                          </wps:wsp>
                        </a:graphicData>
                      </a:graphic>
                    </wp:anchor>
                  </w:drawing>
                </mc:Choice>
                <mc:Fallback>
                  <w:pict>
                    <v:shape id="_x0000_s1026" o:spid="_x0000_s1026" o:spt="202" type="#_x0000_t202" style="position:absolute;left:0pt;margin-left:295.4pt;margin-top:419.65pt;height:22.5pt;width:47.15pt;z-index:251664384;mso-width-relative:page;mso-height-relative:page;" filled="f" stroked="f" coordsize="21600,21600" o:gfxdata="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WAAAAZHJz&#10;L1BLAQIUABQAAAAIAIdO4kAU1H042AAAAAsBAAAPAAAAAAAAAAEAIAAAADgAAABkcnMvZG93bnJl&#10;di54bWxQSwECFAAUAAAACACHTuJA0yNuCK4BAABPAwAADgAAAAAAAAABACAAAAA9AQAAZHJzL2Uy&#10;b0RvYy54bWxQSwUGAAAAAAYABgBZAQAAXQUAAAAA&#10;">
                      <v:fill on="f" focussize="0,0"/>
                      <v:stroke on="f"/>
                      <v:imagedata o:title=""/>
                      <o:lock v:ext="edit" aspectratio="f"/>
                      <v:textbox>
                        <w:txbxContent>
                          <w:p>
                            <w:pPr>
                              <w:rPr>
                                <w:color w:val="FF0000"/>
                                <w:sz w:val="30"/>
                                <w:szCs w:val="30"/>
                              </w:rPr>
                            </w:pPr>
                            <w:r>
                              <w:rPr>
                                <w:rFonts w:hint="eastAsia"/>
                                <w:color w:val="FF0000"/>
                                <w:sz w:val="30"/>
                                <w:szCs w:val="30"/>
                              </w:rPr>
                              <w:t>20m</w:t>
                            </w:r>
                          </w:p>
                        </w:txbxContent>
                      </v:textbox>
                    </v:shape>
                  </w:pict>
                </mc:Fallback>
              </mc:AlternateContent>
            </w:r>
            <w:r>
              <w:rPr>
                <w:rFonts w:ascii="Times New Roman" w:hAnsi="Times New Roman"/>
              </w:rPr>
              <mc:AlternateContent>
                <mc:Choice Requires="wps">
                  <w:drawing>
                    <wp:anchor distT="0" distB="0" distL="114300" distR="114300" simplePos="0" relativeHeight="251660288" behindDoc="0" locked="0" layoutInCell="1" allowOverlap="1">
                      <wp:simplePos x="0" y="0"/>
                      <wp:positionH relativeFrom="column">
                        <wp:posOffset>734695</wp:posOffset>
                      </wp:positionH>
                      <wp:positionV relativeFrom="paragraph">
                        <wp:posOffset>5520055</wp:posOffset>
                      </wp:positionV>
                      <wp:extent cx="144780" cy="144145"/>
                      <wp:effectExtent l="9525" t="9525" r="17145" b="17780"/>
                      <wp:wrapNone/>
                      <wp:docPr id="47" name="椭圆 47"/>
                      <wp:cNvGraphicFramePr/>
                      <a:graphic xmlns:a="http://schemas.openxmlformats.org/drawingml/2006/main">
                        <a:graphicData uri="http://schemas.microsoft.com/office/word/2010/wordprocessingShape">
                          <wps:wsp>
                            <wps:cNvSpPr/>
                            <wps:spPr>
                              <a:xfrm>
                                <a:off x="0" y="0"/>
                                <a:ext cx="144780" cy="144145"/>
                              </a:xfrm>
                              <a:prstGeom prst="ellipse">
                                <a:avLst/>
                              </a:prstGeom>
                              <a:noFill/>
                              <a:ln w="1905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57.85pt;margin-top:434.65pt;height:11.35pt;width:11.4pt;z-index:251660288;v-text-anchor:middle;mso-width-relative:page;mso-height-relative:page;" filled="f" stroked="t" coordsize="21600,21600" o:gfxdata="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FgAAAGRycy9QSwECFAAUAAAACACHTuJAh8QxrdgAAAALAQAADwAAAAAAAAABACAAAAA4AAAA&#10;ZHJzL2Rvd25yZXYueG1sUEsBAhQAFAAAAAgAh07iQDR9TXJjAgAAxgQAAA4AAAAAAAAAAQAgAAAA&#10;PQEAAGRycy9lMm9Eb2MueG1sUEsFBgAAAAAGAAYAWQEAABIGAAAAAA==&#10;">
                      <v:fill on="f" focussize="0,0"/>
                      <v:stroke weight="1.5pt" color="#FF0000" joinstyle="round"/>
                      <v:imagedata o:title=""/>
                      <o:lock v:ext="edit" aspectratio="f"/>
                    </v:shape>
                  </w:pict>
                </mc:Fallback>
              </mc:AlternateContent>
            </w:r>
            <w:r>
              <w:rPr>
                <w:rFonts w:ascii="Times New Roman" w:hAnsi="Times New Roman"/>
              </w:rPr>
              <mc:AlternateContent>
                <mc:Choice Requires="wps">
                  <w:drawing>
                    <wp:anchor distT="0" distB="0" distL="114300" distR="114300" simplePos="0" relativeHeight="251659264" behindDoc="0" locked="0" layoutInCell="1" allowOverlap="1">
                      <wp:simplePos x="0" y="0"/>
                      <wp:positionH relativeFrom="column">
                        <wp:posOffset>689610</wp:posOffset>
                      </wp:positionH>
                      <wp:positionV relativeFrom="paragraph">
                        <wp:posOffset>5240655</wp:posOffset>
                      </wp:positionV>
                      <wp:extent cx="1660525" cy="551180"/>
                      <wp:effectExtent l="5080" t="4445" r="10795" b="15875"/>
                      <wp:wrapNone/>
                      <wp:docPr id="45" name="文本框 45"/>
                      <wp:cNvGraphicFramePr/>
                      <a:graphic xmlns:a="http://schemas.openxmlformats.org/drawingml/2006/main">
                        <a:graphicData uri="http://schemas.microsoft.com/office/word/2010/wordprocessingShape">
                          <wps:wsp>
                            <wps:cNvSpPr txBox="1"/>
                            <wps:spPr>
                              <a:xfrm>
                                <a:off x="0" y="0"/>
                                <a:ext cx="1660525" cy="551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960" w:firstLineChars="400"/>
                                  </w:pPr>
                                  <w:r>
                                    <w:rPr>
                                      <w:rFonts w:hint="eastAsia"/>
                                    </w:rPr>
                                    <w:t>图例</w:t>
                                  </w:r>
                                </w:p>
                                <w:p>
                                  <w:pPr>
                                    <w:ind w:firstLine="240" w:firstLineChars="100"/>
                                  </w:pPr>
                                  <w:r>
                                    <w:rPr>
                                      <w:rFonts w:hint="eastAsia"/>
                                    </w:rPr>
                                    <w:t>环境空气监测点位</w:t>
                                  </w:r>
                                </w:p>
                              </w:txbxContent>
                            </wps:txbx>
                            <wps:bodyPr upright="1"/>
                          </wps:wsp>
                        </a:graphicData>
                      </a:graphic>
                    </wp:anchor>
                  </w:drawing>
                </mc:Choice>
                <mc:Fallback>
                  <w:pict>
                    <v:shape id="_x0000_s1026" o:spid="_x0000_s1026" o:spt="202" type="#_x0000_t202" style="position:absolute;left:0pt;margin-left:54.3pt;margin-top:412.65pt;height:43.4pt;width:130.75pt;z-index:251659264;mso-width-relative:page;mso-height-relative:page;" fillcolor="#FFFFFF" filled="t" stroked="t" coordsize="21600,21600" o:gfxdata="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Ih2&#10;iUjZAAAACwEAAA8AAAAAAAAAAQAgAAAAOAAAAGRycy9kb3ducmV2LnhtbFBLAQIUABQAAAAIAIdO&#10;4kD9gJSzDAIAADgEAAAOAAAAAAAAAAEAIAAAAD4BAABkcnMvZTJvRG9jLnhtbFBLBQYAAAAABgAG&#10;AFkBAAC8BQAAAAA=&#10;">
                      <v:fill on="t" focussize="0,0"/>
                      <v:stroke color="#000000" joinstyle="miter"/>
                      <v:imagedata o:title=""/>
                      <o:lock v:ext="edit" aspectratio="f"/>
                      <v:textbox>
                        <w:txbxContent>
                          <w:p>
                            <w:pPr>
                              <w:ind w:firstLine="960" w:firstLineChars="400"/>
                            </w:pPr>
                            <w:r>
                              <w:rPr>
                                <w:rFonts w:hint="eastAsia"/>
                              </w:rPr>
                              <w:t>图例</w:t>
                            </w:r>
                          </w:p>
                          <w:p>
                            <w:pPr>
                              <w:ind w:firstLine="240" w:firstLineChars="100"/>
                            </w:pPr>
                            <w:r>
                              <w:rPr>
                                <w:rFonts w:hint="eastAsia"/>
                              </w:rPr>
                              <w:t>环境空气监测点位</w:t>
                            </w:r>
                          </w:p>
                        </w:txbxContent>
                      </v:textbox>
                    </v:shape>
                  </w:pict>
                </mc:Fallback>
              </mc:AlternateContent>
            </w:r>
            <w:r>
              <w:drawing>
                <wp:anchor distT="0" distB="0" distL="114300" distR="114300" simplePos="0" relativeHeight="251665408" behindDoc="0" locked="0" layoutInCell="1" allowOverlap="1">
                  <wp:simplePos x="0" y="0"/>
                  <wp:positionH relativeFrom="column">
                    <wp:posOffset>621665</wp:posOffset>
                  </wp:positionH>
                  <wp:positionV relativeFrom="paragraph">
                    <wp:posOffset>57150</wp:posOffset>
                  </wp:positionV>
                  <wp:extent cx="823595" cy="1038860"/>
                  <wp:effectExtent l="9525" t="9525" r="24130" b="18415"/>
                  <wp:wrapNone/>
                  <wp:docPr id="53" name="图片 53" descr="16565832010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53" descr="1656583201075"/>
                          <pic:cNvPicPr>
                            <a:picLocks noChangeAspect="1"/>
                          </pic:cNvPicPr>
                        </pic:nvPicPr>
                        <pic:blipFill>
                          <a:blip r:embed="rId13"/>
                          <a:stretch>
                            <a:fillRect/>
                          </a:stretch>
                        </pic:blipFill>
                        <pic:spPr>
                          <a:xfrm>
                            <a:off x="0" y="0"/>
                            <a:ext cx="823595" cy="1038860"/>
                          </a:xfrm>
                          <a:prstGeom prst="rect">
                            <a:avLst/>
                          </a:prstGeom>
                          <a:ln>
                            <a:solidFill>
                              <a:schemeClr val="tx1"/>
                            </a:solidFill>
                          </a:ln>
                        </pic:spPr>
                      </pic:pic>
                    </a:graphicData>
                  </a:graphic>
                </wp:anchor>
              </w:drawing>
            </w:r>
            <w:r>
              <w:rPr>
                <w:rFonts w:hint="eastAsia" w:ascii="Times New Roman" w:hAnsi="Times New Roman"/>
              </w:rPr>
              <w:drawing>
                <wp:inline distT="0" distB="0" distL="114300" distR="114300">
                  <wp:extent cx="3797300" cy="5822950"/>
                  <wp:effectExtent l="9525" t="9525" r="22225" b="15875"/>
                  <wp:docPr id="26" name="图片 26" descr="TSP监测点位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TSP监测点位图"/>
                          <pic:cNvPicPr>
                            <a:picLocks noChangeAspect="1"/>
                          </pic:cNvPicPr>
                        </pic:nvPicPr>
                        <pic:blipFill>
                          <a:blip r:embed="rId14"/>
                          <a:srcRect l="3622" t="78" r="4090"/>
                          <a:stretch>
                            <a:fillRect/>
                          </a:stretch>
                        </pic:blipFill>
                        <pic:spPr>
                          <a:xfrm>
                            <a:off x="0" y="0"/>
                            <a:ext cx="3797300" cy="5822950"/>
                          </a:xfrm>
                          <a:prstGeom prst="rect">
                            <a:avLst/>
                          </a:prstGeom>
                          <a:ln>
                            <a:solidFill>
                              <a:schemeClr val="tx1"/>
                            </a:solidFill>
                          </a:ln>
                        </pic:spPr>
                      </pic:pic>
                    </a:graphicData>
                  </a:graphic>
                </wp:inline>
              </w:drawing>
            </w:r>
          </w:p>
          <w:p>
            <w:pPr>
              <w:pStyle w:val="22"/>
              <w:keepNext/>
              <w:adjustRightInd w:val="0"/>
              <w:snapToGrid w:val="0"/>
              <w:spacing w:before="120" w:beforeLines="50" w:after="0" w:line="240" w:lineRule="auto"/>
              <w:ind w:firstLine="422"/>
              <w:outlineLvl w:val="9"/>
              <w:rPr>
                <w:rFonts w:ascii="Times New Roman" w:hAnsi="Times New Roman" w:eastAsia="黑体"/>
                <w:b w:val="0"/>
                <w:bCs w:val="0"/>
              </w:rPr>
            </w:pPr>
            <w:r>
              <w:rPr>
                <w:rFonts w:ascii="Times New Roman" w:hAnsi="Times New Roman" w:eastAsia="黑体"/>
                <w:bCs w:val="0"/>
                <w:sz w:val="21"/>
                <w:szCs w:val="21"/>
              </w:rPr>
              <w:t>图</w:t>
            </w:r>
            <w:r>
              <w:rPr>
                <w:rFonts w:hint="eastAsia" w:ascii="Times New Roman" w:hAnsi="Times New Roman" w:eastAsia="黑体"/>
                <w:bCs w:val="0"/>
                <w:sz w:val="21"/>
                <w:szCs w:val="21"/>
              </w:rPr>
              <w:t>3.1-1</w:t>
            </w:r>
            <w:r>
              <w:rPr>
                <w:rFonts w:ascii="Times New Roman" w:hAnsi="Times New Roman" w:eastAsia="黑体"/>
                <w:bCs w:val="0"/>
                <w:sz w:val="21"/>
                <w:szCs w:val="21"/>
              </w:rPr>
              <w:t>项目</w:t>
            </w:r>
            <w:r>
              <w:rPr>
                <w:rFonts w:hint="eastAsia" w:ascii="Times New Roman" w:hAnsi="Times New Roman" w:eastAsia="黑体"/>
                <w:bCs w:val="0"/>
                <w:sz w:val="21"/>
                <w:szCs w:val="21"/>
              </w:rPr>
              <w:t>环境空气监测点位图</w:t>
            </w:r>
          </w:p>
          <w:p>
            <w:pPr>
              <w:pStyle w:val="3"/>
              <w:spacing w:line="400" w:lineRule="exact"/>
              <w:ind w:right="-120" w:firstLine="0" w:firstLineChars="0"/>
              <w:rPr>
                <w:rFonts w:ascii="Times New Roman" w:hAnsi="Times New Roman" w:eastAsia="黑体"/>
                <w:b/>
                <w:bCs/>
              </w:rPr>
            </w:pPr>
            <w:r>
              <w:rPr>
                <w:rFonts w:ascii="Times New Roman" w:hAnsi="Times New Roman" w:eastAsia="黑体"/>
                <w:b/>
                <w:bCs/>
              </w:rPr>
              <w:t>3.1.2地表水环境</w:t>
            </w:r>
          </w:p>
          <w:p>
            <w:pPr>
              <w:pStyle w:val="46"/>
              <w:numPr>
                <w:ilvl w:val="0"/>
                <w:numId w:val="9"/>
              </w:numPr>
              <w:ind w:firstLineChars="0"/>
              <w:rPr>
                <w:color w:val="auto"/>
              </w:rPr>
            </w:pPr>
            <w:r>
              <w:rPr>
                <w:color w:val="auto"/>
              </w:rPr>
              <w:t>排水去向</w:t>
            </w:r>
          </w:p>
          <w:p>
            <w:pPr>
              <w:pStyle w:val="46"/>
              <w:rPr>
                <w:color w:val="auto"/>
              </w:rPr>
            </w:pPr>
            <w:r>
              <w:rPr>
                <w:color w:val="auto"/>
              </w:rPr>
              <w:t>本项目无生产废水外排，生活污水经</w:t>
            </w:r>
            <w:r>
              <w:rPr>
                <w:rFonts w:hint="eastAsia"/>
                <w:color w:val="auto"/>
              </w:rPr>
              <w:t>地埋式生活污水处理设施</w:t>
            </w:r>
            <w:r>
              <w:rPr>
                <w:color w:val="auto"/>
              </w:rPr>
              <w:t>处理后</w:t>
            </w:r>
            <w:r>
              <w:rPr>
                <w:rFonts w:hint="eastAsia"/>
                <w:color w:val="auto"/>
              </w:rPr>
              <w:t>用于周边山林地灌溉。</w:t>
            </w:r>
          </w:p>
          <w:p>
            <w:pPr>
              <w:pStyle w:val="46"/>
              <w:rPr>
                <w:color w:val="auto"/>
              </w:rPr>
            </w:pPr>
            <w:r>
              <w:rPr>
                <w:color w:val="auto"/>
              </w:rPr>
              <w:t>（2）环境功能区划及质量标准</w:t>
            </w:r>
          </w:p>
          <w:p>
            <w:pPr>
              <w:pStyle w:val="46"/>
              <w:rPr>
                <w:color w:val="auto"/>
              </w:rPr>
            </w:pPr>
            <w:r>
              <w:rPr>
                <w:color w:val="auto"/>
              </w:rPr>
              <w:t>项目所在区域主要地表水体为</w:t>
            </w:r>
            <w:r>
              <w:rPr>
                <w:rFonts w:hint="eastAsia"/>
                <w:color w:val="auto"/>
              </w:rPr>
              <w:t>武陵溪（均溪支流）</w:t>
            </w:r>
            <w:r>
              <w:rPr>
                <w:color w:val="auto"/>
              </w:rPr>
              <w:t>，水体主要功能为农灌、工业和景观用水，地表水环境功能区类别为《地表水环境质量标准》（GB3838-2002）中的Ⅲ类水体，水质执行《地表水环境质量标准》（GB3838-2002）中的Ⅲ类标准。</w:t>
            </w:r>
          </w:p>
          <w:p>
            <w:pPr>
              <w:pStyle w:val="46"/>
              <w:rPr>
                <w:color w:val="auto"/>
              </w:rPr>
            </w:pPr>
            <w:r>
              <w:rPr>
                <w:color w:val="auto"/>
              </w:rPr>
              <w:t>（3）地表水环境质量现状</w:t>
            </w:r>
          </w:p>
          <w:p>
            <w:pPr>
              <w:pStyle w:val="46"/>
              <w:rPr>
                <w:rFonts w:eastAsiaTheme="minorEastAsia"/>
                <w:color w:val="auto"/>
              </w:rPr>
            </w:pPr>
            <w:r>
              <w:rPr>
                <w:rFonts w:eastAsiaTheme="minorEastAsia"/>
                <w:color w:val="auto"/>
              </w:rPr>
              <w:t>项目所在水域下游为</w:t>
            </w:r>
            <w:r>
              <w:rPr>
                <w:rFonts w:hint="eastAsia" w:eastAsiaTheme="minorEastAsia"/>
                <w:color w:val="auto"/>
              </w:rPr>
              <w:t>武陵溪</w:t>
            </w:r>
            <w:r>
              <w:rPr>
                <w:rFonts w:eastAsiaTheme="minorEastAsia"/>
                <w:color w:val="auto"/>
              </w:rPr>
              <w:t>，</w:t>
            </w:r>
            <w:r>
              <w:rPr>
                <w:rFonts w:hint="eastAsia" w:eastAsiaTheme="minorEastAsia"/>
                <w:color w:val="auto"/>
              </w:rPr>
              <w:t>属于均溪支流，武陵溪</w:t>
            </w:r>
            <w:r>
              <w:rPr>
                <w:rFonts w:eastAsiaTheme="minorEastAsia"/>
                <w:color w:val="auto"/>
              </w:rPr>
              <w:t>设有一个国控监测断面</w:t>
            </w:r>
            <w:r>
              <w:rPr>
                <w:rFonts w:hint="eastAsia" w:eastAsiaTheme="minorEastAsia"/>
                <w:color w:val="auto"/>
              </w:rPr>
              <w:t>“大田高才”</w:t>
            </w:r>
            <w:r>
              <w:rPr>
                <w:rFonts w:eastAsiaTheme="minorEastAsia"/>
                <w:color w:val="auto"/>
              </w:rPr>
              <w:t>，位于厂区下游。</w:t>
            </w:r>
            <w:r>
              <w:rPr>
                <w:color w:val="auto"/>
              </w:rPr>
              <w:t>根据《三明市水环境质量月报（2023年</w:t>
            </w:r>
            <w:r>
              <w:rPr>
                <w:rFonts w:hint="eastAsia"/>
                <w:color w:val="auto"/>
              </w:rPr>
              <w:t>12月—2024年2</w:t>
            </w:r>
            <w:r>
              <w:rPr>
                <w:color w:val="auto"/>
              </w:rPr>
              <w:t>月）》（三明市生态环境局）</w:t>
            </w:r>
            <w:r>
              <w:rPr>
                <w:rFonts w:eastAsiaTheme="minorEastAsia"/>
                <w:color w:val="auto"/>
              </w:rPr>
              <w:t>，</w:t>
            </w:r>
            <w:r>
              <w:rPr>
                <w:color w:val="auto"/>
              </w:rPr>
              <w:t>2023年</w:t>
            </w:r>
            <w:r>
              <w:rPr>
                <w:rFonts w:hint="eastAsia"/>
                <w:color w:val="auto"/>
              </w:rPr>
              <w:t>12月—2024年2</w:t>
            </w:r>
            <w:r>
              <w:rPr>
                <w:color w:val="auto"/>
              </w:rPr>
              <w:t>月“大田高才”水质监测结果均</w:t>
            </w:r>
            <w:r>
              <w:rPr>
                <w:rFonts w:hint="eastAsia"/>
                <w:color w:val="auto"/>
              </w:rPr>
              <w:t>达到</w:t>
            </w:r>
            <w:r>
              <w:rPr>
                <w:color w:val="auto"/>
              </w:rPr>
              <w:t>《地表水环境质量标准》（GB3838-2002）Ⅰ类标准</w:t>
            </w:r>
            <w:r>
              <w:rPr>
                <w:rFonts w:hint="eastAsia"/>
                <w:color w:val="auto"/>
              </w:rPr>
              <w:t>。</w:t>
            </w:r>
            <w:r>
              <w:rPr>
                <w:color w:val="auto"/>
              </w:rPr>
              <w:t>因此，项目所在区域水质可以达到Ⅲ类标准。具体详见表3.1-2。</w:t>
            </w:r>
          </w:p>
          <w:p>
            <w:pPr>
              <w:pStyle w:val="22"/>
              <w:keepNext/>
              <w:keepLines w:val="0"/>
              <w:pageBreakBefore w:val="0"/>
              <w:widowControl w:val="0"/>
              <w:tabs>
                <w:tab w:val="left" w:pos="360"/>
              </w:tabs>
              <w:kinsoku/>
              <w:wordWrap/>
              <w:overflowPunct/>
              <w:topLinePunct w:val="0"/>
              <w:autoSpaceDE/>
              <w:autoSpaceDN/>
              <w:bidi w:val="0"/>
              <w:adjustRightInd w:val="0"/>
              <w:snapToGrid w:val="0"/>
              <w:spacing w:before="0" w:after="0" w:line="440" w:lineRule="exact"/>
              <w:ind w:firstLine="420"/>
              <w:textAlignment w:val="auto"/>
              <w:outlineLvl w:val="9"/>
              <w:rPr>
                <w:rFonts w:ascii="Times New Roman" w:hAnsi="Times New Roman" w:eastAsia="黑体"/>
                <w:b w:val="0"/>
                <w:bCs w:val="0"/>
                <w:sz w:val="21"/>
                <w:szCs w:val="21"/>
              </w:rPr>
            </w:pPr>
            <w:r>
              <w:rPr>
                <w:rFonts w:ascii="Times New Roman" w:hAnsi="Times New Roman" w:eastAsia="黑体"/>
                <w:b w:val="0"/>
                <w:bCs w:val="0"/>
                <w:sz w:val="21"/>
                <w:szCs w:val="21"/>
              </w:rPr>
              <w:t>表3.1-</w:t>
            </w:r>
            <w:r>
              <w:rPr>
                <w:rFonts w:hint="eastAsia" w:ascii="Times New Roman" w:hAnsi="Times New Roman" w:eastAsia="黑体"/>
                <w:b w:val="0"/>
                <w:bCs w:val="0"/>
                <w:sz w:val="21"/>
                <w:szCs w:val="21"/>
              </w:rPr>
              <w:t>4武陵溪（</w:t>
            </w:r>
            <w:r>
              <w:rPr>
                <w:rFonts w:ascii="Times New Roman" w:hAnsi="Times New Roman" w:eastAsia="黑体"/>
                <w:b w:val="0"/>
                <w:bCs w:val="0"/>
                <w:sz w:val="21"/>
                <w:szCs w:val="21"/>
              </w:rPr>
              <w:t>大田高才</w:t>
            </w:r>
            <w:r>
              <w:rPr>
                <w:rFonts w:hint="eastAsia" w:ascii="Times New Roman" w:hAnsi="Times New Roman" w:eastAsia="黑体"/>
                <w:b w:val="0"/>
                <w:bCs w:val="0"/>
                <w:sz w:val="21"/>
                <w:szCs w:val="21"/>
              </w:rPr>
              <w:t>）</w:t>
            </w:r>
            <w:r>
              <w:rPr>
                <w:rFonts w:ascii="Times New Roman" w:hAnsi="Times New Roman" w:eastAsia="黑体"/>
                <w:b w:val="0"/>
                <w:bCs w:val="0"/>
                <w:sz w:val="21"/>
                <w:szCs w:val="21"/>
              </w:rPr>
              <w:t>断面水环境质量表（2023年</w:t>
            </w:r>
            <w:r>
              <w:rPr>
                <w:rFonts w:hint="eastAsia" w:ascii="Times New Roman" w:hAnsi="Times New Roman" w:eastAsia="黑体"/>
                <w:b w:val="0"/>
                <w:bCs w:val="0"/>
                <w:sz w:val="21"/>
                <w:szCs w:val="21"/>
              </w:rPr>
              <w:t>12月</w:t>
            </w:r>
            <w:r>
              <w:rPr>
                <w:rFonts w:ascii="Times New Roman" w:hAnsi="Times New Roman" w:eastAsia="黑体"/>
                <w:b w:val="0"/>
                <w:bCs w:val="0"/>
                <w:sz w:val="21"/>
                <w:szCs w:val="21"/>
              </w:rPr>
              <w:t>-</w:t>
            </w:r>
            <w:r>
              <w:rPr>
                <w:rFonts w:hint="eastAsia" w:ascii="Times New Roman" w:hAnsi="Times New Roman" w:eastAsia="黑体"/>
                <w:b w:val="0"/>
                <w:bCs w:val="0"/>
                <w:sz w:val="21"/>
                <w:szCs w:val="21"/>
              </w:rPr>
              <w:t>2024年2</w:t>
            </w:r>
            <w:r>
              <w:rPr>
                <w:rFonts w:ascii="Times New Roman" w:hAnsi="Times New Roman" w:eastAsia="黑体"/>
                <w:b w:val="0"/>
                <w:bCs w:val="0"/>
                <w:sz w:val="21"/>
                <w:szCs w:val="21"/>
              </w:rPr>
              <w:t>月）</w:t>
            </w:r>
          </w:p>
          <w:tbl>
            <w:tblPr>
              <w:tblStyle w:val="25"/>
              <w:tblW w:w="8132"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2032"/>
              <w:gridCol w:w="2032"/>
              <w:gridCol w:w="2034"/>
              <w:gridCol w:w="2034"/>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032" w:type="dxa"/>
                  <w:vAlign w:val="center"/>
                </w:tcPr>
                <w:p>
                  <w:pPr>
                    <w:pStyle w:val="42"/>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ascii="Times New Roman" w:hAnsi="Times New Roman"/>
                    </w:rPr>
                  </w:pPr>
                  <w:r>
                    <w:rPr>
                      <w:rFonts w:ascii="Times New Roman" w:hAnsi="Times New Roman"/>
                    </w:rPr>
                    <w:t>月份</w:t>
                  </w:r>
                </w:p>
              </w:tc>
              <w:tc>
                <w:tcPr>
                  <w:tcW w:w="2032" w:type="dxa"/>
                  <w:vAlign w:val="center"/>
                </w:tcPr>
                <w:p>
                  <w:pPr>
                    <w:pStyle w:val="42"/>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ascii="Times New Roman" w:hAnsi="Times New Roman"/>
                    </w:rPr>
                  </w:pPr>
                  <w:r>
                    <w:rPr>
                      <w:rFonts w:ascii="Times New Roman" w:hAnsi="Times New Roman"/>
                    </w:rPr>
                    <w:t>水环境功能类别</w:t>
                  </w:r>
                </w:p>
              </w:tc>
              <w:tc>
                <w:tcPr>
                  <w:tcW w:w="2034" w:type="dxa"/>
                  <w:vAlign w:val="center"/>
                </w:tcPr>
                <w:p>
                  <w:pPr>
                    <w:pStyle w:val="42"/>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ascii="Times New Roman" w:hAnsi="Times New Roman"/>
                    </w:rPr>
                  </w:pPr>
                  <w:r>
                    <w:rPr>
                      <w:rFonts w:ascii="Times New Roman" w:hAnsi="Times New Roman"/>
                    </w:rPr>
                    <w:t>现状水质</w:t>
                  </w:r>
                  <w:r>
                    <w:rPr>
                      <w:rFonts w:hint="eastAsia" w:ascii="Times New Roman" w:hAnsi="Times New Roman"/>
                    </w:rPr>
                    <w:t>类别</w:t>
                  </w:r>
                </w:p>
              </w:tc>
              <w:tc>
                <w:tcPr>
                  <w:tcW w:w="2034" w:type="dxa"/>
                  <w:vAlign w:val="center"/>
                </w:tcPr>
                <w:p>
                  <w:pPr>
                    <w:pStyle w:val="42"/>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ascii="Times New Roman" w:hAnsi="Times New Roman"/>
                    </w:rPr>
                  </w:pPr>
                  <w:r>
                    <w:rPr>
                      <w:rFonts w:ascii="Times New Roman" w:hAnsi="Times New Roman"/>
                    </w:rPr>
                    <w:t>是否达标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032" w:type="dxa"/>
                  <w:vAlign w:val="center"/>
                </w:tcPr>
                <w:p>
                  <w:pPr>
                    <w:pStyle w:val="42"/>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ascii="Times New Roman" w:hAnsi="Times New Roman"/>
                    </w:rPr>
                  </w:pPr>
                  <w:r>
                    <w:rPr>
                      <w:rFonts w:ascii="Times New Roman" w:hAnsi="Times New Roman"/>
                    </w:rPr>
                    <w:t>2023年</w:t>
                  </w:r>
                  <w:r>
                    <w:rPr>
                      <w:rFonts w:hint="eastAsia" w:ascii="Times New Roman" w:hAnsi="Times New Roman"/>
                    </w:rPr>
                    <w:t>12</w:t>
                  </w:r>
                  <w:r>
                    <w:rPr>
                      <w:rFonts w:ascii="Times New Roman" w:hAnsi="Times New Roman"/>
                    </w:rPr>
                    <w:t>月</w:t>
                  </w:r>
                </w:p>
              </w:tc>
              <w:tc>
                <w:tcPr>
                  <w:tcW w:w="2032" w:type="dxa"/>
                  <w:vAlign w:val="center"/>
                </w:tcPr>
                <w:p>
                  <w:pPr>
                    <w:pStyle w:val="42"/>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ascii="Times New Roman" w:hAnsi="Times New Roman"/>
                    </w:rPr>
                  </w:pPr>
                  <w:r>
                    <w:rPr>
                      <w:rFonts w:ascii="Times New Roman" w:hAnsi="Times New Roman"/>
                    </w:rPr>
                    <w:t>III类</w:t>
                  </w:r>
                </w:p>
              </w:tc>
              <w:tc>
                <w:tcPr>
                  <w:tcW w:w="2034" w:type="dxa"/>
                  <w:vAlign w:val="center"/>
                </w:tcPr>
                <w:p>
                  <w:pPr>
                    <w:pStyle w:val="42"/>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ascii="Times New Roman" w:hAnsi="Times New Roman"/>
                    </w:rPr>
                  </w:pPr>
                  <w:r>
                    <w:rPr>
                      <w:rFonts w:ascii="Times New Roman" w:hAnsi="Times New Roman" w:eastAsia="MS Gothic"/>
                    </w:rPr>
                    <w:t>Ⅰ</w:t>
                  </w:r>
                  <w:r>
                    <w:rPr>
                      <w:rFonts w:ascii="Times New Roman" w:hAnsi="Times New Roman"/>
                    </w:rPr>
                    <w:t>类</w:t>
                  </w:r>
                </w:p>
              </w:tc>
              <w:tc>
                <w:tcPr>
                  <w:tcW w:w="2034" w:type="dxa"/>
                  <w:vAlign w:val="center"/>
                </w:tcPr>
                <w:p>
                  <w:pPr>
                    <w:pStyle w:val="42"/>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ascii="Times New Roman" w:hAnsi="Times New Roman"/>
                    </w:rPr>
                  </w:pPr>
                  <w:r>
                    <w:rPr>
                      <w:rFonts w:ascii="Times New Roman" w:hAnsi="Times New Roman"/>
                    </w:rPr>
                    <w:t>是</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032" w:type="dxa"/>
                  <w:vAlign w:val="center"/>
                </w:tcPr>
                <w:p>
                  <w:pPr>
                    <w:pStyle w:val="42"/>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ascii="Times New Roman" w:hAnsi="Times New Roman"/>
                    </w:rPr>
                  </w:pPr>
                  <w:r>
                    <w:rPr>
                      <w:rFonts w:ascii="Times New Roman" w:hAnsi="Times New Roman"/>
                    </w:rPr>
                    <w:t>20</w:t>
                  </w:r>
                  <w:r>
                    <w:rPr>
                      <w:rFonts w:hint="eastAsia" w:ascii="Times New Roman" w:hAnsi="Times New Roman"/>
                    </w:rPr>
                    <w:t>24</w:t>
                  </w:r>
                  <w:r>
                    <w:rPr>
                      <w:rFonts w:ascii="Times New Roman" w:hAnsi="Times New Roman"/>
                    </w:rPr>
                    <w:t>年</w:t>
                  </w:r>
                  <w:r>
                    <w:rPr>
                      <w:rFonts w:hint="eastAsia" w:ascii="Times New Roman" w:hAnsi="Times New Roman"/>
                    </w:rPr>
                    <w:t>1</w:t>
                  </w:r>
                  <w:r>
                    <w:rPr>
                      <w:rFonts w:ascii="Times New Roman" w:hAnsi="Times New Roman"/>
                    </w:rPr>
                    <w:t>月</w:t>
                  </w:r>
                </w:p>
              </w:tc>
              <w:tc>
                <w:tcPr>
                  <w:tcW w:w="2032" w:type="dxa"/>
                  <w:vAlign w:val="center"/>
                </w:tcPr>
                <w:p>
                  <w:pPr>
                    <w:pStyle w:val="42"/>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ascii="Times New Roman" w:hAnsi="Times New Roman"/>
                    </w:rPr>
                  </w:pPr>
                  <w:r>
                    <w:rPr>
                      <w:rFonts w:ascii="Times New Roman" w:hAnsi="Times New Roman"/>
                    </w:rPr>
                    <w:t>III类</w:t>
                  </w:r>
                </w:p>
              </w:tc>
              <w:tc>
                <w:tcPr>
                  <w:tcW w:w="2034" w:type="dxa"/>
                  <w:vAlign w:val="center"/>
                </w:tcPr>
                <w:p>
                  <w:pPr>
                    <w:pStyle w:val="42"/>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ascii="Times New Roman" w:hAnsi="Times New Roman"/>
                    </w:rPr>
                  </w:pPr>
                  <w:r>
                    <w:rPr>
                      <w:rFonts w:ascii="Times New Roman" w:hAnsi="Times New Roman" w:eastAsia="MS Gothic"/>
                    </w:rPr>
                    <w:t>Ⅰ</w:t>
                  </w:r>
                  <w:r>
                    <w:rPr>
                      <w:rFonts w:ascii="Times New Roman" w:hAnsi="Times New Roman"/>
                    </w:rPr>
                    <w:t>类</w:t>
                  </w:r>
                </w:p>
              </w:tc>
              <w:tc>
                <w:tcPr>
                  <w:tcW w:w="2034" w:type="dxa"/>
                  <w:vAlign w:val="center"/>
                </w:tcPr>
                <w:p>
                  <w:pPr>
                    <w:pStyle w:val="42"/>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ascii="Times New Roman" w:hAnsi="Times New Roman"/>
                    </w:rPr>
                  </w:pPr>
                  <w:r>
                    <w:rPr>
                      <w:rFonts w:ascii="Times New Roman" w:hAnsi="Times New Roman"/>
                    </w:rPr>
                    <w:t>是</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032" w:type="dxa"/>
                  <w:vAlign w:val="center"/>
                </w:tcPr>
                <w:p>
                  <w:pPr>
                    <w:pStyle w:val="42"/>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ascii="Times New Roman" w:hAnsi="Times New Roman"/>
                    </w:rPr>
                  </w:pPr>
                  <w:r>
                    <w:rPr>
                      <w:rFonts w:ascii="Times New Roman" w:hAnsi="Times New Roman"/>
                    </w:rPr>
                    <w:t>202</w:t>
                  </w:r>
                  <w:r>
                    <w:rPr>
                      <w:rFonts w:hint="eastAsia" w:ascii="Times New Roman" w:hAnsi="Times New Roman"/>
                    </w:rPr>
                    <w:t>4</w:t>
                  </w:r>
                  <w:r>
                    <w:rPr>
                      <w:rFonts w:ascii="Times New Roman" w:hAnsi="Times New Roman"/>
                    </w:rPr>
                    <w:t>年</w:t>
                  </w:r>
                  <w:r>
                    <w:rPr>
                      <w:rFonts w:hint="eastAsia" w:ascii="Times New Roman" w:hAnsi="Times New Roman"/>
                    </w:rPr>
                    <w:t>2</w:t>
                  </w:r>
                  <w:r>
                    <w:rPr>
                      <w:rFonts w:ascii="Times New Roman" w:hAnsi="Times New Roman"/>
                    </w:rPr>
                    <w:t>月</w:t>
                  </w:r>
                </w:p>
              </w:tc>
              <w:tc>
                <w:tcPr>
                  <w:tcW w:w="2032" w:type="dxa"/>
                  <w:vAlign w:val="center"/>
                </w:tcPr>
                <w:p>
                  <w:pPr>
                    <w:pStyle w:val="42"/>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ascii="Times New Roman" w:hAnsi="Times New Roman"/>
                    </w:rPr>
                  </w:pPr>
                  <w:r>
                    <w:rPr>
                      <w:rFonts w:ascii="Times New Roman" w:hAnsi="Times New Roman"/>
                    </w:rPr>
                    <w:t>III类</w:t>
                  </w:r>
                </w:p>
              </w:tc>
              <w:tc>
                <w:tcPr>
                  <w:tcW w:w="2034" w:type="dxa"/>
                  <w:vAlign w:val="center"/>
                </w:tcPr>
                <w:p>
                  <w:pPr>
                    <w:pStyle w:val="42"/>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ascii="Times New Roman" w:hAnsi="Times New Roman"/>
                    </w:rPr>
                  </w:pPr>
                  <w:r>
                    <w:rPr>
                      <w:rFonts w:ascii="Times New Roman" w:hAnsi="Times New Roman" w:eastAsia="MS Gothic"/>
                    </w:rPr>
                    <w:t>Ⅰ</w:t>
                  </w:r>
                  <w:r>
                    <w:rPr>
                      <w:rFonts w:ascii="Times New Roman" w:hAnsi="Times New Roman"/>
                    </w:rPr>
                    <w:t>类</w:t>
                  </w:r>
                </w:p>
              </w:tc>
              <w:tc>
                <w:tcPr>
                  <w:tcW w:w="2034" w:type="dxa"/>
                  <w:vAlign w:val="center"/>
                </w:tcPr>
                <w:p>
                  <w:pPr>
                    <w:pStyle w:val="42"/>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ascii="Times New Roman" w:hAnsi="Times New Roman"/>
                    </w:rPr>
                  </w:pPr>
                  <w:r>
                    <w:rPr>
                      <w:rFonts w:ascii="Times New Roman" w:hAnsi="Times New Roman"/>
                    </w:rPr>
                    <w:t>是</w:t>
                  </w:r>
                </w:p>
              </w:tc>
            </w:tr>
          </w:tbl>
          <w:p>
            <w:pPr>
              <w:pStyle w:val="3"/>
              <w:spacing w:line="400" w:lineRule="exact"/>
              <w:ind w:right="-120" w:firstLine="0" w:firstLineChars="0"/>
              <w:rPr>
                <w:rFonts w:ascii="Times New Roman" w:hAnsi="Times New Roman" w:eastAsia="黑体"/>
                <w:b/>
                <w:bCs/>
              </w:rPr>
            </w:pPr>
            <w:r>
              <w:rPr>
                <w:rFonts w:ascii="Times New Roman" w:hAnsi="Times New Roman" w:eastAsia="黑体"/>
                <w:b/>
                <w:bCs/>
              </w:rPr>
              <w:t>3.1.3声环境</w:t>
            </w:r>
          </w:p>
          <w:p>
            <w:pPr>
              <w:spacing w:line="440" w:lineRule="exact"/>
              <w:ind w:firstLine="480" w:firstLineChars="200"/>
              <w:rPr>
                <w:rFonts w:ascii="Times New Roman" w:hAnsi="Times New Roman"/>
              </w:rPr>
            </w:pPr>
            <w:r>
              <w:rPr>
                <w:rFonts w:ascii="Times New Roman" w:hAnsi="Times New Roman"/>
                <w:kern w:val="0"/>
                <w:szCs w:val="20"/>
              </w:rPr>
              <w:t>根据《建设项目环境影响报告表编制技术指南》（污染影响类）（试行）中规定，“厂界外周边50米范围内存在声环境保护目标的建设项目，应监测保护目标声环境质量现状并评价达标情况。”项目厂界周边50米范围内无声环境保护目标，本项目不开展周边声环境质量现状调查及评价。</w:t>
            </w:r>
          </w:p>
          <w:p>
            <w:pPr>
              <w:pStyle w:val="3"/>
              <w:spacing w:line="400" w:lineRule="exact"/>
              <w:ind w:right="-120" w:firstLine="0" w:firstLineChars="0"/>
              <w:rPr>
                <w:rFonts w:ascii="Times New Roman" w:hAnsi="Times New Roman" w:eastAsia="黑体"/>
                <w:b/>
                <w:bCs/>
              </w:rPr>
            </w:pPr>
            <w:r>
              <w:rPr>
                <w:rFonts w:ascii="Times New Roman" w:hAnsi="Times New Roman" w:eastAsia="黑体"/>
                <w:b/>
                <w:bCs/>
              </w:rPr>
              <w:t>3.1.4生态环境</w:t>
            </w:r>
          </w:p>
          <w:p>
            <w:pPr>
              <w:spacing w:line="440" w:lineRule="exact"/>
              <w:ind w:firstLine="480" w:firstLineChars="200"/>
              <w:jc w:val="left"/>
              <w:rPr>
                <w:rFonts w:ascii="Times New Roman" w:hAnsi="Times New Roman"/>
                <w:kern w:val="0"/>
                <w:szCs w:val="20"/>
              </w:rPr>
            </w:pPr>
            <w:r>
              <w:rPr>
                <w:rFonts w:ascii="Times New Roman" w:hAnsi="Times New Roman"/>
                <w:kern w:val="0"/>
                <w:szCs w:val="20"/>
              </w:rPr>
              <w:t>本项目</w:t>
            </w:r>
            <w:r>
              <w:rPr>
                <w:rFonts w:hint="eastAsia" w:ascii="Times New Roman" w:hAnsi="Times New Roman"/>
                <w:kern w:val="0"/>
                <w:szCs w:val="20"/>
              </w:rPr>
              <w:t>租赁大田县武陵乡大石村岩盛公司部分闲置厂房</w:t>
            </w:r>
            <w:r>
              <w:rPr>
                <w:rFonts w:ascii="Times New Roman" w:hAnsi="Times New Roman"/>
                <w:kern w:val="0"/>
                <w:szCs w:val="20"/>
              </w:rPr>
              <w:t>，无新增用地，用地周边无珍稀濒危物种、自然保护区、风景名胜区等生态敏感目标，不属于生态敏感区，对周边生态环境造成的影响很小。</w:t>
            </w:r>
            <w:r>
              <w:rPr>
                <w:rFonts w:ascii="Times New Roman" w:hAnsi="Times New Roman"/>
              </w:rPr>
              <w:t>项目生产运营不会造成评价区域内生物量和物种多样性的锐减，不会引起荒漠化、水和土地的理化性质恶化，对生态环境造成的影响很小，本评价不进行生态环境影响评价</w:t>
            </w:r>
            <w:r>
              <w:rPr>
                <w:rFonts w:ascii="Times New Roman" w:hAnsi="Times New Roman"/>
                <w:kern w:val="0"/>
                <w:szCs w:val="20"/>
              </w:rPr>
              <w:t>。</w:t>
            </w:r>
          </w:p>
          <w:p>
            <w:pPr>
              <w:pStyle w:val="3"/>
              <w:spacing w:line="400" w:lineRule="exact"/>
              <w:ind w:right="-120" w:firstLine="0" w:firstLineChars="0"/>
              <w:rPr>
                <w:rFonts w:ascii="Times New Roman" w:hAnsi="Times New Roman" w:eastAsia="黑体"/>
                <w:b/>
                <w:bCs/>
              </w:rPr>
            </w:pPr>
            <w:r>
              <w:rPr>
                <w:rFonts w:ascii="Times New Roman" w:hAnsi="Times New Roman" w:eastAsia="黑体"/>
                <w:b/>
                <w:bCs/>
              </w:rPr>
              <w:t>3.1.5地下水、土壤环境</w:t>
            </w:r>
          </w:p>
          <w:p>
            <w:pPr>
              <w:spacing w:line="440" w:lineRule="exact"/>
              <w:ind w:firstLine="480" w:firstLineChars="200"/>
              <w:jc w:val="left"/>
              <w:rPr>
                <w:rFonts w:ascii="Times New Roman" w:hAnsi="Times New Roman" w:eastAsia="仿宋"/>
                <w:sz w:val="30"/>
              </w:rPr>
            </w:pPr>
            <w:r>
              <w:rPr>
                <w:rFonts w:ascii="Times New Roman" w:hAnsi="Times New Roman"/>
                <w:kern w:val="0"/>
                <w:szCs w:val="20"/>
              </w:rPr>
              <w:t>项目</w:t>
            </w:r>
            <w:r>
              <w:rPr>
                <w:rFonts w:hint="eastAsia" w:ascii="Times New Roman" w:hAnsi="Times New Roman"/>
                <w:kern w:val="0"/>
                <w:szCs w:val="20"/>
              </w:rPr>
              <w:t>主要从</w:t>
            </w:r>
            <w:r>
              <w:rPr>
                <w:rFonts w:hint="eastAsia" w:ascii="Times New Roman" w:hAnsi="Times New Roman"/>
                <w:bCs/>
              </w:rPr>
              <w:t>事</w:t>
            </w:r>
            <w:r>
              <w:rPr>
                <w:rFonts w:hint="eastAsia" w:ascii="Times New Roman" w:hAnsi="Times New Roman"/>
                <w:bCs/>
                <w:lang w:val="en-US" w:eastAsia="zh-CN"/>
              </w:rPr>
              <w:t>固体废物</w:t>
            </w:r>
            <w:r>
              <w:rPr>
                <w:rFonts w:hint="eastAsia" w:ascii="Times New Roman" w:hAnsi="Times New Roman"/>
                <w:bCs/>
              </w:rPr>
              <w:t>的回收</w:t>
            </w:r>
            <w:r>
              <w:rPr>
                <w:rFonts w:hint="eastAsia" w:ascii="Times New Roman" w:hAnsi="Times New Roman"/>
                <w:bCs/>
                <w:lang w:val="en-US" w:eastAsia="zh-CN"/>
              </w:rPr>
              <w:t>处理</w:t>
            </w:r>
            <w:r>
              <w:rPr>
                <w:rFonts w:ascii="Times New Roman" w:hAnsi="Times New Roman"/>
                <w:bCs/>
              </w:rPr>
              <w:t>，所用原辅料不涉及重金属及有毒有害物质，主要污染物为粉尘</w:t>
            </w:r>
            <w:r>
              <w:rPr>
                <w:rFonts w:hint="eastAsia" w:ascii="Times New Roman" w:hAnsi="Times New Roman"/>
                <w:bCs/>
              </w:rPr>
              <w:t>、浓缩罐废水、板框压滤废水及设备运行产生的噪声</w:t>
            </w:r>
            <w:r>
              <w:rPr>
                <w:rFonts w:ascii="Times New Roman" w:hAnsi="Times New Roman"/>
                <w:bCs/>
              </w:rPr>
              <w:t>，项目地面采用防渗混凝土防渗，生产废水循环使用不外排、生活污水经</w:t>
            </w:r>
            <w:r>
              <w:rPr>
                <w:rFonts w:hint="eastAsia" w:ascii="Times New Roman" w:hAnsi="Times New Roman"/>
                <w:bCs/>
              </w:rPr>
              <w:t>地埋式生活污水处理设施</w:t>
            </w:r>
            <w:r>
              <w:rPr>
                <w:rFonts w:ascii="Times New Roman" w:hAnsi="Times New Roman"/>
                <w:bCs/>
              </w:rPr>
              <w:t>处理后</w:t>
            </w:r>
            <w:r>
              <w:rPr>
                <w:rFonts w:hint="eastAsia" w:ascii="Times New Roman" w:hAnsi="Times New Roman"/>
                <w:bCs/>
              </w:rPr>
              <w:t>用于周边山林地灌溉，</w:t>
            </w:r>
            <w:r>
              <w:rPr>
                <w:rFonts w:ascii="Times New Roman" w:hAnsi="Times New Roman"/>
                <w:bCs/>
              </w:rPr>
              <w:t>基本不会对地下水、土壤造成污染影响，根</w:t>
            </w:r>
            <w:r>
              <w:rPr>
                <w:rFonts w:ascii="Times New Roman" w:hAnsi="Times New Roman"/>
              </w:rPr>
              <w:t>据《建设项目环境影响报告表编制技术指南（污染影响类）（试行）》，</w:t>
            </w:r>
            <w:r>
              <w:rPr>
                <w:rFonts w:ascii="Times New Roman" w:hAnsi="Times New Roman"/>
                <w:bCs/>
              </w:rPr>
              <w:t>不开展土壤、地下水环境现状监测</w:t>
            </w:r>
            <w:r>
              <w:rPr>
                <w:rFonts w:ascii="Times New Roman" w:hAnsi="Times New Roma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75" w:hRule="atLeast"/>
          <w:jc w:val="center"/>
        </w:trPr>
        <w:tc>
          <w:tcPr>
            <w:tcW w:w="642" w:type="dxa"/>
            <w:vAlign w:val="center"/>
          </w:tcPr>
          <w:p>
            <w:pPr>
              <w:adjustRightInd w:val="0"/>
              <w:snapToGrid w:val="0"/>
              <w:jc w:val="center"/>
              <w:rPr>
                <w:rFonts w:ascii="Times New Roman" w:hAnsi="Times New Roman"/>
                <w:kern w:val="0"/>
                <w:szCs w:val="21"/>
              </w:rPr>
            </w:pPr>
            <w:r>
              <w:rPr>
                <w:rFonts w:ascii="Times New Roman" w:hAnsi="Times New Roman"/>
                <w:kern w:val="0"/>
                <w:szCs w:val="21"/>
              </w:rPr>
              <w:t>环境</w:t>
            </w:r>
          </w:p>
          <w:p>
            <w:pPr>
              <w:adjustRightInd w:val="0"/>
              <w:snapToGrid w:val="0"/>
              <w:jc w:val="center"/>
              <w:rPr>
                <w:rFonts w:ascii="Times New Roman" w:hAnsi="Times New Roman"/>
                <w:kern w:val="0"/>
                <w:szCs w:val="21"/>
              </w:rPr>
            </w:pPr>
            <w:r>
              <w:rPr>
                <w:rFonts w:ascii="Times New Roman" w:hAnsi="Times New Roman"/>
                <w:kern w:val="0"/>
                <w:szCs w:val="21"/>
              </w:rPr>
              <w:t>保护</w:t>
            </w:r>
          </w:p>
          <w:p>
            <w:pPr>
              <w:adjustRightInd w:val="0"/>
              <w:snapToGrid w:val="0"/>
              <w:jc w:val="center"/>
              <w:rPr>
                <w:rFonts w:ascii="Times New Roman" w:hAnsi="Times New Roman"/>
                <w:kern w:val="0"/>
                <w:szCs w:val="21"/>
              </w:rPr>
            </w:pPr>
            <w:r>
              <w:rPr>
                <w:rFonts w:ascii="Times New Roman" w:hAnsi="Times New Roman"/>
                <w:kern w:val="0"/>
                <w:szCs w:val="21"/>
              </w:rPr>
              <w:t>目标</w:t>
            </w:r>
          </w:p>
        </w:tc>
        <w:tc>
          <w:tcPr>
            <w:tcW w:w="8348" w:type="dxa"/>
            <w:vAlign w:val="center"/>
          </w:tcPr>
          <w:p>
            <w:pPr>
              <w:pStyle w:val="6"/>
              <w:ind w:left="311"/>
              <w:rPr>
                <w:color w:val="auto"/>
              </w:rPr>
            </w:pPr>
            <w:r>
              <w:rPr>
                <w:color w:val="auto"/>
              </w:rPr>
              <w:t>3.2环境保护目标</w:t>
            </w:r>
          </w:p>
          <w:p>
            <w:pPr>
              <w:pStyle w:val="46"/>
              <w:rPr>
                <w:color w:val="auto"/>
                <w:highlight w:val="yellow"/>
              </w:rPr>
            </w:pPr>
            <w:bookmarkStart w:id="9" w:name="_Hlk65135411"/>
            <w:r>
              <w:rPr>
                <w:color w:val="auto"/>
              </w:rPr>
              <w:t>项目位于大田县</w:t>
            </w:r>
            <w:r>
              <w:rPr>
                <w:rFonts w:hint="eastAsia"/>
                <w:color w:val="auto"/>
              </w:rPr>
              <w:t>武陵乡大石村</w:t>
            </w:r>
            <w:r>
              <w:rPr>
                <w:color w:val="auto"/>
              </w:rPr>
              <w:t>，</w:t>
            </w:r>
            <w:bookmarkEnd w:id="9"/>
            <w:r>
              <w:rPr>
                <w:rFonts w:hint="eastAsia"/>
                <w:color w:val="auto"/>
              </w:rPr>
              <w:t>项目北侧为山林地，西侧为道路及山林地，东侧为岩盛公司遗留设备，南侧为山林地及岩盛公司铸造项目厂房</w:t>
            </w:r>
            <w:r>
              <w:rPr>
                <w:color w:val="auto"/>
              </w:rPr>
              <w:t>。</w:t>
            </w:r>
          </w:p>
          <w:p>
            <w:pPr>
              <w:spacing w:line="420" w:lineRule="atLeast"/>
              <w:ind w:firstLine="480" w:firstLineChars="200"/>
              <w:rPr>
                <w:rFonts w:ascii="Times New Roman" w:hAnsi="Times New Roman"/>
              </w:rPr>
            </w:pPr>
            <w:r>
              <w:rPr>
                <w:rFonts w:hint="eastAsia" w:ascii="Times New Roman" w:hAnsi="Times New Roman"/>
              </w:rPr>
              <w:t>卓阳达公司</w:t>
            </w:r>
            <w:r>
              <w:rPr>
                <w:rFonts w:ascii="Times New Roman" w:hAnsi="Times New Roman"/>
              </w:rPr>
              <w:t>厂界外500m范围内，不涉及地下水集中式饮用水水源和热水、矿泉水、温泉等特殊地下水资源，无地下水环境保护目标。项目</w:t>
            </w:r>
            <w:r>
              <w:rPr>
                <w:rFonts w:hint="eastAsia" w:ascii="Times New Roman" w:hAnsi="Times New Roman"/>
              </w:rPr>
              <w:t>租用岩盛公司现有闲置厂房进行建设</w:t>
            </w:r>
            <w:r>
              <w:rPr>
                <w:rFonts w:ascii="Times New Roman" w:hAnsi="Times New Roman"/>
              </w:rPr>
              <w:t>，</w:t>
            </w:r>
            <w:r>
              <w:rPr>
                <w:rFonts w:hint="eastAsia" w:ascii="Times New Roman" w:hAnsi="Times New Roman"/>
              </w:rPr>
              <w:t>无新增开发用地，</w:t>
            </w:r>
            <w:r>
              <w:rPr>
                <w:rFonts w:ascii="Times New Roman" w:hAnsi="Times New Roman"/>
              </w:rPr>
              <w:t>不涉及生态环境保护目标。</w:t>
            </w:r>
          </w:p>
          <w:p>
            <w:pPr>
              <w:pStyle w:val="46"/>
              <w:rPr>
                <w:color w:val="auto"/>
              </w:rPr>
            </w:pPr>
            <w:r>
              <w:rPr>
                <w:color w:val="auto"/>
              </w:rPr>
              <w:t>项目环境保护目标主要为厂界</w:t>
            </w:r>
            <w:r>
              <w:rPr>
                <w:rFonts w:hint="eastAsia"/>
                <w:color w:val="auto"/>
              </w:rPr>
              <w:t>西</w:t>
            </w:r>
            <w:r>
              <w:rPr>
                <w:color w:val="auto"/>
              </w:rPr>
              <w:t>侧</w:t>
            </w:r>
            <w:r>
              <w:rPr>
                <w:rFonts w:hint="eastAsia"/>
                <w:color w:val="auto"/>
              </w:rPr>
              <w:t>及西北侧</w:t>
            </w:r>
            <w:r>
              <w:rPr>
                <w:color w:val="auto"/>
              </w:rPr>
              <w:t>的</w:t>
            </w:r>
            <w:r>
              <w:rPr>
                <w:rFonts w:hint="eastAsia"/>
                <w:color w:val="auto"/>
              </w:rPr>
              <w:t>大石村及周边水域武陵溪（均溪支流）</w:t>
            </w:r>
            <w:r>
              <w:rPr>
                <w:color w:val="auto"/>
              </w:rPr>
              <w:t>，环境保护目标与项目位置关系见表3.2-1。</w:t>
            </w:r>
          </w:p>
          <w:p>
            <w:pPr>
              <w:tabs>
                <w:tab w:val="left" w:pos="602"/>
              </w:tabs>
              <w:spacing w:before="120" w:beforeLines="50"/>
              <w:ind w:firstLine="422"/>
              <w:jc w:val="center"/>
              <w:rPr>
                <w:rFonts w:ascii="Times New Roman" w:hAnsi="Times New Roman" w:eastAsia="黑体"/>
                <w:b/>
                <w:sz w:val="21"/>
                <w:szCs w:val="21"/>
              </w:rPr>
            </w:pPr>
            <w:r>
              <w:rPr>
                <w:rFonts w:ascii="Times New Roman" w:hAnsi="Times New Roman" w:eastAsia="黑体"/>
                <w:b/>
                <w:sz w:val="21"/>
                <w:szCs w:val="21"/>
              </w:rPr>
              <w:t>表3.2-1 环境空气保护目标一览表</w:t>
            </w:r>
          </w:p>
          <w:tbl>
            <w:tblPr>
              <w:tblStyle w:val="25"/>
              <w:tblW w:w="8132"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773"/>
              <w:gridCol w:w="1154"/>
              <w:gridCol w:w="940"/>
              <w:gridCol w:w="1990"/>
              <w:gridCol w:w="1214"/>
              <w:gridCol w:w="1061"/>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773" w:type="dxa"/>
                  <w:vAlign w:val="center"/>
                </w:tcPr>
                <w:p>
                  <w:pPr>
                    <w:spacing w:line="240" w:lineRule="atLeast"/>
                    <w:ind w:left="-72" w:leftChars="-30" w:right="-72" w:rightChars="-30"/>
                    <w:jc w:val="center"/>
                    <w:rPr>
                      <w:rFonts w:ascii="Times New Roman" w:hAnsi="Times New Roman"/>
                      <w:sz w:val="18"/>
                      <w:szCs w:val="18"/>
                    </w:rPr>
                  </w:pPr>
                  <w:r>
                    <w:rPr>
                      <w:rFonts w:ascii="Times New Roman" w:hAnsi="Times New Roman"/>
                      <w:sz w:val="18"/>
                      <w:szCs w:val="18"/>
                    </w:rPr>
                    <w:t>名称</w:t>
                  </w:r>
                </w:p>
              </w:tc>
              <w:tc>
                <w:tcPr>
                  <w:tcW w:w="1154" w:type="dxa"/>
                  <w:vAlign w:val="center"/>
                </w:tcPr>
                <w:p>
                  <w:pPr>
                    <w:spacing w:line="240" w:lineRule="atLeast"/>
                    <w:ind w:left="-72" w:leftChars="-30" w:right="-72" w:rightChars="-30"/>
                    <w:jc w:val="center"/>
                    <w:rPr>
                      <w:rFonts w:ascii="Times New Roman" w:hAnsi="Times New Roman"/>
                      <w:sz w:val="18"/>
                      <w:szCs w:val="18"/>
                    </w:rPr>
                  </w:pPr>
                  <w:r>
                    <w:rPr>
                      <w:rFonts w:ascii="Times New Roman" w:hAnsi="Times New Roman"/>
                      <w:sz w:val="18"/>
                      <w:szCs w:val="18"/>
                    </w:rPr>
                    <w:t>保护对象</w:t>
                  </w:r>
                </w:p>
              </w:tc>
              <w:tc>
                <w:tcPr>
                  <w:tcW w:w="940" w:type="dxa"/>
                  <w:vAlign w:val="center"/>
                </w:tcPr>
                <w:p>
                  <w:pPr>
                    <w:spacing w:line="240" w:lineRule="atLeast"/>
                    <w:ind w:left="-72" w:leftChars="-30" w:right="-72" w:rightChars="-30"/>
                    <w:jc w:val="center"/>
                    <w:rPr>
                      <w:rFonts w:ascii="Times New Roman" w:hAnsi="Times New Roman"/>
                      <w:sz w:val="18"/>
                      <w:szCs w:val="18"/>
                    </w:rPr>
                  </w:pPr>
                  <w:r>
                    <w:rPr>
                      <w:rFonts w:ascii="Times New Roman" w:hAnsi="Times New Roman"/>
                      <w:sz w:val="18"/>
                      <w:szCs w:val="18"/>
                    </w:rPr>
                    <w:t>保护内容</w:t>
                  </w:r>
                </w:p>
              </w:tc>
              <w:tc>
                <w:tcPr>
                  <w:tcW w:w="1990" w:type="dxa"/>
                  <w:vAlign w:val="center"/>
                </w:tcPr>
                <w:p>
                  <w:pPr>
                    <w:spacing w:line="240" w:lineRule="atLeast"/>
                    <w:ind w:left="-72" w:leftChars="-30" w:right="-72" w:rightChars="-30"/>
                    <w:jc w:val="center"/>
                    <w:rPr>
                      <w:rFonts w:ascii="Times New Roman" w:hAnsi="Times New Roman"/>
                      <w:sz w:val="18"/>
                      <w:szCs w:val="18"/>
                    </w:rPr>
                  </w:pPr>
                  <w:r>
                    <w:rPr>
                      <w:rFonts w:ascii="Times New Roman" w:hAnsi="Times New Roman"/>
                      <w:sz w:val="18"/>
                      <w:szCs w:val="18"/>
                    </w:rPr>
                    <w:t>环境功能区</w:t>
                  </w:r>
                </w:p>
              </w:tc>
              <w:tc>
                <w:tcPr>
                  <w:tcW w:w="1214" w:type="dxa"/>
                  <w:vAlign w:val="center"/>
                </w:tcPr>
                <w:p>
                  <w:pPr>
                    <w:spacing w:line="240" w:lineRule="atLeast"/>
                    <w:ind w:left="-72" w:leftChars="-30" w:right="-72" w:rightChars="-30"/>
                    <w:jc w:val="center"/>
                    <w:rPr>
                      <w:rFonts w:ascii="Times New Roman" w:hAnsi="Times New Roman"/>
                      <w:sz w:val="18"/>
                      <w:szCs w:val="18"/>
                    </w:rPr>
                  </w:pPr>
                  <w:r>
                    <w:rPr>
                      <w:rFonts w:ascii="Times New Roman" w:hAnsi="Times New Roman"/>
                      <w:sz w:val="18"/>
                      <w:szCs w:val="18"/>
                    </w:rPr>
                    <w:t>相对厂址方位</w:t>
                  </w:r>
                </w:p>
              </w:tc>
              <w:tc>
                <w:tcPr>
                  <w:tcW w:w="1061" w:type="dxa"/>
                  <w:vAlign w:val="center"/>
                </w:tcPr>
                <w:p>
                  <w:pPr>
                    <w:spacing w:line="240" w:lineRule="atLeast"/>
                    <w:ind w:left="-72" w:leftChars="-30" w:right="-72" w:rightChars="-30"/>
                    <w:jc w:val="center"/>
                    <w:rPr>
                      <w:rFonts w:ascii="Times New Roman" w:hAnsi="Times New Roman"/>
                      <w:sz w:val="18"/>
                      <w:szCs w:val="18"/>
                    </w:rPr>
                  </w:pPr>
                  <w:r>
                    <w:rPr>
                      <w:rFonts w:ascii="Times New Roman" w:hAnsi="Times New Roman"/>
                      <w:sz w:val="18"/>
                      <w:szCs w:val="18"/>
                    </w:rPr>
                    <w:t>相对距离/m</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1773" w:type="dxa"/>
                  <w:vAlign w:val="center"/>
                </w:tcPr>
                <w:p>
                  <w:pPr>
                    <w:pStyle w:val="48"/>
                    <w:spacing w:line="240" w:lineRule="exact"/>
                    <w:ind w:left="-72" w:leftChars="-30" w:right="-72" w:rightChars="-30"/>
                    <w:rPr>
                      <w:rFonts w:ascii="Times New Roman" w:hAnsi="Times New Roman"/>
                      <w:sz w:val="18"/>
                      <w:szCs w:val="18"/>
                    </w:rPr>
                  </w:pPr>
                  <w:r>
                    <w:rPr>
                      <w:rFonts w:hint="eastAsia" w:ascii="Times New Roman" w:hAnsi="Times New Roman"/>
                      <w:sz w:val="18"/>
                      <w:szCs w:val="18"/>
                    </w:rPr>
                    <w:t>大石村</w:t>
                  </w:r>
                </w:p>
              </w:tc>
              <w:tc>
                <w:tcPr>
                  <w:tcW w:w="1154" w:type="dxa"/>
                  <w:vAlign w:val="center"/>
                </w:tcPr>
                <w:p>
                  <w:pPr>
                    <w:jc w:val="center"/>
                    <w:rPr>
                      <w:rFonts w:ascii="Times New Roman" w:hAnsi="Times New Roman"/>
                      <w:sz w:val="18"/>
                      <w:szCs w:val="18"/>
                    </w:rPr>
                  </w:pPr>
                  <w:r>
                    <w:rPr>
                      <w:rFonts w:ascii="Times New Roman" w:hAnsi="Times New Roman"/>
                      <w:sz w:val="18"/>
                      <w:szCs w:val="18"/>
                    </w:rPr>
                    <w:t>居住区</w:t>
                  </w:r>
                </w:p>
              </w:tc>
              <w:tc>
                <w:tcPr>
                  <w:tcW w:w="940" w:type="dxa"/>
                  <w:vAlign w:val="center"/>
                </w:tcPr>
                <w:p>
                  <w:pPr>
                    <w:jc w:val="center"/>
                    <w:rPr>
                      <w:rFonts w:ascii="Times New Roman" w:hAnsi="Times New Roman"/>
                      <w:sz w:val="18"/>
                      <w:szCs w:val="18"/>
                    </w:rPr>
                  </w:pPr>
                  <w:r>
                    <w:rPr>
                      <w:rFonts w:ascii="Times New Roman" w:hAnsi="Times New Roman"/>
                      <w:sz w:val="18"/>
                      <w:szCs w:val="18"/>
                    </w:rPr>
                    <w:t>人群</w:t>
                  </w:r>
                </w:p>
              </w:tc>
              <w:tc>
                <w:tcPr>
                  <w:tcW w:w="1990" w:type="dxa"/>
                  <w:vAlign w:val="center"/>
                </w:tcPr>
                <w:p>
                  <w:pPr>
                    <w:spacing w:line="240" w:lineRule="atLeast"/>
                    <w:ind w:left="-72" w:leftChars="-30" w:right="-72" w:rightChars="-30"/>
                    <w:jc w:val="center"/>
                    <w:rPr>
                      <w:rFonts w:ascii="Times New Roman" w:hAnsi="Times New Roman"/>
                      <w:sz w:val="18"/>
                      <w:szCs w:val="18"/>
                    </w:rPr>
                  </w:pPr>
                  <w:r>
                    <w:rPr>
                      <w:rFonts w:ascii="Times New Roman" w:hAnsi="Times New Roman"/>
                      <w:sz w:val="18"/>
                      <w:szCs w:val="18"/>
                    </w:rPr>
                    <w:t>环境空气二类区</w:t>
                  </w:r>
                </w:p>
              </w:tc>
              <w:tc>
                <w:tcPr>
                  <w:tcW w:w="1214" w:type="dxa"/>
                  <w:vAlign w:val="center"/>
                </w:tcPr>
                <w:p>
                  <w:pPr>
                    <w:jc w:val="center"/>
                    <w:rPr>
                      <w:rFonts w:ascii="Times New Roman" w:hAnsi="Times New Roman"/>
                      <w:sz w:val="18"/>
                      <w:szCs w:val="18"/>
                    </w:rPr>
                  </w:pPr>
                  <w:r>
                    <w:rPr>
                      <w:rFonts w:hint="eastAsia" w:ascii="Times New Roman" w:hAnsi="Times New Roman"/>
                      <w:sz w:val="18"/>
                      <w:szCs w:val="18"/>
                    </w:rPr>
                    <w:t>NW</w:t>
                  </w:r>
                </w:p>
              </w:tc>
              <w:tc>
                <w:tcPr>
                  <w:tcW w:w="1061" w:type="dxa"/>
                  <w:vAlign w:val="center"/>
                </w:tcPr>
                <w:p>
                  <w:pPr>
                    <w:jc w:val="center"/>
                    <w:rPr>
                      <w:rFonts w:ascii="Times New Roman" w:hAnsi="Times New Roman"/>
                      <w:sz w:val="18"/>
                      <w:szCs w:val="18"/>
                    </w:rPr>
                  </w:pPr>
                  <w:r>
                    <w:rPr>
                      <w:rFonts w:hint="eastAsia" w:ascii="Times New Roman" w:hAnsi="Times New Roman"/>
                      <w:sz w:val="18"/>
                      <w:szCs w:val="18"/>
                    </w:rPr>
                    <w:t>240</w:t>
                  </w:r>
                </w:p>
              </w:tc>
            </w:tr>
          </w:tbl>
          <w:p>
            <w:pPr>
              <w:tabs>
                <w:tab w:val="left" w:pos="602"/>
              </w:tabs>
              <w:ind w:firstLine="422"/>
              <w:jc w:val="center"/>
              <w:rPr>
                <w:rFonts w:ascii="Times New Roman" w:hAnsi="Times New Roman" w:eastAsia="黑体"/>
                <w:b/>
                <w:sz w:val="21"/>
                <w:szCs w:val="21"/>
              </w:rPr>
            </w:pPr>
            <w:r>
              <w:rPr>
                <w:rFonts w:ascii="Times New Roman" w:hAnsi="Times New Roman" w:eastAsia="黑体"/>
                <w:b/>
                <w:sz w:val="21"/>
                <w:szCs w:val="21"/>
              </w:rPr>
              <w:t>表3.2-</w:t>
            </w:r>
            <w:r>
              <w:rPr>
                <w:rFonts w:hint="eastAsia" w:ascii="Times New Roman" w:hAnsi="Times New Roman" w:eastAsia="黑体"/>
                <w:b/>
                <w:sz w:val="21"/>
                <w:szCs w:val="21"/>
              </w:rPr>
              <w:t>2</w:t>
            </w:r>
            <w:r>
              <w:rPr>
                <w:rFonts w:ascii="Times New Roman" w:hAnsi="Times New Roman" w:eastAsia="黑体"/>
                <w:b/>
                <w:sz w:val="21"/>
                <w:szCs w:val="21"/>
              </w:rPr>
              <w:t xml:space="preserve"> </w:t>
            </w:r>
            <w:r>
              <w:rPr>
                <w:rFonts w:hint="eastAsia" w:ascii="Times New Roman" w:hAnsi="Times New Roman" w:eastAsia="黑体"/>
                <w:b/>
                <w:sz w:val="21"/>
                <w:szCs w:val="21"/>
              </w:rPr>
              <w:t>水</w:t>
            </w:r>
            <w:r>
              <w:rPr>
                <w:rFonts w:ascii="Times New Roman" w:hAnsi="Times New Roman" w:eastAsia="黑体"/>
                <w:b/>
                <w:sz w:val="21"/>
                <w:szCs w:val="21"/>
              </w:rPr>
              <w:t>保护目标一览表</w:t>
            </w:r>
          </w:p>
          <w:tbl>
            <w:tblPr>
              <w:tblStyle w:val="25"/>
              <w:tblW w:w="8132" w:type="dxa"/>
              <w:jc w:val="center"/>
              <w:tblBorders>
                <w:top w:val="single" w:color="auto" w:sz="12"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941"/>
              <w:gridCol w:w="1637"/>
              <w:gridCol w:w="1113"/>
              <w:gridCol w:w="2371"/>
              <w:gridCol w:w="1113"/>
              <w:gridCol w:w="957"/>
            </w:tblGrid>
            <w:tr>
              <w:tblPrEx>
                <w:tblBorders>
                  <w:top w:val="single" w:color="auto" w:sz="12"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41" w:type="dxa"/>
                  <w:tcBorders>
                    <w:tl2br w:val="nil"/>
                    <w:tr2bl w:val="nil"/>
                  </w:tcBorders>
                  <w:vAlign w:val="center"/>
                </w:tcPr>
                <w:p>
                  <w:pPr>
                    <w:spacing w:line="240" w:lineRule="atLeast"/>
                    <w:ind w:left="-72" w:leftChars="-30" w:right="-72" w:rightChars="-30"/>
                    <w:jc w:val="center"/>
                    <w:rPr>
                      <w:rFonts w:ascii="Times New Roman" w:hAnsi="Times New Roman"/>
                      <w:sz w:val="18"/>
                      <w:szCs w:val="18"/>
                    </w:rPr>
                  </w:pPr>
                  <w:r>
                    <w:rPr>
                      <w:rFonts w:ascii="Times New Roman" w:hAnsi="Times New Roman"/>
                      <w:sz w:val="18"/>
                      <w:szCs w:val="18"/>
                    </w:rPr>
                    <w:t>环境要素</w:t>
                  </w:r>
                </w:p>
              </w:tc>
              <w:tc>
                <w:tcPr>
                  <w:tcW w:w="1637" w:type="dxa"/>
                  <w:tcBorders>
                    <w:tl2br w:val="nil"/>
                    <w:tr2bl w:val="nil"/>
                  </w:tcBorders>
                  <w:vAlign w:val="center"/>
                </w:tcPr>
                <w:p>
                  <w:pPr>
                    <w:spacing w:line="240" w:lineRule="atLeast"/>
                    <w:ind w:left="-72" w:leftChars="-30" w:right="-72" w:rightChars="-30"/>
                    <w:jc w:val="center"/>
                    <w:rPr>
                      <w:rFonts w:ascii="Times New Roman" w:hAnsi="Times New Roman"/>
                      <w:sz w:val="18"/>
                      <w:szCs w:val="18"/>
                    </w:rPr>
                  </w:pPr>
                  <w:r>
                    <w:rPr>
                      <w:rFonts w:ascii="Times New Roman" w:hAnsi="Times New Roman"/>
                      <w:sz w:val="18"/>
                      <w:szCs w:val="18"/>
                    </w:rPr>
                    <w:t>环保目标名称</w:t>
                  </w:r>
                </w:p>
              </w:tc>
              <w:tc>
                <w:tcPr>
                  <w:tcW w:w="1113" w:type="dxa"/>
                  <w:tcBorders>
                    <w:tl2br w:val="nil"/>
                    <w:tr2bl w:val="nil"/>
                  </w:tcBorders>
                  <w:vAlign w:val="center"/>
                </w:tcPr>
                <w:p>
                  <w:pPr>
                    <w:spacing w:line="240" w:lineRule="atLeast"/>
                    <w:ind w:left="-72" w:leftChars="-30" w:right="-72" w:rightChars="-30"/>
                    <w:jc w:val="center"/>
                    <w:rPr>
                      <w:rFonts w:ascii="Times New Roman" w:hAnsi="Times New Roman"/>
                      <w:sz w:val="18"/>
                      <w:szCs w:val="18"/>
                    </w:rPr>
                  </w:pPr>
                  <w:r>
                    <w:rPr>
                      <w:rFonts w:ascii="Times New Roman" w:hAnsi="Times New Roman"/>
                      <w:sz w:val="18"/>
                      <w:szCs w:val="18"/>
                    </w:rPr>
                    <w:t>环境功能区划</w:t>
                  </w:r>
                </w:p>
              </w:tc>
              <w:tc>
                <w:tcPr>
                  <w:tcW w:w="2371" w:type="dxa"/>
                  <w:tcBorders>
                    <w:tl2br w:val="nil"/>
                    <w:tr2bl w:val="nil"/>
                  </w:tcBorders>
                  <w:vAlign w:val="center"/>
                </w:tcPr>
                <w:p>
                  <w:pPr>
                    <w:spacing w:line="240" w:lineRule="atLeast"/>
                    <w:ind w:left="-72" w:leftChars="-30" w:right="-72" w:rightChars="-30"/>
                    <w:jc w:val="center"/>
                    <w:rPr>
                      <w:rFonts w:ascii="Times New Roman" w:hAnsi="Times New Roman"/>
                      <w:sz w:val="18"/>
                      <w:szCs w:val="18"/>
                    </w:rPr>
                  </w:pPr>
                  <w:r>
                    <w:rPr>
                      <w:rFonts w:ascii="Times New Roman" w:hAnsi="Times New Roman"/>
                      <w:sz w:val="18"/>
                      <w:szCs w:val="18"/>
                    </w:rPr>
                    <w:t>环境质量标准或环保要求</w:t>
                  </w:r>
                </w:p>
              </w:tc>
              <w:tc>
                <w:tcPr>
                  <w:tcW w:w="1113" w:type="dxa"/>
                  <w:tcBorders>
                    <w:tl2br w:val="nil"/>
                    <w:tr2bl w:val="nil"/>
                  </w:tcBorders>
                  <w:vAlign w:val="center"/>
                </w:tcPr>
                <w:p>
                  <w:pPr>
                    <w:spacing w:line="240" w:lineRule="atLeast"/>
                    <w:ind w:left="-72" w:leftChars="-30" w:right="-72" w:rightChars="-30"/>
                    <w:jc w:val="center"/>
                    <w:rPr>
                      <w:rFonts w:ascii="Times New Roman" w:hAnsi="Times New Roman"/>
                      <w:sz w:val="18"/>
                      <w:szCs w:val="18"/>
                    </w:rPr>
                  </w:pPr>
                  <w:r>
                    <w:rPr>
                      <w:rFonts w:ascii="Times New Roman" w:hAnsi="Times New Roman"/>
                      <w:sz w:val="18"/>
                      <w:szCs w:val="18"/>
                    </w:rPr>
                    <w:t>相对厂址方位</w:t>
                  </w:r>
                </w:p>
              </w:tc>
              <w:tc>
                <w:tcPr>
                  <w:tcW w:w="957" w:type="dxa"/>
                  <w:tcBorders>
                    <w:tl2br w:val="nil"/>
                    <w:tr2bl w:val="nil"/>
                  </w:tcBorders>
                  <w:vAlign w:val="center"/>
                </w:tcPr>
                <w:p>
                  <w:pPr>
                    <w:spacing w:line="240" w:lineRule="atLeast"/>
                    <w:ind w:left="-72" w:leftChars="-30" w:right="-72" w:rightChars="-30"/>
                    <w:jc w:val="center"/>
                    <w:rPr>
                      <w:rFonts w:ascii="Times New Roman" w:hAnsi="Times New Roman"/>
                      <w:sz w:val="18"/>
                      <w:szCs w:val="18"/>
                    </w:rPr>
                  </w:pPr>
                  <w:r>
                    <w:rPr>
                      <w:rFonts w:ascii="Times New Roman" w:hAnsi="Times New Roman"/>
                      <w:sz w:val="18"/>
                      <w:szCs w:val="18"/>
                    </w:rPr>
                    <w:t>相对距离/m</w:t>
                  </w:r>
                </w:p>
              </w:tc>
            </w:tr>
            <w:tr>
              <w:tblPrEx>
                <w:tblBorders>
                  <w:top w:val="single" w:color="auto" w:sz="12"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41" w:type="dxa"/>
                  <w:tcBorders>
                    <w:tl2br w:val="nil"/>
                    <w:tr2bl w:val="nil"/>
                  </w:tcBorders>
                  <w:vAlign w:val="center"/>
                </w:tcPr>
                <w:p>
                  <w:pPr>
                    <w:spacing w:line="240" w:lineRule="atLeast"/>
                    <w:ind w:left="-72" w:leftChars="-30" w:right="-72" w:rightChars="-30"/>
                    <w:jc w:val="center"/>
                    <w:rPr>
                      <w:rFonts w:ascii="Times New Roman" w:hAnsi="Times New Roman"/>
                      <w:sz w:val="18"/>
                      <w:szCs w:val="18"/>
                    </w:rPr>
                  </w:pPr>
                  <w:r>
                    <w:rPr>
                      <w:rFonts w:ascii="Times New Roman" w:hAnsi="Times New Roman"/>
                      <w:sz w:val="18"/>
                      <w:szCs w:val="18"/>
                    </w:rPr>
                    <w:t>地表水环境</w:t>
                  </w:r>
                </w:p>
              </w:tc>
              <w:tc>
                <w:tcPr>
                  <w:tcW w:w="1637" w:type="dxa"/>
                  <w:tcBorders>
                    <w:tl2br w:val="nil"/>
                    <w:tr2bl w:val="nil"/>
                  </w:tcBorders>
                  <w:vAlign w:val="center"/>
                </w:tcPr>
                <w:p>
                  <w:pPr>
                    <w:spacing w:line="240" w:lineRule="atLeast"/>
                    <w:ind w:left="-72" w:leftChars="-30" w:right="-72" w:rightChars="-30"/>
                    <w:jc w:val="center"/>
                    <w:rPr>
                      <w:rFonts w:ascii="Times New Roman" w:hAnsi="Times New Roman"/>
                      <w:sz w:val="18"/>
                      <w:szCs w:val="18"/>
                    </w:rPr>
                  </w:pPr>
                  <w:r>
                    <w:rPr>
                      <w:rFonts w:hint="eastAsia" w:ascii="Times New Roman" w:hAnsi="Times New Roman"/>
                      <w:sz w:val="18"/>
                      <w:szCs w:val="18"/>
                    </w:rPr>
                    <w:t>武陵溪（均溪支流）</w:t>
                  </w:r>
                </w:p>
              </w:tc>
              <w:tc>
                <w:tcPr>
                  <w:tcW w:w="1113" w:type="dxa"/>
                  <w:tcBorders>
                    <w:tl2br w:val="nil"/>
                    <w:tr2bl w:val="nil"/>
                  </w:tcBorders>
                  <w:vAlign w:val="center"/>
                </w:tcPr>
                <w:p>
                  <w:pPr>
                    <w:spacing w:line="240" w:lineRule="atLeast"/>
                    <w:ind w:left="-72" w:leftChars="-30" w:right="-72" w:rightChars="-30"/>
                    <w:jc w:val="center"/>
                    <w:rPr>
                      <w:rFonts w:ascii="Times New Roman" w:hAnsi="Times New Roman"/>
                      <w:sz w:val="18"/>
                      <w:szCs w:val="18"/>
                    </w:rPr>
                  </w:pPr>
                  <w:r>
                    <w:rPr>
                      <w:rFonts w:ascii="Times New Roman" w:hAnsi="Times New Roman"/>
                      <w:sz w:val="18"/>
                      <w:szCs w:val="18"/>
                    </w:rPr>
                    <w:t>Ⅲ类</w:t>
                  </w:r>
                </w:p>
              </w:tc>
              <w:tc>
                <w:tcPr>
                  <w:tcW w:w="2371" w:type="dxa"/>
                  <w:tcBorders>
                    <w:tl2br w:val="nil"/>
                    <w:tr2bl w:val="nil"/>
                  </w:tcBorders>
                  <w:vAlign w:val="center"/>
                </w:tcPr>
                <w:p>
                  <w:pPr>
                    <w:spacing w:line="240" w:lineRule="atLeast"/>
                    <w:ind w:left="-72" w:leftChars="-30" w:right="-72" w:rightChars="-30"/>
                    <w:jc w:val="center"/>
                    <w:rPr>
                      <w:rFonts w:ascii="Times New Roman" w:hAnsi="Times New Roman"/>
                      <w:sz w:val="18"/>
                      <w:szCs w:val="18"/>
                    </w:rPr>
                  </w:pPr>
                  <w:r>
                    <w:rPr>
                      <w:rFonts w:ascii="Times New Roman" w:hAnsi="Times New Roman"/>
                      <w:sz w:val="18"/>
                      <w:szCs w:val="18"/>
                    </w:rPr>
                    <w:t>执行GB3838-2002中Ⅲ类标准</w:t>
                  </w:r>
                </w:p>
              </w:tc>
              <w:tc>
                <w:tcPr>
                  <w:tcW w:w="1113" w:type="dxa"/>
                  <w:tcBorders>
                    <w:tl2br w:val="nil"/>
                    <w:tr2bl w:val="nil"/>
                  </w:tcBorders>
                  <w:vAlign w:val="center"/>
                </w:tcPr>
                <w:p>
                  <w:pPr>
                    <w:spacing w:line="240" w:lineRule="atLeast"/>
                    <w:ind w:left="-72" w:leftChars="-30" w:right="-72" w:rightChars="-30"/>
                    <w:jc w:val="center"/>
                    <w:rPr>
                      <w:rFonts w:ascii="Times New Roman" w:hAnsi="Times New Roman"/>
                      <w:sz w:val="18"/>
                      <w:szCs w:val="18"/>
                    </w:rPr>
                  </w:pPr>
                  <w:r>
                    <w:rPr>
                      <w:rFonts w:hint="eastAsia" w:ascii="Times New Roman" w:hAnsi="Times New Roman"/>
                      <w:sz w:val="18"/>
                      <w:szCs w:val="18"/>
                    </w:rPr>
                    <w:t>E</w:t>
                  </w:r>
                </w:p>
              </w:tc>
              <w:tc>
                <w:tcPr>
                  <w:tcW w:w="957" w:type="dxa"/>
                  <w:tcBorders>
                    <w:tl2br w:val="nil"/>
                    <w:tr2bl w:val="nil"/>
                  </w:tcBorders>
                  <w:vAlign w:val="center"/>
                </w:tcPr>
                <w:p>
                  <w:pPr>
                    <w:spacing w:line="240" w:lineRule="atLeast"/>
                    <w:ind w:left="-72" w:leftChars="-30" w:right="-72" w:rightChars="-30"/>
                    <w:jc w:val="center"/>
                    <w:rPr>
                      <w:rFonts w:ascii="Times New Roman" w:hAnsi="Times New Roman"/>
                      <w:sz w:val="18"/>
                      <w:szCs w:val="18"/>
                    </w:rPr>
                  </w:pPr>
                  <w:r>
                    <w:rPr>
                      <w:rFonts w:hint="eastAsia" w:ascii="Times New Roman" w:hAnsi="Times New Roman"/>
                      <w:sz w:val="18"/>
                      <w:szCs w:val="18"/>
                    </w:rPr>
                    <w:t>35m</w:t>
                  </w:r>
                </w:p>
              </w:tc>
            </w:tr>
          </w:tbl>
          <w:p>
            <w:pPr>
              <w:pStyle w:val="2"/>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19" w:hRule="atLeast"/>
          <w:jc w:val="center"/>
        </w:trPr>
        <w:tc>
          <w:tcPr>
            <w:tcW w:w="642" w:type="dxa"/>
            <w:tcMar>
              <w:left w:w="28" w:type="dxa"/>
              <w:right w:w="28" w:type="dxa"/>
            </w:tcMar>
            <w:vAlign w:val="center"/>
          </w:tcPr>
          <w:p>
            <w:pPr>
              <w:adjustRightInd w:val="0"/>
              <w:snapToGrid w:val="0"/>
              <w:jc w:val="center"/>
              <w:rPr>
                <w:rFonts w:ascii="Times New Roman" w:hAnsi="Times New Roman"/>
                <w:kern w:val="0"/>
                <w:szCs w:val="21"/>
              </w:rPr>
            </w:pPr>
            <w:r>
              <w:rPr>
                <w:rFonts w:ascii="Times New Roman" w:hAnsi="Times New Roman"/>
                <w:kern w:val="0"/>
                <w:szCs w:val="21"/>
              </w:rPr>
              <w:t>污染</w:t>
            </w:r>
          </w:p>
          <w:p>
            <w:pPr>
              <w:adjustRightInd w:val="0"/>
              <w:snapToGrid w:val="0"/>
              <w:jc w:val="center"/>
              <w:rPr>
                <w:rFonts w:ascii="Times New Roman" w:hAnsi="Times New Roman"/>
                <w:kern w:val="0"/>
                <w:szCs w:val="21"/>
              </w:rPr>
            </w:pPr>
            <w:r>
              <w:rPr>
                <w:rFonts w:ascii="Times New Roman" w:hAnsi="Times New Roman"/>
                <w:kern w:val="0"/>
                <w:szCs w:val="21"/>
              </w:rPr>
              <w:t>物排</w:t>
            </w:r>
          </w:p>
          <w:p>
            <w:pPr>
              <w:adjustRightInd w:val="0"/>
              <w:snapToGrid w:val="0"/>
              <w:jc w:val="center"/>
              <w:rPr>
                <w:rFonts w:ascii="Times New Roman" w:hAnsi="Times New Roman"/>
                <w:kern w:val="0"/>
                <w:szCs w:val="21"/>
              </w:rPr>
            </w:pPr>
            <w:r>
              <w:rPr>
                <w:rFonts w:ascii="Times New Roman" w:hAnsi="Times New Roman"/>
                <w:kern w:val="0"/>
                <w:szCs w:val="21"/>
              </w:rPr>
              <w:t>放控</w:t>
            </w:r>
          </w:p>
          <w:p>
            <w:pPr>
              <w:adjustRightInd w:val="0"/>
              <w:snapToGrid w:val="0"/>
              <w:jc w:val="center"/>
              <w:rPr>
                <w:rFonts w:ascii="Times New Roman" w:hAnsi="Times New Roman"/>
                <w:kern w:val="0"/>
                <w:szCs w:val="21"/>
              </w:rPr>
            </w:pPr>
            <w:r>
              <w:rPr>
                <w:rFonts w:ascii="Times New Roman" w:hAnsi="Times New Roman"/>
                <w:kern w:val="0"/>
                <w:szCs w:val="21"/>
              </w:rPr>
              <w:t>制标</w:t>
            </w:r>
          </w:p>
          <w:p>
            <w:pPr>
              <w:adjustRightInd w:val="0"/>
              <w:snapToGrid w:val="0"/>
              <w:jc w:val="center"/>
              <w:rPr>
                <w:rFonts w:ascii="Times New Roman" w:hAnsi="Times New Roman"/>
                <w:kern w:val="0"/>
                <w:szCs w:val="21"/>
              </w:rPr>
            </w:pPr>
            <w:r>
              <w:rPr>
                <w:rFonts w:ascii="Times New Roman" w:hAnsi="Times New Roman"/>
                <w:kern w:val="0"/>
                <w:szCs w:val="21"/>
              </w:rPr>
              <w:t>准</w:t>
            </w:r>
          </w:p>
        </w:tc>
        <w:tc>
          <w:tcPr>
            <w:tcW w:w="8348" w:type="dxa"/>
            <w:vAlign w:val="center"/>
          </w:tcPr>
          <w:p>
            <w:pPr>
              <w:pStyle w:val="6"/>
              <w:ind w:left="311"/>
              <w:rPr>
                <w:color w:val="auto"/>
              </w:rPr>
            </w:pPr>
            <w:r>
              <w:rPr>
                <w:color w:val="auto"/>
              </w:rPr>
              <w:t>3.3污染物排放控制标准</w:t>
            </w:r>
          </w:p>
          <w:p>
            <w:pPr>
              <w:pStyle w:val="3"/>
              <w:spacing w:line="400" w:lineRule="exact"/>
              <w:ind w:right="-120" w:firstLine="0" w:firstLineChars="0"/>
              <w:rPr>
                <w:rFonts w:ascii="Times New Roman" w:hAnsi="Times New Roman" w:eastAsia="黑体"/>
                <w:b/>
                <w:bCs/>
              </w:rPr>
            </w:pPr>
            <w:r>
              <w:rPr>
                <w:rFonts w:ascii="Times New Roman" w:hAnsi="Times New Roman" w:eastAsia="黑体"/>
                <w:b/>
                <w:bCs/>
              </w:rPr>
              <w:t>3.3.1废水</w:t>
            </w:r>
          </w:p>
          <w:p>
            <w:pPr>
              <w:pStyle w:val="3"/>
              <w:spacing w:after="0" w:line="440" w:lineRule="exact"/>
              <w:ind w:right="-120" w:firstLine="480" w:firstLineChars="200"/>
              <w:rPr>
                <w:rFonts w:ascii="Times New Roman" w:hAnsi="Times New Roman"/>
              </w:rPr>
            </w:pPr>
            <w:r>
              <w:rPr>
                <w:rFonts w:ascii="Times New Roman" w:hAnsi="Times New Roman"/>
              </w:rPr>
              <w:t>项目生产废水经</w:t>
            </w:r>
            <w:r>
              <w:rPr>
                <w:rFonts w:hint="eastAsia" w:ascii="Times New Roman" w:hAnsi="Times New Roman"/>
              </w:rPr>
              <w:t>“隔油池+沉淀池”处理</w:t>
            </w:r>
            <w:r>
              <w:rPr>
                <w:rFonts w:ascii="Times New Roman" w:hAnsi="Times New Roman"/>
              </w:rPr>
              <w:t>后回用，不外排；生活污水经</w:t>
            </w:r>
            <w:r>
              <w:rPr>
                <w:rFonts w:hint="eastAsia" w:ascii="Times New Roman" w:hAnsi="Times New Roman"/>
              </w:rPr>
              <w:t>地埋式生活污水处理设施</w:t>
            </w:r>
            <w:r>
              <w:rPr>
                <w:rFonts w:ascii="Times New Roman" w:hAnsi="Times New Roman"/>
              </w:rPr>
              <w:t>处理后</w:t>
            </w:r>
            <w:r>
              <w:rPr>
                <w:rFonts w:hint="eastAsia" w:ascii="Times New Roman" w:hAnsi="Times New Roman"/>
              </w:rPr>
              <w:t>，用于周边山林地灌溉，执行《农田灌溉水质标准》(GB5084-2021)表1“农田灌溉水质基本控制项目限值”。</w:t>
            </w:r>
          </w:p>
          <w:p>
            <w:pPr>
              <w:tabs>
                <w:tab w:val="left" w:pos="602"/>
              </w:tabs>
              <w:spacing w:before="120" w:beforeLines="50"/>
              <w:ind w:firstLine="422"/>
              <w:jc w:val="center"/>
              <w:rPr>
                <w:rFonts w:ascii="Times New Roman" w:hAnsi="Times New Roman" w:eastAsia="黑体"/>
                <w:b/>
                <w:sz w:val="21"/>
                <w:szCs w:val="21"/>
              </w:rPr>
            </w:pPr>
            <w:r>
              <w:rPr>
                <w:rFonts w:ascii="Times New Roman" w:hAnsi="Times New Roman" w:eastAsia="黑体"/>
                <w:b/>
                <w:sz w:val="21"/>
                <w:szCs w:val="21"/>
              </w:rPr>
              <w:t xml:space="preserve">表3.3-1 </w:t>
            </w:r>
            <w:r>
              <w:rPr>
                <w:rFonts w:hint="eastAsia" w:ascii="Times New Roman" w:hAnsi="Times New Roman" w:eastAsia="黑体"/>
                <w:b/>
                <w:sz w:val="21"/>
                <w:szCs w:val="21"/>
              </w:rPr>
              <w:t>农田灌溉水质标准  （摘录）     单位：mg/L</w:t>
            </w:r>
          </w:p>
          <w:tbl>
            <w:tblPr>
              <w:tblStyle w:val="25"/>
              <w:tblW w:w="8010" w:type="dxa"/>
              <w:jc w:val="center"/>
              <w:tblBorders>
                <w:top w:val="single" w:color="000000" w:sz="12" w:space="0"/>
                <w:left w:val="none" w:color="auto" w:sz="0" w:space="0"/>
                <w:bottom w:val="single" w:color="000000" w:sz="12" w:space="0"/>
                <w:right w:val="none" w:color="auto" w:sz="0" w:space="0"/>
                <w:insideH w:val="single" w:color="auto" w:sz="4" w:space="0"/>
                <w:insideV w:val="single" w:color="auto" w:sz="4" w:space="0"/>
              </w:tblBorders>
              <w:tblLayout w:type="autofit"/>
              <w:tblCellMar>
                <w:top w:w="0" w:type="dxa"/>
                <w:left w:w="0" w:type="dxa"/>
                <w:bottom w:w="0" w:type="dxa"/>
                <w:right w:w="0" w:type="dxa"/>
              </w:tblCellMar>
            </w:tblPr>
            <w:tblGrid>
              <w:gridCol w:w="3017"/>
              <w:gridCol w:w="1167"/>
              <w:gridCol w:w="920"/>
              <w:gridCol w:w="959"/>
              <w:gridCol w:w="822"/>
              <w:gridCol w:w="1125"/>
            </w:tblGrid>
            <w:tr>
              <w:tblPrEx>
                <w:tblBorders>
                  <w:top w:val="single" w:color="000000" w:sz="12" w:space="0"/>
                  <w:left w:val="none" w:color="auto" w:sz="0" w:space="0"/>
                  <w:bottom w:val="single" w:color="000000"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3017" w:type="dxa"/>
                  <w:vAlign w:val="center"/>
                </w:tcPr>
                <w:p>
                  <w:pPr>
                    <w:jc w:val="center"/>
                    <w:rPr>
                      <w:sz w:val="18"/>
                      <w:szCs w:val="18"/>
                    </w:rPr>
                  </w:pPr>
                  <w:r>
                    <w:rPr>
                      <w:rFonts w:hint="eastAsia"/>
                      <w:sz w:val="18"/>
                      <w:szCs w:val="18"/>
                    </w:rPr>
                    <w:t>标准</w:t>
                  </w:r>
                </w:p>
              </w:tc>
              <w:tc>
                <w:tcPr>
                  <w:tcW w:w="1167" w:type="dxa"/>
                  <w:vAlign w:val="center"/>
                </w:tcPr>
                <w:p>
                  <w:pPr>
                    <w:pStyle w:val="92"/>
                    <w:adjustRightInd w:val="0"/>
                    <w:snapToGrid w:val="0"/>
                    <w:jc w:val="center"/>
                    <w:rPr>
                      <w:rFonts w:ascii="Times New Roman" w:hAnsi="Times New Roman" w:cs="Times New Roman"/>
                      <w:kern w:val="0"/>
                      <w:sz w:val="18"/>
                      <w:szCs w:val="18"/>
                    </w:rPr>
                  </w:pPr>
                  <w:r>
                    <w:rPr>
                      <w:rFonts w:ascii="Times New Roman" w:hAnsi="Times New Roman" w:cs="Times New Roman"/>
                      <w:kern w:val="0"/>
                      <w:sz w:val="18"/>
                      <w:szCs w:val="18"/>
                    </w:rPr>
                    <w:t>pH</w:t>
                  </w:r>
                  <w:r>
                    <w:rPr>
                      <w:rFonts w:hint="eastAsia" w:ascii="Times New Roman" w:hAnsi="Times New Roman" w:cs="Times New Roman"/>
                      <w:kern w:val="0"/>
                      <w:sz w:val="18"/>
                      <w:szCs w:val="18"/>
                    </w:rPr>
                    <w:t>（无量纲）</w:t>
                  </w:r>
                </w:p>
              </w:tc>
              <w:tc>
                <w:tcPr>
                  <w:tcW w:w="920" w:type="dxa"/>
                  <w:vAlign w:val="center"/>
                </w:tcPr>
                <w:p>
                  <w:pPr>
                    <w:pStyle w:val="92"/>
                    <w:adjustRightInd w:val="0"/>
                    <w:snapToGrid w:val="0"/>
                    <w:jc w:val="center"/>
                    <w:rPr>
                      <w:rFonts w:ascii="Times New Roman" w:hAnsi="Times New Roman" w:cs="Times New Roman"/>
                      <w:kern w:val="0"/>
                      <w:sz w:val="18"/>
                      <w:szCs w:val="18"/>
                    </w:rPr>
                  </w:pPr>
                  <w:r>
                    <w:rPr>
                      <w:rFonts w:ascii="Times New Roman" w:hAnsi="Times New Roman" w:cs="Times New Roman"/>
                      <w:kern w:val="0"/>
                      <w:sz w:val="18"/>
                      <w:szCs w:val="18"/>
                    </w:rPr>
                    <w:t>COD</w:t>
                  </w:r>
                  <w:r>
                    <w:rPr>
                      <w:rFonts w:ascii="Times New Roman" w:hAnsi="Times New Roman" w:cs="Times New Roman"/>
                      <w:kern w:val="0"/>
                      <w:sz w:val="18"/>
                      <w:szCs w:val="18"/>
                      <w:vertAlign w:val="subscript"/>
                    </w:rPr>
                    <w:t>Cr</w:t>
                  </w:r>
                </w:p>
              </w:tc>
              <w:tc>
                <w:tcPr>
                  <w:tcW w:w="959" w:type="dxa"/>
                  <w:vAlign w:val="center"/>
                </w:tcPr>
                <w:p>
                  <w:pPr>
                    <w:pStyle w:val="92"/>
                    <w:adjustRightInd w:val="0"/>
                    <w:snapToGrid w:val="0"/>
                    <w:jc w:val="center"/>
                    <w:rPr>
                      <w:rFonts w:ascii="Times New Roman" w:hAnsi="Times New Roman" w:cs="Times New Roman"/>
                      <w:kern w:val="0"/>
                      <w:sz w:val="18"/>
                      <w:szCs w:val="18"/>
                    </w:rPr>
                  </w:pPr>
                  <w:r>
                    <w:rPr>
                      <w:rFonts w:ascii="Times New Roman" w:hAnsi="Times New Roman" w:cs="Times New Roman"/>
                      <w:kern w:val="0"/>
                      <w:sz w:val="18"/>
                      <w:szCs w:val="18"/>
                    </w:rPr>
                    <w:t>BOD</w:t>
                  </w:r>
                  <w:r>
                    <w:rPr>
                      <w:rFonts w:ascii="Times New Roman" w:hAnsi="Times New Roman" w:cs="Times New Roman"/>
                      <w:kern w:val="0"/>
                      <w:sz w:val="18"/>
                      <w:szCs w:val="18"/>
                      <w:vertAlign w:val="subscript"/>
                    </w:rPr>
                    <w:t>5</w:t>
                  </w:r>
                </w:p>
              </w:tc>
              <w:tc>
                <w:tcPr>
                  <w:tcW w:w="822" w:type="dxa"/>
                  <w:vAlign w:val="center"/>
                </w:tcPr>
                <w:p>
                  <w:pPr>
                    <w:pStyle w:val="92"/>
                    <w:adjustRightInd w:val="0"/>
                    <w:snapToGrid w:val="0"/>
                    <w:jc w:val="center"/>
                    <w:rPr>
                      <w:rFonts w:ascii="Times New Roman" w:hAnsi="Times New Roman" w:cs="Times New Roman"/>
                      <w:kern w:val="0"/>
                      <w:sz w:val="18"/>
                      <w:szCs w:val="18"/>
                    </w:rPr>
                  </w:pPr>
                  <w:r>
                    <w:rPr>
                      <w:rFonts w:ascii="Times New Roman" w:hAnsi="Times New Roman" w:cs="Times New Roman"/>
                      <w:kern w:val="0"/>
                      <w:sz w:val="18"/>
                      <w:szCs w:val="18"/>
                    </w:rPr>
                    <w:t>SS</w:t>
                  </w:r>
                </w:p>
              </w:tc>
              <w:tc>
                <w:tcPr>
                  <w:tcW w:w="1125" w:type="dxa"/>
                  <w:vAlign w:val="center"/>
                </w:tcPr>
                <w:p>
                  <w:pPr>
                    <w:pStyle w:val="92"/>
                    <w:adjustRightInd w:val="0"/>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氨氮</w:t>
                  </w:r>
                </w:p>
              </w:tc>
            </w:tr>
            <w:tr>
              <w:tblPrEx>
                <w:tblBorders>
                  <w:top w:val="single" w:color="000000" w:sz="12" w:space="0"/>
                  <w:left w:val="none" w:color="auto" w:sz="0" w:space="0"/>
                  <w:bottom w:val="single" w:color="000000"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3017" w:type="dxa"/>
                  <w:vAlign w:val="center"/>
                </w:tcPr>
                <w:p>
                  <w:pPr>
                    <w:jc w:val="center"/>
                    <w:rPr>
                      <w:sz w:val="18"/>
                      <w:szCs w:val="18"/>
                    </w:rPr>
                  </w:pPr>
                  <w:r>
                    <w:rPr>
                      <w:rFonts w:ascii="Times New Roman" w:hAnsi="Times New Roman"/>
                      <w:sz w:val="18"/>
                      <w:szCs w:val="18"/>
                    </w:rPr>
                    <w:t>农田灌溉水质标准》(GB5084-</w:t>
                  </w:r>
                  <w:r>
                    <w:rPr>
                      <w:rFonts w:hint="eastAsia" w:ascii="Times New Roman" w:hAnsi="Times New Roman"/>
                      <w:sz w:val="18"/>
                      <w:szCs w:val="18"/>
                    </w:rPr>
                    <w:t>2021</w:t>
                  </w:r>
                  <w:r>
                    <w:rPr>
                      <w:rFonts w:ascii="Times New Roman" w:hAnsi="Times New Roman"/>
                      <w:sz w:val="18"/>
                      <w:szCs w:val="18"/>
                    </w:rPr>
                    <w:t>)表1“</w:t>
                  </w:r>
                  <w:r>
                    <w:rPr>
                      <w:rFonts w:hint="eastAsia" w:ascii="Times New Roman" w:hAnsi="Times New Roman"/>
                      <w:sz w:val="18"/>
                      <w:szCs w:val="18"/>
                    </w:rPr>
                    <w:t>农田灌溉水质基本控制项目限值</w:t>
                  </w:r>
                  <w:r>
                    <w:rPr>
                      <w:rFonts w:ascii="Times New Roman" w:hAnsi="Times New Roman"/>
                      <w:sz w:val="18"/>
                      <w:szCs w:val="18"/>
                    </w:rPr>
                    <w:t>”</w:t>
                  </w:r>
                </w:p>
              </w:tc>
              <w:tc>
                <w:tcPr>
                  <w:tcW w:w="1167" w:type="dxa"/>
                  <w:vAlign w:val="center"/>
                </w:tcPr>
                <w:p>
                  <w:pPr>
                    <w:pStyle w:val="92"/>
                    <w:adjustRightInd w:val="0"/>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5.5-8.5</w:t>
                  </w:r>
                </w:p>
              </w:tc>
              <w:tc>
                <w:tcPr>
                  <w:tcW w:w="920" w:type="dxa"/>
                  <w:vAlign w:val="center"/>
                </w:tcPr>
                <w:p>
                  <w:pPr>
                    <w:pStyle w:val="92"/>
                    <w:adjustRightInd w:val="0"/>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200</w:t>
                  </w:r>
                </w:p>
              </w:tc>
              <w:tc>
                <w:tcPr>
                  <w:tcW w:w="959" w:type="dxa"/>
                  <w:vAlign w:val="center"/>
                </w:tcPr>
                <w:p>
                  <w:pPr>
                    <w:pStyle w:val="92"/>
                    <w:adjustRightInd w:val="0"/>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100</w:t>
                  </w:r>
                </w:p>
              </w:tc>
              <w:tc>
                <w:tcPr>
                  <w:tcW w:w="822" w:type="dxa"/>
                  <w:vAlign w:val="center"/>
                </w:tcPr>
                <w:p>
                  <w:pPr>
                    <w:pStyle w:val="92"/>
                    <w:adjustRightInd w:val="0"/>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100</w:t>
                  </w:r>
                </w:p>
              </w:tc>
              <w:tc>
                <w:tcPr>
                  <w:tcW w:w="1125" w:type="dxa"/>
                  <w:vAlign w:val="center"/>
                </w:tcPr>
                <w:p>
                  <w:pPr>
                    <w:pStyle w:val="92"/>
                    <w:adjustRightInd w:val="0"/>
                    <w:snapToGrid w:val="0"/>
                    <w:jc w:val="center"/>
                    <w:rPr>
                      <w:rFonts w:ascii="Times New Roman" w:hAnsi="Times New Roman" w:cs="Times New Roman"/>
                      <w:kern w:val="0"/>
                      <w:sz w:val="18"/>
                      <w:szCs w:val="18"/>
                    </w:rPr>
                  </w:pPr>
                  <w:r>
                    <w:rPr>
                      <w:rFonts w:ascii="Times New Roman" w:hAnsi="Times New Roman" w:cs="Times New Roman"/>
                      <w:kern w:val="0"/>
                      <w:sz w:val="18"/>
                      <w:szCs w:val="18"/>
                    </w:rPr>
                    <w:t>45</w:t>
                  </w:r>
                </w:p>
              </w:tc>
            </w:tr>
          </w:tbl>
          <w:p>
            <w:pPr>
              <w:pStyle w:val="3"/>
              <w:spacing w:after="0" w:line="440" w:lineRule="exact"/>
              <w:ind w:right="-120" w:firstLine="0" w:firstLineChars="0"/>
              <w:rPr>
                <w:rFonts w:ascii="Times New Roman" w:hAnsi="Times New Roman" w:eastAsia="黑体"/>
                <w:b/>
                <w:bCs/>
              </w:rPr>
            </w:pPr>
            <w:r>
              <w:rPr>
                <w:rFonts w:ascii="Times New Roman" w:hAnsi="Times New Roman" w:eastAsia="黑体"/>
                <w:b/>
                <w:bCs/>
              </w:rPr>
              <w:t>3.3.2</w:t>
            </w:r>
            <w:r>
              <w:rPr>
                <w:rFonts w:hint="eastAsia" w:ascii="Times New Roman" w:hAnsi="Times New Roman" w:eastAsia="黑体"/>
                <w:b/>
                <w:bCs/>
              </w:rPr>
              <w:t>废气</w:t>
            </w:r>
          </w:p>
          <w:p>
            <w:pPr>
              <w:adjustRightInd w:val="0"/>
              <w:snapToGrid w:val="0"/>
              <w:spacing w:line="440" w:lineRule="exact"/>
              <w:ind w:firstLine="480" w:firstLineChars="200"/>
              <w:rPr>
                <w:rFonts w:ascii="Times New Roman" w:hAnsi="Times New Roman"/>
                <w:szCs w:val="22"/>
              </w:rPr>
            </w:pPr>
            <w:r>
              <w:rPr>
                <w:rFonts w:ascii="Times New Roman" w:hAnsi="Times New Roman"/>
                <w:kern w:val="0"/>
                <w:szCs w:val="25"/>
              </w:rPr>
              <w:t>项目废气主要来源于</w:t>
            </w:r>
            <w:r>
              <w:rPr>
                <w:rFonts w:hint="eastAsia" w:ascii="Times New Roman" w:hAnsi="Times New Roman"/>
                <w:kern w:val="0"/>
                <w:szCs w:val="25"/>
              </w:rPr>
              <w:t>装卸、堆放、运输及破碎筛分等工序产生的粉尘。厂界粉尘</w:t>
            </w:r>
            <w:r>
              <w:rPr>
                <w:rFonts w:ascii="Times New Roman" w:hAnsi="Times New Roman"/>
                <w:kern w:val="0"/>
                <w:szCs w:val="25"/>
              </w:rPr>
              <w:t>排放</w:t>
            </w:r>
            <w:r>
              <w:rPr>
                <w:rFonts w:ascii="Times New Roman" w:hAnsi="Times New Roman"/>
                <w:szCs w:val="22"/>
              </w:rPr>
              <w:t>执行《大气污染物综合排放标准》（GB16297-1996）表2标准，见下表。</w:t>
            </w:r>
          </w:p>
          <w:p>
            <w:pPr>
              <w:tabs>
                <w:tab w:val="left" w:pos="602"/>
              </w:tabs>
              <w:spacing w:before="120" w:beforeLines="50"/>
              <w:ind w:firstLine="422"/>
              <w:jc w:val="center"/>
              <w:rPr>
                <w:rFonts w:ascii="Times New Roman" w:hAnsi="Times New Roman" w:eastAsia="黑体"/>
                <w:b/>
                <w:sz w:val="21"/>
                <w:szCs w:val="21"/>
              </w:rPr>
            </w:pPr>
            <w:r>
              <w:rPr>
                <w:rFonts w:ascii="Times New Roman" w:hAnsi="Times New Roman" w:eastAsia="黑体"/>
                <w:b/>
                <w:sz w:val="21"/>
                <w:szCs w:val="21"/>
              </w:rPr>
              <w:t>表3.3-</w:t>
            </w:r>
            <w:r>
              <w:rPr>
                <w:rFonts w:hint="eastAsia" w:ascii="Times New Roman" w:hAnsi="Times New Roman" w:eastAsia="黑体"/>
                <w:b/>
                <w:sz w:val="21"/>
                <w:szCs w:val="21"/>
              </w:rPr>
              <w:t>2</w:t>
            </w:r>
            <w:r>
              <w:rPr>
                <w:rFonts w:ascii="Times New Roman" w:hAnsi="Times New Roman" w:eastAsia="黑体"/>
                <w:b/>
                <w:sz w:val="21"/>
                <w:szCs w:val="21"/>
              </w:rPr>
              <w:t xml:space="preserve"> 颗粒物无组织排放浓度限值</w:t>
            </w:r>
          </w:p>
          <w:tbl>
            <w:tblPr>
              <w:tblStyle w:val="25"/>
              <w:tblW w:w="8130"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954"/>
              <w:gridCol w:w="1487"/>
              <w:gridCol w:w="4689"/>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954" w:type="dxa"/>
                  <w:vAlign w:val="center"/>
                </w:tcPr>
                <w:p>
                  <w:pPr>
                    <w:widowControl/>
                    <w:adjustRightInd w:val="0"/>
                    <w:snapToGrid w:val="0"/>
                    <w:jc w:val="center"/>
                    <w:rPr>
                      <w:rFonts w:ascii="Times New Roman" w:hAnsi="Times New Roman"/>
                      <w:kern w:val="0"/>
                      <w:sz w:val="18"/>
                      <w:szCs w:val="18"/>
                    </w:rPr>
                  </w:pPr>
                  <w:r>
                    <w:rPr>
                      <w:rFonts w:ascii="Times New Roman" w:hAnsi="Times New Roman"/>
                      <w:kern w:val="0"/>
                      <w:sz w:val="18"/>
                      <w:szCs w:val="18"/>
                    </w:rPr>
                    <w:t>监控点</w:t>
                  </w:r>
                </w:p>
              </w:tc>
              <w:tc>
                <w:tcPr>
                  <w:tcW w:w="1487" w:type="dxa"/>
                  <w:vAlign w:val="center"/>
                </w:tcPr>
                <w:p>
                  <w:pPr>
                    <w:widowControl/>
                    <w:adjustRightInd w:val="0"/>
                    <w:snapToGrid w:val="0"/>
                    <w:jc w:val="center"/>
                    <w:rPr>
                      <w:rFonts w:ascii="Times New Roman" w:hAnsi="Times New Roman"/>
                      <w:kern w:val="0"/>
                      <w:sz w:val="18"/>
                      <w:szCs w:val="18"/>
                    </w:rPr>
                  </w:pPr>
                  <w:r>
                    <w:rPr>
                      <w:rFonts w:ascii="Times New Roman" w:hAnsi="Times New Roman"/>
                      <w:kern w:val="0"/>
                      <w:sz w:val="18"/>
                      <w:szCs w:val="18"/>
                    </w:rPr>
                    <w:t>浓度（mg/m</w:t>
                  </w:r>
                  <w:r>
                    <w:rPr>
                      <w:rFonts w:ascii="Times New Roman" w:hAnsi="Times New Roman"/>
                      <w:kern w:val="0"/>
                      <w:sz w:val="18"/>
                      <w:szCs w:val="18"/>
                      <w:vertAlign w:val="superscript"/>
                    </w:rPr>
                    <w:t>3</w:t>
                  </w:r>
                  <w:r>
                    <w:rPr>
                      <w:rFonts w:ascii="Times New Roman" w:hAnsi="Times New Roman"/>
                      <w:kern w:val="0"/>
                      <w:sz w:val="18"/>
                      <w:szCs w:val="18"/>
                    </w:rPr>
                    <w:t>）</w:t>
                  </w:r>
                </w:p>
              </w:tc>
              <w:tc>
                <w:tcPr>
                  <w:tcW w:w="4689" w:type="dxa"/>
                  <w:tcBorders>
                    <w:bottom w:val="single" w:color="auto" w:sz="4" w:space="0"/>
                  </w:tcBorders>
                  <w:vAlign w:val="center"/>
                </w:tcPr>
                <w:p>
                  <w:pPr>
                    <w:widowControl/>
                    <w:adjustRightInd w:val="0"/>
                    <w:snapToGrid w:val="0"/>
                    <w:jc w:val="center"/>
                    <w:rPr>
                      <w:rFonts w:ascii="Times New Roman" w:hAnsi="Times New Roman"/>
                      <w:kern w:val="0"/>
                      <w:sz w:val="18"/>
                      <w:szCs w:val="18"/>
                    </w:rPr>
                  </w:pPr>
                  <w:r>
                    <w:rPr>
                      <w:rFonts w:ascii="Times New Roman" w:hAnsi="Times New Roman"/>
                      <w:kern w:val="0"/>
                      <w:sz w:val="18"/>
                      <w:szCs w:val="18"/>
                    </w:rPr>
                    <w:t>标准来源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78" w:hRule="atLeast"/>
                <w:jc w:val="center"/>
              </w:trPr>
              <w:tc>
                <w:tcPr>
                  <w:tcW w:w="1954" w:type="dxa"/>
                  <w:vAlign w:val="center"/>
                </w:tcPr>
                <w:p>
                  <w:pPr>
                    <w:widowControl/>
                    <w:adjustRightInd w:val="0"/>
                    <w:snapToGrid w:val="0"/>
                    <w:jc w:val="center"/>
                    <w:rPr>
                      <w:rFonts w:ascii="Times New Roman" w:hAnsi="Times New Roman"/>
                      <w:kern w:val="0"/>
                      <w:sz w:val="18"/>
                      <w:szCs w:val="18"/>
                    </w:rPr>
                  </w:pPr>
                  <w:r>
                    <w:rPr>
                      <w:rFonts w:ascii="Times New Roman" w:hAnsi="Times New Roman"/>
                      <w:kern w:val="0"/>
                      <w:sz w:val="18"/>
                      <w:szCs w:val="18"/>
                    </w:rPr>
                    <w:t>周界外浓度最高点</w:t>
                  </w:r>
                </w:p>
              </w:tc>
              <w:tc>
                <w:tcPr>
                  <w:tcW w:w="1487" w:type="dxa"/>
                  <w:vAlign w:val="center"/>
                </w:tcPr>
                <w:p>
                  <w:pPr>
                    <w:widowControl/>
                    <w:adjustRightInd w:val="0"/>
                    <w:snapToGrid w:val="0"/>
                    <w:jc w:val="center"/>
                    <w:rPr>
                      <w:rFonts w:ascii="Times New Roman" w:hAnsi="Times New Roman"/>
                      <w:kern w:val="0"/>
                      <w:sz w:val="18"/>
                      <w:szCs w:val="18"/>
                    </w:rPr>
                  </w:pPr>
                  <w:r>
                    <w:rPr>
                      <w:rFonts w:ascii="Times New Roman" w:hAnsi="Times New Roman"/>
                      <w:kern w:val="0"/>
                      <w:sz w:val="18"/>
                      <w:szCs w:val="18"/>
                    </w:rPr>
                    <w:t>1.0</w:t>
                  </w:r>
                </w:p>
              </w:tc>
              <w:tc>
                <w:tcPr>
                  <w:tcW w:w="4689" w:type="dxa"/>
                  <w:tcBorders>
                    <w:top w:val="single" w:color="auto" w:sz="4" w:space="0"/>
                  </w:tcBorders>
                  <w:vAlign w:val="center"/>
                </w:tcPr>
                <w:p>
                  <w:pPr>
                    <w:widowControl/>
                    <w:adjustRightInd w:val="0"/>
                    <w:snapToGrid w:val="0"/>
                    <w:jc w:val="center"/>
                    <w:rPr>
                      <w:rFonts w:ascii="Times New Roman" w:hAnsi="Times New Roman"/>
                      <w:kern w:val="0"/>
                      <w:sz w:val="18"/>
                      <w:szCs w:val="18"/>
                    </w:rPr>
                  </w:pPr>
                  <w:r>
                    <w:rPr>
                      <w:rFonts w:ascii="Times New Roman" w:hAnsi="Times New Roman"/>
                      <w:kern w:val="0"/>
                      <w:sz w:val="18"/>
                      <w:szCs w:val="18"/>
                    </w:rPr>
                    <w:t>《大气污染物综合排放标准》（GB16297-1996）</w:t>
                  </w:r>
                </w:p>
              </w:tc>
            </w:tr>
          </w:tbl>
          <w:p>
            <w:pPr>
              <w:pStyle w:val="2"/>
            </w:pPr>
          </w:p>
          <w:p>
            <w:pPr>
              <w:pStyle w:val="3"/>
              <w:spacing w:line="400" w:lineRule="exact"/>
              <w:ind w:right="-120" w:firstLine="0" w:firstLineChars="0"/>
              <w:rPr>
                <w:rFonts w:ascii="Times New Roman" w:hAnsi="Times New Roman" w:eastAsia="黑体"/>
                <w:b/>
                <w:bCs/>
              </w:rPr>
            </w:pPr>
            <w:r>
              <w:rPr>
                <w:rFonts w:ascii="Times New Roman" w:hAnsi="Times New Roman" w:eastAsia="黑体"/>
                <w:b/>
                <w:bCs/>
              </w:rPr>
              <w:t>3.3.3固废</w:t>
            </w:r>
          </w:p>
          <w:p>
            <w:pPr>
              <w:spacing w:line="440" w:lineRule="exact"/>
              <w:ind w:firstLine="480" w:firstLineChars="200"/>
              <w:rPr>
                <w:rFonts w:ascii="Times New Roman" w:hAnsi="Times New Roman" w:eastAsiaTheme="minorEastAsia"/>
              </w:rPr>
            </w:pPr>
            <w:r>
              <w:rPr>
                <w:rFonts w:ascii="Times New Roman" w:hAnsi="Times New Roman"/>
              </w:rPr>
              <w:t>危险废物的收集、暂存执行《危险废物贮存污染控制标准》（GB18597-2023）的相关要求；</w:t>
            </w:r>
            <w:r>
              <w:rPr>
                <w:rFonts w:ascii="Times New Roman" w:hAnsi="Times New Roman" w:eastAsiaTheme="minorEastAsia"/>
              </w:rPr>
              <w:t>一般工业固体废物在厂区内暂时贮存参照执行</w:t>
            </w:r>
            <w:r>
              <w:rPr>
                <w:rFonts w:ascii="Times New Roman" w:hAnsi="Times New Roman" w:eastAsiaTheme="minorEastAsia"/>
                <w:szCs w:val="20"/>
              </w:rPr>
              <w:t>《一般工业固体废物贮存和填埋污染控制标准》（GB18599-2020）。</w:t>
            </w:r>
          </w:p>
          <w:p>
            <w:pPr>
              <w:pStyle w:val="3"/>
              <w:spacing w:line="400" w:lineRule="exact"/>
              <w:ind w:right="-120" w:firstLine="0" w:firstLineChars="0"/>
              <w:rPr>
                <w:rFonts w:ascii="Times New Roman" w:hAnsi="Times New Roman" w:eastAsia="黑体"/>
                <w:b/>
                <w:bCs/>
              </w:rPr>
            </w:pPr>
            <w:r>
              <w:rPr>
                <w:rFonts w:ascii="Times New Roman" w:hAnsi="Times New Roman" w:eastAsia="黑体"/>
                <w:b/>
                <w:bCs/>
              </w:rPr>
              <w:t>3.3.4噪声</w:t>
            </w:r>
          </w:p>
          <w:p>
            <w:pPr>
              <w:spacing w:line="440" w:lineRule="exact"/>
              <w:ind w:firstLine="480" w:firstLineChars="200"/>
              <w:rPr>
                <w:rFonts w:ascii="Times New Roman" w:hAnsi="Times New Roman"/>
                <w:kern w:val="0"/>
                <w:szCs w:val="25"/>
              </w:rPr>
            </w:pPr>
            <w:r>
              <w:rPr>
                <w:rFonts w:hint="eastAsia" w:ascii="Times New Roman" w:hAnsi="Times New Roman"/>
                <w:kern w:val="0"/>
                <w:szCs w:val="25"/>
              </w:rPr>
              <w:t>项目施工期厂界噪声执行《建筑施工场界环境噪声排放标准》（GB- 12523-2011）表1规定排放限值；</w:t>
            </w:r>
            <w:r>
              <w:rPr>
                <w:rFonts w:ascii="Times New Roman" w:hAnsi="Times New Roman"/>
                <w:kern w:val="0"/>
                <w:szCs w:val="25"/>
              </w:rPr>
              <w:t>项目运营期厂界噪声排放执行《工业企业厂界环境噪声排放标准》（GB12348-2008）2类标准，见下表：</w:t>
            </w:r>
          </w:p>
          <w:p>
            <w:pPr>
              <w:tabs>
                <w:tab w:val="left" w:pos="602"/>
              </w:tabs>
              <w:spacing w:before="120" w:beforeLines="50"/>
              <w:ind w:firstLine="422"/>
              <w:jc w:val="center"/>
              <w:rPr>
                <w:rFonts w:ascii="Times New Roman" w:hAnsi="Times New Roman" w:eastAsia="黑体"/>
                <w:b/>
                <w:sz w:val="21"/>
                <w:szCs w:val="21"/>
              </w:rPr>
            </w:pPr>
            <w:r>
              <w:rPr>
                <w:rFonts w:ascii="Times New Roman" w:hAnsi="Times New Roman" w:eastAsia="黑体"/>
                <w:b/>
                <w:sz w:val="21"/>
                <w:szCs w:val="21"/>
              </w:rPr>
              <w:t>表3.3-</w:t>
            </w:r>
            <w:r>
              <w:rPr>
                <w:rFonts w:hint="eastAsia" w:ascii="Times New Roman" w:hAnsi="Times New Roman" w:eastAsia="黑体"/>
                <w:b/>
                <w:sz w:val="21"/>
                <w:szCs w:val="21"/>
              </w:rPr>
              <w:t>3</w:t>
            </w:r>
            <w:r>
              <w:rPr>
                <w:rFonts w:ascii="Times New Roman" w:hAnsi="Times New Roman" w:eastAsia="黑体"/>
                <w:b/>
                <w:sz w:val="21"/>
                <w:szCs w:val="21"/>
              </w:rPr>
              <w:t xml:space="preserve"> 建筑施工场界环境噪声排放限值  单位：dB(A)</w:t>
            </w:r>
          </w:p>
          <w:tbl>
            <w:tblPr>
              <w:tblStyle w:val="25"/>
              <w:tblpPr w:bottomFromText="170" w:vertAnchor="text" w:tblpXSpec="center" w:tblpY="1"/>
              <w:tblOverlap w:val="never"/>
              <w:tblW w:w="7918"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3960"/>
              <w:gridCol w:w="1923"/>
              <w:gridCol w:w="2035"/>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3960" w:type="dxa"/>
                  <w:vAlign w:val="center"/>
                </w:tcPr>
                <w:p>
                  <w:pPr>
                    <w:ind w:firstLine="360"/>
                    <w:jc w:val="center"/>
                    <w:rPr>
                      <w:rFonts w:ascii="Times New Roman" w:hAnsi="Times New Roman"/>
                      <w:sz w:val="18"/>
                      <w:szCs w:val="18"/>
                    </w:rPr>
                  </w:pPr>
                  <w:r>
                    <w:rPr>
                      <w:rFonts w:ascii="Times New Roman" w:hAnsi="Times New Roman"/>
                      <w:sz w:val="18"/>
                      <w:szCs w:val="18"/>
                    </w:rPr>
                    <w:t>标准</w:t>
                  </w:r>
                </w:p>
              </w:tc>
              <w:tc>
                <w:tcPr>
                  <w:tcW w:w="1923" w:type="dxa"/>
                  <w:vAlign w:val="center"/>
                </w:tcPr>
                <w:p>
                  <w:pPr>
                    <w:ind w:firstLine="360"/>
                    <w:jc w:val="center"/>
                    <w:rPr>
                      <w:rFonts w:ascii="Times New Roman" w:hAnsi="Times New Roman"/>
                      <w:sz w:val="18"/>
                      <w:szCs w:val="18"/>
                    </w:rPr>
                  </w:pPr>
                  <w:r>
                    <w:rPr>
                      <w:rFonts w:ascii="Times New Roman" w:hAnsi="Times New Roman"/>
                      <w:sz w:val="18"/>
                      <w:szCs w:val="18"/>
                    </w:rPr>
                    <w:t>昼间</w:t>
                  </w:r>
                </w:p>
              </w:tc>
              <w:tc>
                <w:tcPr>
                  <w:tcW w:w="2035" w:type="dxa"/>
                  <w:vAlign w:val="center"/>
                </w:tcPr>
                <w:p>
                  <w:pPr>
                    <w:ind w:firstLine="360"/>
                    <w:jc w:val="center"/>
                    <w:rPr>
                      <w:rFonts w:ascii="Times New Roman" w:hAnsi="Times New Roman"/>
                      <w:sz w:val="18"/>
                      <w:szCs w:val="18"/>
                    </w:rPr>
                  </w:pPr>
                  <w:r>
                    <w:rPr>
                      <w:rFonts w:ascii="Times New Roman" w:hAnsi="Times New Roman"/>
                      <w:sz w:val="18"/>
                      <w:szCs w:val="18"/>
                    </w:rPr>
                    <w:t>夜间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3960" w:type="dxa"/>
                  <w:vAlign w:val="center"/>
                </w:tcPr>
                <w:p>
                  <w:pPr>
                    <w:ind w:firstLine="360"/>
                    <w:jc w:val="center"/>
                    <w:rPr>
                      <w:rFonts w:ascii="Times New Roman" w:hAnsi="Times New Roman"/>
                      <w:sz w:val="18"/>
                      <w:szCs w:val="18"/>
                    </w:rPr>
                  </w:pPr>
                  <w:r>
                    <w:rPr>
                      <w:rFonts w:hint="eastAsia" w:ascii="Times New Roman" w:hAnsi="Times New Roman"/>
                      <w:sz w:val="18"/>
                      <w:szCs w:val="18"/>
                    </w:rPr>
                    <w:t>《建筑施工场界环境噪声排放标准》</w:t>
                  </w:r>
                </w:p>
                <w:p>
                  <w:pPr>
                    <w:ind w:firstLine="360"/>
                    <w:jc w:val="center"/>
                    <w:rPr>
                      <w:rFonts w:ascii="Times New Roman" w:hAnsi="Times New Roman"/>
                      <w:sz w:val="18"/>
                      <w:szCs w:val="18"/>
                    </w:rPr>
                  </w:pPr>
                  <w:r>
                    <w:rPr>
                      <w:rFonts w:hint="eastAsia" w:ascii="Times New Roman" w:hAnsi="Times New Roman"/>
                      <w:sz w:val="18"/>
                      <w:szCs w:val="18"/>
                    </w:rPr>
                    <w:t>（GB- 12523-2011）表1现值</w:t>
                  </w:r>
                </w:p>
              </w:tc>
              <w:tc>
                <w:tcPr>
                  <w:tcW w:w="1923" w:type="dxa"/>
                  <w:vAlign w:val="center"/>
                </w:tcPr>
                <w:p>
                  <w:pPr>
                    <w:ind w:firstLine="360"/>
                    <w:jc w:val="center"/>
                    <w:rPr>
                      <w:rFonts w:ascii="Times New Roman" w:hAnsi="Times New Roman"/>
                      <w:sz w:val="18"/>
                      <w:szCs w:val="18"/>
                    </w:rPr>
                  </w:pPr>
                  <w:r>
                    <w:rPr>
                      <w:rFonts w:hint="eastAsia" w:ascii="Times New Roman" w:hAnsi="Times New Roman"/>
                      <w:sz w:val="18"/>
                      <w:szCs w:val="18"/>
                    </w:rPr>
                    <w:t>70</w:t>
                  </w:r>
                </w:p>
              </w:tc>
              <w:tc>
                <w:tcPr>
                  <w:tcW w:w="2035" w:type="dxa"/>
                  <w:vAlign w:val="center"/>
                </w:tcPr>
                <w:p>
                  <w:pPr>
                    <w:ind w:firstLine="360"/>
                    <w:jc w:val="center"/>
                    <w:rPr>
                      <w:rFonts w:ascii="Times New Roman" w:hAnsi="Times New Roman"/>
                      <w:sz w:val="18"/>
                      <w:szCs w:val="18"/>
                    </w:rPr>
                  </w:pPr>
                  <w:r>
                    <w:rPr>
                      <w:rFonts w:hint="eastAsia" w:ascii="Times New Roman" w:hAnsi="Times New Roman"/>
                      <w:sz w:val="18"/>
                      <w:szCs w:val="18"/>
                    </w:rPr>
                    <w:t>55</w:t>
                  </w:r>
                </w:p>
              </w:tc>
            </w:tr>
          </w:tbl>
          <w:p>
            <w:pPr>
              <w:tabs>
                <w:tab w:val="left" w:pos="602"/>
              </w:tabs>
              <w:spacing w:before="120" w:beforeLines="50"/>
              <w:ind w:firstLine="422"/>
              <w:jc w:val="center"/>
              <w:rPr>
                <w:rFonts w:ascii="Times New Roman" w:hAnsi="Times New Roman" w:eastAsia="黑体"/>
                <w:b/>
                <w:sz w:val="21"/>
                <w:szCs w:val="21"/>
              </w:rPr>
            </w:pPr>
            <w:bookmarkStart w:id="10" w:name="_Ref349722264"/>
            <w:bookmarkStart w:id="11" w:name="_Ref52284636"/>
            <w:r>
              <w:rPr>
                <w:rFonts w:ascii="Times New Roman" w:hAnsi="Times New Roman" w:eastAsia="黑体"/>
                <w:b/>
                <w:sz w:val="21"/>
                <w:szCs w:val="21"/>
              </w:rPr>
              <w:t>表3.3-</w:t>
            </w:r>
            <w:r>
              <w:rPr>
                <w:rFonts w:hint="eastAsia" w:ascii="Times New Roman" w:hAnsi="Times New Roman" w:eastAsia="黑体"/>
                <w:b/>
                <w:sz w:val="21"/>
                <w:szCs w:val="21"/>
              </w:rPr>
              <w:t>4</w:t>
            </w:r>
            <w:r>
              <w:rPr>
                <w:rFonts w:ascii="Times New Roman" w:hAnsi="Times New Roman" w:eastAsia="黑体"/>
                <w:b/>
                <w:sz w:val="21"/>
                <w:szCs w:val="21"/>
              </w:rPr>
              <w:t xml:space="preserve"> 《工业企业厂界环境噪声排放标准》(摘录)  单位：dB(A)</w:t>
            </w:r>
            <w:bookmarkEnd w:id="10"/>
            <w:bookmarkEnd w:id="11"/>
          </w:p>
          <w:tbl>
            <w:tblPr>
              <w:tblStyle w:val="25"/>
              <w:tblpPr w:bottomFromText="170" w:vertAnchor="text" w:tblpXSpec="center" w:tblpY="1"/>
              <w:tblOverlap w:val="never"/>
              <w:tblW w:w="7918"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3960"/>
              <w:gridCol w:w="1923"/>
              <w:gridCol w:w="2035"/>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3960" w:type="dxa"/>
                  <w:vAlign w:val="center"/>
                </w:tcPr>
                <w:p>
                  <w:pPr>
                    <w:ind w:firstLine="360"/>
                    <w:jc w:val="center"/>
                    <w:rPr>
                      <w:rFonts w:ascii="Times New Roman" w:hAnsi="Times New Roman"/>
                      <w:sz w:val="18"/>
                      <w:szCs w:val="18"/>
                    </w:rPr>
                  </w:pPr>
                  <w:r>
                    <w:rPr>
                      <w:rFonts w:ascii="Times New Roman" w:hAnsi="Times New Roman"/>
                      <w:sz w:val="18"/>
                      <w:szCs w:val="18"/>
                    </w:rPr>
                    <w:t>标准</w:t>
                  </w:r>
                </w:p>
              </w:tc>
              <w:tc>
                <w:tcPr>
                  <w:tcW w:w="1923" w:type="dxa"/>
                  <w:vAlign w:val="center"/>
                </w:tcPr>
                <w:p>
                  <w:pPr>
                    <w:ind w:firstLine="360"/>
                    <w:jc w:val="center"/>
                    <w:rPr>
                      <w:rFonts w:ascii="Times New Roman" w:hAnsi="Times New Roman"/>
                      <w:sz w:val="18"/>
                      <w:szCs w:val="18"/>
                    </w:rPr>
                  </w:pPr>
                  <w:r>
                    <w:rPr>
                      <w:rFonts w:ascii="Times New Roman" w:hAnsi="Times New Roman"/>
                      <w:sz w:val="18"/>
                      <w:szCs w:val="18"/>
                    </w:rPr>
                    <w:t>昼间</w:t>
                  </w:r>
                </w:p>
              </w:tc>
              <w:tc>
                <w:tcPr>
                  <w:tcW w:w="2035" w:type="dxa"/>
                  <w:vAlign w:val="center"/>
                </w:tcPr>
                <w:p>
                  <w:pPr>
                    <w:ind w:firstLine="360"/>
                    <w:jc w:val="center"/>
                    <w:rPr>
                      <w:rFonts w:ascii="Times New Roman" w:hAnsi="Times New Roman"/>
                      <w:sz w:val="18"/>
                      <w:szCs w:val="18"/>
                    </w:rPr>
                  </w:pPr>
                  <w:r>
                    <w:rPr>
                      <w:rFonts w:ascii="Times New Roman" w:hAnsi="Times New Roman"/>
                      <w:sz w:val="18"/>
                      <w:szCs w:val="18"/>
                    </w:rPr>
                    <w:t>夜间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3960" w:type="dxa"/>
                  <w:vAlign w:val="center"/>
                </w:tcPr>
                <w:p>
                  <w:pPr>
                    <w:ind w:firstLine="360"/>
                    <w:jc w:val="center"/>
                    <w:rPr>
                      <w:rFonts w:ascii="Times New Roman" w:hAnsi="Times New Roman"/>
                      <w:sz w:val="18"/>
                      <w:szCs w:val="18"/>
                    </w:rPr>
                  </w:pPr>
                  <w:r>
                    <w:rPr>
                      <w:rFonts w:ascii="Times New Roman" w:hAnsi="Times New Roman"/>
                      <w:sz w:val="18"/>
                      <w:szCs w:val="18"/>
                    </w:rPr>
                    <w:t>《工业企业厂界环境噪声排放标准》（GB12348-2008）2类标准</w:t>
                  </w:r>
                </w:p>
              </w:tc>
              <w:tc>
                <w:tcPr>
                  <w:tcW w:w="1923" w:type="dxa"/>
                  <w:vAlign w:val="center"/>
                </w:tcPr>
                <w:p>
                  <w:pPr>
                    <w:ind w:firstLine="360"/>
                    <w:jc w:val="center"/>
                    <w:rPr>
                      <w:rFonts w:ascii="Times New Roman" w:hAnsi="Times New Roman"/>
                      <w:sz w:val="18"/>
                      <w:szCs w:val="18"/>
                    </w:rPr>
                  </w:pPr>
                  <w:r>
                    <w:rPr>
                      <w:rFonts w:ascii="Times New Roman" w:hAnsi="Times New Roman"/>
                      <w:sz w:val="18"/>
                      <w:szCs w:val="18"/>
                    </w:rPr>
                    <w:t>60</w:t>
                  </w:r>
                </w:p>
              </w:tc>
              <w:tc>
                <w:tcPr>
                  <w:tcW w:w="2035" w:type="dxa"/>
                  <w:vAlign w:val="center"/>
                </w:tcPr>
                <w:p>
                  <w:pPr>
                    <w:ind w:firstLine="360"/>
                    <w:jc w:val="center"/>
                    <w:rPr>
                      <w:rFonts w:ascii="Times New Roman" w:hAnsi="Times New Roman"/>
                      <w:sz w:val="18"/>
                      <w:szCs w:val="18"/>
                    </w:rPr>
                  </w:pPr>
                  <w:r>
                    <w:rPr>
                      <w:rFonts w:ascii="Times New Roman" w:hAnsi="Times New Roman"/>
                      <w:sz w:val="18"/>
                      <w:szCs w:val="18"/>
                    </w:rPr>
                    <w:t>50</w:t>
                  </w:r>
                </w:p>
              </w:tc>
            </w:tr>
          </w:tbl>
          <w:p>
            <w:pPr>
              <w:pStyle w:val="2"/>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730" w:hRule="atLeast"/>
          <w:jc w:val="center"/>
        </w:trPr>
        <w:tc>
          <w:tcPr>
            <w:tcW w:w="642" w:type="dxa"/>
            <w:tcMar>
              <w:left w:w="28" w:type="dxa"/>
              <w:right w:w="28" w:type="dxa"/>
            </w:tcMar>
            <w:vAlign w:val="center"/>
          </w:tcPr>
          <w:p>
            <w:pPr>
              <w:adjustRightInd w:val="0"/>
              <w:snapToGrid w:val="0"/>
              <w:jc w:val="center"/>
              <w:rPr>
                <w:rFonts w:ascii="Times New Roman" w:hAnsi="Times New Roman"/>
                <w:kern w:val="0"/>
                <w:szCs w:val="21"/>
              </w:rPr>
            </w:pPr>
            <w:r>
              <w:rPr>
                <w:rFonts w:ascii="Times New Roman" w:hAnsi="Times New Roman"/>
                <w:kern w:val="0"/>
                <w:szCs w:val="21"/>
              </w:rPr>
              <w:t>总量</w:t>
            </w:r>
          </w:p>
          <w:p>
            <w:pPr>
              <w:adjustRightInd w:val="0"/>
              <w:snapToGrid w:val="0"/>
              <w:jc w:val="center"/>
              <w:rPr>
                <w:rFonts w:ascii="Times New Roman" w:hAnsi="Times New Roman"/>
                <w:kern w:val="0"/>
                <w:szCs w:val="21"/>
              </w:rPr>
            </w:pPr>
            <w:r>
              <w:rPr>
                <w:rFonts w:ascii="Times New Roman" w:hAnsi="Times New Roman"/>
                <w:kern w:val="0"/>
                <w:szCs w:val="21"/>
              </w:rPr>
              <w:t>控制</w:t>
            </w:r>
          </w:p>
          <w:p>
            <w:pPr>
              <w:adjustRightInd w:val="0"/>
              <w:snapToGrid w:val="0"/>
              <w:jc w:val="center"/>
              <w:rPr>
                <w:rFonts w:ascii="Times New Roman" w:hAnsi="Times New Roman"/>
                <w:kern w:val="0"/>
                <w:szCs w:val="21"/>
              </w:rPr>
            </w:pPr>
            <w:r>
              <w:rPr>
                <w:rFonts w:ascii="Times New Roman" w:hAnsi="Times New Roman"/>
                <w:kern w:val="0"/>
                <w:szCs w:val="21"/>
              </w:rPr>
              <w:t>指标</w:t>
            </w:r>
          </w:p>
          <w:p>
            <w:pPr>
              <w:adjustRightInd w:val="0"/>
              <w:snapToGrid w:val="0"/>
              <w:jc w:val="center"/>
              <w:rPr>
                <w:rFonts w:ascii="Times New Roman" w:hAnsi="Times New Roman"/>
                <w:kern w:val="0"/>
                <w:szCs w:val="21"/>
              </w:rPr>
            </w:pPr>
          </w:p>
        </w:tc>
        <w:tc>
          <w:tcPr>
            <w:tcW w:w="8348" w:type="dxa"/>
          </w:tcPr>
          <w:p>
            <w:pPr>
              <w:spacing w:line="440" w:lineRule="exact"/>
              <w:ind w:firstLine="480" w:firstLineChars="200"/>
              <w:rPr>
                <w:rFonts w:ascii="Times New Roman" w:hAnsi="Times New Roman"/>
                <w:kern w:val="0"/>
                <w:szCs w:val="25"/>
              </w:rPr>
            </w:pPr>
            <w:r>
              <w:rPr>
                <w:rFonts w:hint="eastAsia" w:ascii="Times New Roman" w:hAnsi="Times New Roman"/>
                <w:kern w:val="0"/>
                <w:szCs w:val="25"/>
              </w:rPr>
              <w:t>（1）水污染物排放总量控制指标</w:t>
            </w:r>
          </w:p>
          <w:p>
            <w:pPr>
              <w:spacing w:line="440" w:lineRule="exact"/>
              <w:ind w:firstLine="480" w:firstLineChars="200"/>
              <w:rPr>
                <w:rFonts w:ascii="Times New Roman" w:hAnsi="Times New Roman"/>
                <w:kern w:val="0"/>
                <w:szCs w:val="25"/>
              </w:rPr>
            </w:pPr>
            <w:r>
              <w:rPr>
                <w:rFonts w:hint="eastAsia" w:ascii="Times New Roman" w:hAnsi="Times New Roman"/>
                <w:kern w:val="0"/>
                <w:szCs w:val="25"/>
              </w:rPr>
              <w:t>项目生产污水处理后完全回用，不外排；生活污水经地埋式污水处理设施处理后用于周边山林地灌溉。根据《福建省环保厅关于进一步明确排污权工作有关问题的通知》（闽环保财[2017]22号），生活污水</w:t>
            </w:r>
            <w:r>
              <w:rPr>
                <w:rFonts w:hint="eastAsia"/>
              </w:rPr>
              <w:t>排放不纳入建设项目主要污染物排放总量指标管理范围，无需进行排污权交易</w:t>
            </w:r>
            <w:r>
              <w:rPr>
                <w:rFonts w:hint="eastAsia" w:ascii="Times New Roman" w:hAnsi="Times New Roman"/>
                <w:kern w:val="0"/>
                <w:szCs w:val="25"/>
              </w:rPr>
              <w:t>。因此项目不涉及废水总量控制指标。</w:t>
            </w:r>
          </w:p>
          <w:p>
            <w:pPr>
              <w:spacing w:line="440" w:lineRule="exact"/>
              <w:ind w:firstLine="480" w:firstLineChars="200"/>
              <w:rPr>
                <w:rFonts w:ascii="Times New Roman" w:hAnsi="Times New Roman"/>
                <w:kern w:val="0"/>
                <w:szCs w:val="25"/>
              </w:rPr>
            </w:pPr>
            <w:r>
              <w:rPr>
                <w:rFonts w:hint="eastAsia" w:ascii="Times New Roman" w:hAnsi="Times New Roman"/>
                <w:kern w:val="0"/>
                <w:szCs w:val="25"/>
              </w:rPr>
              <w:t>（2）大气污染物污染物排放总量控制指标</w:t>
            </w:r>
          </w:p>
          <w:p>
            <w:pPr>
              <w:spacing w:line="440" w:lineRule="exact"/>
              <w:ind w:firstLine="480" w:firstLineChars="200"/>
              <w:rPr>
                <w:rFonts w:ascii="Times New Roman" w:hAnsi="Times New Roman"/>
                <w:b/>
                <w:bCs/>
              </w:rPr>
            </w:pPr>
            <w:r>
              <w:rPr>
                <w:rFonts w:hint="eastAsia" w:ascii="Times New Roman" w:hAnsi="Times New Roman"/>
                <w:kern w:val="0"/>
                <w:szCs w:val="25"/>
              </w:rPr>
              <w:t>本项目大气污染物为颗粒物，</w:t>
            </w:r>
            <w:r>
              <w:rPr>
                <w:rFonts w:hint="eastAsia"/>
                <w:snapToGrid w:val="0"/>
              </w:rPr>
              <w:t>不涉</w:t>
            </w:r>
            <w:r>
              <w:rPr>
                <w:rFonts w:hint="default" w:ascii="Times New Roman" w:hAnsi="Times New Roman" w:cs="Times New Roman"/>
                <w:snapToGrid w:val="0"/>
              </w:rPr>
              <w:t>及SO</w:t>
            </w:r>
            <w:r>
              <w:rPr>
                <w:rFonts w:hint="default" w:ascii="Times New Roman" w:hAnsi="Times New Roman" w:cs="Times New Roman"/>
                <w:snapToGrid w:val="0"/>
                <w:vertAlign w:val="subscript"/>
              </w:rPr>
              <w:t>2</w:t>
            </w:r>
            <w:r>
              <w:rPr>
                <w:rFonts w:hint="default" w:ascii="Times New Roman" w:hAnsi="Times New Roman" w:cs="Times New Roman"/>
                <w:snapToGrid w:val="0"/>
              </w:rPr>
              <w:t>和NO</w:t>
            </w:r>
            <w:r>
              <w:rPr>
                <w:rFonts w:hint="default" w:ascii="Times New Roman" w:hAnsi="Times New Roman" w:cs="Times New Roman"/>
                <w:snapToGrid w:val="0"/>
                <w:vertAlign w:val="subscript"/>
              </w:rPr>
              <w:t>x</w:t>
            </w:r>
            <w:r>
              <w:rPr>
                <w:rFonts w:hint="eastAsia"/>
                <w:snapToGrid w:val="0"/>
              </w:rPr>
              <w:t>等总量控制因子。</w:t>
            </w:r>
          </w:p>
        </w:tc>
      </w:tr>
    </w:tbl>
    <w:p>
      <w:pPr>
        <w:pStyle w:val="23"/>
        <w:outlineLvl w:val="0"/>
        <w:rPr>
          <w:rFonts w:ascii="Times New Roman" w:hAnsi="Times New Roman" w:eastAsia="黑体"/>
          <w:snapToGrid w:val="0"/>
          <w:sz w:val="30"/>
          <w:szCs w:val="30"/>
        </w:rPr>
        <w:sectPr>
          <w:pgSz w:w="11906" w:h="16838"/>
          <w:pgMar w:top="1701" w:right="1531" w:bottom="1701" w:left="1531" w:header="851" w:footer="851" w:gutter="0"/>
          <w:cols w:space="720" w:num="1"/>
          <w:docGrid w:linePitch="312" w:charSpace="0"/>
        </w:sectPr>
      </w:pPr>
    </w:p>
    <w:p>
      <w:pPr>
        <w:pStyle w:val="23"/>
        <w:outlineLvl w:val="0"/>
        <w:rPr>
          <w:rFonts w:ascii="Times New Roman" w:hAnsi="Times New Roman" w:eastAsia="黑体"/>
          <w:snapToGrid w:val="0"/>
          <w:sz w:val="30"/>
          <w:szCs w:val="30"/>
        </w:rPr>
      </w:pPr>
      <w:r>
        <w:rPr>
          <w:rFonts w:ascii="Times New Roman" w:hAnsi="Times New Roman" w:eastAsia="黑体"/>
          <w:snapToGrid w:val="0"/>
          <w:sz w:val="30"/>
          <w:szCs w:val="30"/>
        </w:rPr>
        <w:t>四、主要环境影响和保护措施</w:t>
      </w:r>
    </w:p>
    <w:tbl>
      <w:tblPr>
        <w:tblStyle w:val="25"/>
        <w:tblW w:w="924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298"/>
        <w:gridCol w:w="895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298" w:type="dxa"/>
            <w:tcMar>
              <w:left w:w="28" w:type="dxa"/>
              <w:right w:w="28" w:type="dxa"/>
            </w:tcMar>
            <w:vAlign w:val="center"/>
          </w:tcPr>
          <w:p>
            <w:pPr>
              <w:adjustRightInd w:val="0"/>
              <w:snapToGrid w:val="0"/>
              <w:jc w:val="center"/>
              <w:rPr>
                <w:rFonts w:ascii="Times New Roman" w:hAnsi="Times New Roman"/>
                <w:bCs/>
                <w:szCs w:val="21"/>
              </w:rPr>
            </w:pPr>
            <w:r>
              <w:rPr>
                <w:rFonts w:ascii="Times New Roman" w:hAnsi="Times New Roman"/>
                <w:bCs/>
                <w:szCs w:val="21"/>
              </w:rPr>
              <w:t>施工</w:t>
            </w:r>
          </w:p>
          <w:p>
            <w:pPr>
              <w:adjustRightInd w:val="0"/>
              <w:snapToGrid w:val="0"/>
              <w:jc w:val="center"/>
              <w:rPr>
                <w:rFonts w:ascii="Times New Roman" w:hAnsi="Times New Roman"/>
                <w:bCs/>
                <w:szCs w:val="21"/>
              </w:rPr>
            </w:pPr>
            <w:r>
              <w:rPr>
                <w:rFonts w:ascii="Times New Roman" w:hAnsi="Times New Roman"/>
                <w:bCs/>
                <w:szCs w:val="21"/>
              </w:rPr>
              <w:t>期环</w:t>
            </w:r>
          </w:p>
          <w:p>
            <w:pPr>
              <w:adjustRightInd w:val="0"/>
              <w:snapToGrid w:val="0"/>
              <w:jc w:val="center"/>
              <w:rPr>
                <w:rFonts w:ascii="Times New Roman" w:hAnsi="Times New Roman"/>
                <w:bCs/>
                <w:szCs w:val="21"/>
              </w:rPr>
            </w:pPr>
            <w:r>
              <w:rPr>
                <w:rFonts w:ascii="Times New Roman" w:hAnsi="Times New Roman"/>
                <w:bCs/>
                <w:szCs w:val="21"/>
              </w:rPr>
              <w:t>境保</w:t>
            </w:r>
          </w:p>
          <w:p>
            <w:pPr>
              <w:adjustRightInd w:val="0"/>
              <w:snapToGrid w:val="0"/>
              <w:jc w:val="center"/>
              <w:rPr>
                <w:rFonts w:ascii="Times New Roman" w:hAnsi="Times New Roman"/>
                <w:bCs/>
                <w:szCs w:val="21"/>
              </w:rPr>
            </w:pPr>
            <w:r>
              <w:rPr>
                <w:rFonts w:ascii="Times New Roman" w:hAnsi="Times New Roman"/>
                <w:bCs/>
                <w:szCs w:val="21"/>
              </w:rPr>
              <w:t>护措</w:t>
            </w:r>
          </w:p>
          <w:p>
            <w:pPr>
              <w:adjustRightInd w:val="0"/>
              <w:snapToGrid w:val="0"/>
              <w:jc w:val="center"/>
              <w:rPr>
                <w:rFonts w:ascii="Times New Roman" w:hAnsi="Times New Roman"/>
                <w:bCs/>
                <w:szCs w:val="21"/>
              </w:rPr>
            </w:pPr>
            <w:r>
              <w:rPr>
                <w:rFonts w:ascii="Times New Roman" w:hAnsi="Times New Roman"/>
                <w:bCs/>
                <w:szCs w:val="21"/>
              </w:rPr>
              <w:t>施</w:t>
            </w:r>
          </w:p>
        </w:tc>
        <w:tc>
          <w:tcPr>
            <w:tcW w:w="8950" w:type="dxa"/>
            <w:vAlign w:val="center"/>
          </w:tcPr>
          <w:p>
            <w:pPr>
              <w:pStyle w:val="6"/>
              <w:ind w:left="311"/>
              <w:rPr>
                <w:color w:val="auto"/>
              </w:rPr>
            </w:pPr>
            <w:r>
              <w:rPr>
                <w:color w:val="auto"/>
              </w:rPr>
              <w:t>4.1施工期环境</w:t>
            </w:r>
            <w:r>
              <w:rPr>
                <w:rFonts w:hint="eastAsia"/>
                <w:color w:val="auto"/>
              </w:rPr>
              <w:t>影响及</w:t>
            </w:r>
            <w:r>
              <w:rPr>
                <w:color w:val="auto"/>
              </w:rPr>
              <w:t>保护措施</w:t>
            </w:r>
          </w:p>
          <w:p>
            <w:pPr>
              <w:adjustRightInd w:val="0"/>
              <w:snapToGrid w:val="0"/>
              <w:spacing w:line="440" w:lineRule="exact"/>
              <w:ind w:firstLine="480" w:firstLineChars="200"/>
              <w:rPr>
                <w:rFonts w:ascii="Times New Roman" w:hAnsi="Times New Roman"/>
              </w:rPr>
            </w:pPr>
            <w:r>
              <w:rPr>
                <w:rFonts w:hint="eastAsia" w:ascii="Times New Roman" w:hAnsi="Times New Roman"/>
              </w:rPr>
              <w:t>项目租用岩盛公司原低品位矿堆场及破碎车间作为生产厂房，租用厂房设置了顶棚搭盖，采取了地面硬化，施工期建设内容主要为设备安装及隔油池、沉淀池、初期雨水沉淀池等建构筑物建设，施工周期短，对周边环境影响很小，本次评价根据项目特点进行简单分析。</w:t>
            </w:r>
          </w:p>
          <w:p>
            <w:pPr>
              <w:pStyle w:val="8"/>
              <w:numPr>
                <w:ilvl w:val="0"/>
                <w:numId w:val="0"/>
              </w:numPr>
              <w:spacing w:line="400" w:lineRule="exact"/>
            </w:pPr>
            <w:r>
              <w:rPr>
                <w:rFonts w:ascii="Times New Roman" w:hAnsi="Times New Roman"/>
              </w:rPr>
              <w:t>4.</w:t>
            </w:r>
            <w:r>
              <w:rPr>
                <w:rFonts w:hint="eastAsia" w:ascii="Times New Roman" w:hAnsi="Times New Roman"/>
              </w:rPr>
              <w:t>1</w:t>
            </w:r>
            <w:r>
              <w:rPr>
                <w:rFonts w:ascii="Times New Roman" w:hAnsi="Times New Roman"/>
              </w:rPr>
              <w:t>.1</w:t>
            </w:r>
            <w:r>
              <w:rPr>
                <w:rFonts w:hint="eastAsia" w:ascii="Times New Roman" w:hAnsi="Times New Roman"/>
              </w:rPr>
              <w:t>废水</w:t>
            </w:r>
          </w:p>
          <w:p>
            <w:pPr>
              <w:adjustRightInd w:val="0"/>
              <w:snapToGrid w:val="0"/>
              <w:spacing w:line="440" w:lineRule="exact"/>
              <w:ind w:firstLine="480" w:firstLineChars="200"/>
              <w:rPr>
                <w:rFonts w:ascii="Times New Roman" w:hAnsi="Times New Roman"/>
              </w:rPr>
            </w:pPr>
            <w:r>
              <w:rPr>
                <w:rFonts w:hint="eastAsia" w:ascii="Times New Roman" w:hAnsi="Times New Roman"/>
              </w:rPr>
              <w:t>施工期间会产生少量车辆、设备冲洗废水及设施养护废水等建筑施工废水；施工期抑尘洒水由土壤吸收和蒸发；施工人员</w:t>
            </w:r>
            <w:r>
              <w:rPr>
                <w:rFonts w:ascii="Times New Roman" w:hAnsi="Times New Roman"/>
              </w:rPr>
              <w:t>均不住施工现场，无生活污水产生</w:t>
            </w:r>
            <w:r>
              <w:rPr>
                <w:rFonts w:hint="eastAsia" w:ascii="Times New Roman" w:hAnsi="Times New Roman"/>
              </w:rPr>
              <w:t>。</w:t>
            </w:r>
          </w:p>
          <w:p>
            <w:pPr>
              <w:adjustRightInd w:val="0"/>
              <w:snapToGrid w:val="0"/>
              <w:spacing w:line="440" w:lineRule="exact"/>
              <w:ind w:firstLine="480" w:firstLineChars="200"/>
              <w:rPr>
                <w:rFonts w:ascii="Times New Roman" w:hAnsi="Times New Roman"/>
              </w:rPr>
            </w:pPr>
            <w:r>
              <w:rPr>
                <w:rFonts w:hint="eastAsia" w:ascii="宋体" w:hAnsi="宋体" w:cs="宋体"/>
              </w:rPr>
              <w:t>施工期冲洗废水、养护</w:t>
            </w:r>
            <w:r>
              <w:rPr>
                <w:rFonts w:ascii="宋体" w:hAnsi="宋体" w:cs="宋体"/>
              </w:rPr>
              <w:t>废水产生量较少，经简易沉淀处理后可全部回用，不外排</w:t>
            </w:r>
            <w:r>
              <w:rPr>
                <w:rFonts w:hint="eastAsia" w:ascii="宋体" w:hAnsi="宋体" w:cs="宋体"/>
              </w:rPr>
              <w:t>。</w:t>
            </w:r>
            <w:r>
              <w:rPr>
                <w:rFonts w:hint="eastAsia" w:ascii="Times New Roman" w:hAnsi="Times New Roman"/>
              </w:rPr>
              <w:t>综上，项目施工期无生产废水外排，对周围水环境影响小。</w:t>
            </w:r>
          </w:p>
          <w:p>
            <w:pPr>
              <w:pStyle w:val="8"/>
              <w:numPr>
                <w:ilvl w:val="0"/>
                <w:numId w:val="0"/>
              </w:numPr>
              <w:spacing w:line="400" w:lineRule="exact"/>
              <w:rPr>
                <w:rFonts w:ascii="Times New Roman" w:hAnsi="Times New Roman"/>
              </w:rPr>
            </w:pPr>
            <w:r>
              <w:rPr>
                <w:rFonts w:ascii="Times New Roman" w:hAnsi="Times New Roman"/>
              </w:rPr>
              <w:t>4.</w:t>
            </w:r>
            <w:r>
              <w:rPr>
                <w:rFonts w:hint="eastAsia" w:ascii="Times New Roman" w:hAnsi="Times New Roman"/>
              </w:rPr>
              <w:t>1</w:t>
            </w:r>
            <w:r>
              <w:rPr>
                <w:rFonts w:ascii="Times New Roman" w:hAnsi="Times New Roman"/>
              </w:rPr>
              <w:t>.</w:t>
            </w:r>
            <w:r>
              <w:rPr>
                <w:rFonts w:hint="eastAsia" w:ascii="Times New Roman" w:hAnsi="Times New Roman"/>
              </w:rPr>
              <w:t>2废气</w:t>
            </w:r>
          </w:p>
          <w:p>
            <w:pPr>
              <w:adjustRightInd w:val="0"/>
              <w:snapToGrid w:val="0"/>
              <w:spacing w:line="440" w:lineRule="exact"/>
              <w:ind w:firstLine="480" w:firstLineChars="200"/>
              <w:rPr>
                <w:rFonts w:ascii="Times New Roman" w:hAnsi="Times New Roman"/>
              </w:rPr>
            </w:pPr>
            <w:r>
              <w:rPr>
                <w:rFonts w:hint="eastAsia" w:ascii="Times New Roman" w:hAnsi="Times New Roman"/>
              </w:rPr>
              <w:t>本项目施工期对环境空气的影响主要为池体开挖、材料运输产生的扬尘污染和施工机械尾气污染。为减少施工扬尘对周边单位的影响，本评价要求施工单位在施工过程中应采取以下污染控制措施。</w:t>
            </w:r>
          </w:p>
          <w:p>
            <w:pPr>
              <w:adjustRightInd w:val="0"/>
              <w:snapToGrid w:val="0"/>
              <w:spacing w:line="440" w:lineRule="exact"/>
              <w:ind w:firstLine="480" w:firstLineChars="200"/>
              <w:rPr>
                <w:rFonts w:ascii="Times New Roman" w:hAnsi="Times New Roman"/>
              </w:rPr>
            </w:pPr>
            <w:r>
              <w:rPr>
                <w:rFonts w:hint="eastAsia" w:ascii="Times New Roman" w:hAnsi="Times New Roman"/>
              </w:rPr>
              <w:t>（1）扬尘污染</w:t>
            </w:r>
          </w:p>
          <w:p>
            <w:pPr>
              <w:adjustRightInd w:val="0"/>
              <w:snapToGrid w:val="0"/>
              <w:spacing w:line="440" w:lineRule="exact"/>
              <w:ind w:firstLine="480" w:firstLineChars="200"/>
              <w:rPr>
                <w:rFonts w:ascii="Times New Roman" w:hAnsi="Times New Roman"/>
              </w:rPr>
            </w:pPr>
            <w:r>
              <w:rPr>
                <w:rFonts w:ascii="Times New Roman" w:hAnsi="Times New Roman"/>
              </w:rPr>
              <w:t>①针对施工任务和施工场地环境状况，制定合理的施工计划，缩短施工周期，减少施工现场的工作面，减轻施工扬尘对环境的影响。</w:t>
            </w:r>
          </w:p>
          <w:p>
            <w:pPr>
              <w:adjustRightInd w:val="0"/>
              <w:snapToGrid w:val="0"/>
              <w:spacing w:line="440" w:lineRule="exact"/>
              <w:ind w:firstLine="480" w:firstLineChars="200"/>
              <w:rPr>
                <w:rFonts w:ascii="Times New Roman" w:hAnsi="Times New Roman"/>
              </w:rPr>
            </w:pPr>
            <w:r>
              <w:rPr>
                <w:rFonts w:ascii="Times New Roman" w:hAnsi="Times New Roman"/>
              </w:rPr>
              <w:t>②施工期必须打围作业、必须设置冲洗设施、必须湿法作业、必须配齐保洁人员、必须定时清扫施工现场，不准车辆带泥出门、不准运渣车辆冒顶装载、不准高空抛撒建渣、不准现场搅拌混凝土、不准场地积水、不准现场焚烧废弃物；加强车辆保养和维护，减少超载，减少停车怠速时间；施工现场应沿四周连续设置封闭围挡，围挡设置应安全可靠。围挡上落尘应定期清洗，围档底部应密封，不得有泥浆外漏。围挡顶端应设置喷雾降尘装置，喷雾喷头水平间隔不大于5m，喷射水雾方向应向工地内部倾斜。工程结朿前，不得拆除施工现场围挡。做好围挡维护工作，出现破损及时更换。</w:t>
            </w:r>
          </w:p>
          <w:p>
            <w:pPr>
              <w:adjustRightInd w:val="0"/>
              <w:snapToGrid w:val="0"/>
              <w:spacing w:line="440" w:lineRule="exact"/>
              <w:ind w:firstLine="480" w:firstLineChars="200"/>
              <w:rPr>
                <w:rFonts w:ascii="Times New Roman" w:hAnsi="Times New Roman"/>
              </w:rPr>
            </w:pPr>
            <w:r>
              <w:rPr>
                <w:rFonts w:hint="eastAsia" w:ascii="Times New Roman" w:hAnsi="Times New Roman"/>
              </w:rPr>
              <w:t>（2）施工机械尾气</w:t>
            </w:r>
          </w:p>
          <w:p>
            <w:pPr>
              <w:adjustRightInd w:val="0"/>
              <w:snapToGrid w:val="0"/>
              <w:spacing w:line="440" w:lineRule="exact"/>
              <w:ind w:firstLine="480" w:firstLineChars="200"/>
              <w:rPr>
                <w:rFonts w:ascii="Times New Roman" w:hAnsi="Times New Roman"/>
              </w:rPr>
            </w:pPr>
            <w:r>
              <w:rPr>
                <w:rFonts w:ascii="Times New Roman" w:hAnsi="Times New Roman"/>
              </w:rPr>
              <w:t>由于本工程建设需要动用少量机械设备，会产生较少的燃油废气，此外车辆运输也会产生一部分的汽车尾气，其主要污染物为 CH、CO、NO</w:t>
            </w:r>
            <w:r>
              <w:rPr>
                <w:rFonts w:ascii="Times New Roman" w:hAnsi="Times New Roman"/>
                <w:vertAlign w:val="subscript"/>
              </w:rPr>
              <w:t>2</w:t>
            </w:r>
            <w:r>
              <w:rPr>
                <w:rFonts w:ascii="Times New Roman" w:hAnsi="Times New Roman"/>
              </w:rPr>
              <w:t>。但是由于施工期较短，施工过程中采用先进的施工机械，做好设备的维修和养护工作，燃油机械选用低硫优质柴油作燃料，减少大气污染物的排放，并尽量将其工作场所移至当地常年主导风下风向和场地开阔的地方，产生的废气经自然扩散后能达标排放，故对当地大气环境影响很小。</w:t>
            </w:r>
          </w:p>
          <w:p>
            <w:pPr>
              <w:adjustRightInd w:val="0"/>
              <w:snapToGrid w:val="0"/>
              <w:spacing w:line="440" w:lineRule="exact"/>
              <w:ind w:firstLine="480" w:firstLineChars="200"/>
              <w:rPr>
                <w:rFonts w:ascii="Times New Roman" w:hAnsi="Times New Roman"/>
              </w:rPr>
            </w:pPr>
            <w:r>
              <w:rPr>
                <w:rFonts w:ascii="Times New Roman" w:hAnsi="Times New Roman"/>
              </w:rPr>
              <w:t>严格按照</w:t>
            </w:r>
            <w:r>
              <w:rPr>
                <w:rFonts w:hint="eastAsia" w:ascii="Times New Roman" w:hAnsi="Times New Roman"/>
              </w:rPr>
              <w:t>以上废气</w:t>
            </w:r>
            <w:r>
              <w:rPr>
                <w:rFonts w:ascii="Times New Roman" w:hAnsi="Times New Roman"/>
              </w:rPr>
              <w:t>控制措施，则项目施工期产生的</w:t>
            </w:r>
            <w:r>
              <w:rPr>
                <w:rFonts w:hint="eastAsia" w:ascii="Times New Roman" w:hAnsi="Times New Roman"/>
              </w:rPr>
              <w:t>废气</w:t>
            </w:r>
            <w:r>
              <w:rPr>
                <w:rFonts w:ascii="Times New Roman" w:hAnsi="Times New Roman"/>
              </w:rPr>
              <w:t>对环境空气质量影响较小。</w:t>
            </w:r>
          </w:p>
          <w:p>
            <w:pPr>
              <w:pStyle w:val="8"/>
              <w:numPr>
                <w:ilvl w:val="0"/>
                <w:numId w:val="0"/>
              </w:numPr>
              <w:spacing w:line="400" w:lineRule="exact"/>
              <w:rPr>
                <w:rFonts w:ascii="Times New Roman" w:hAnsi="Times New Roman"/>
              </w:rPr>
            </w:pPr>
            <w:r>
              <w:rPr>
                <w:rFonts w:ascii="Times New Roman" w:hAnsi="Times New Roman"/>
              </w:rPr>
              <w:t>4.</w:t>
            </w:r>
            <w:r>
              <w:rPr>
                <w:rFonts w:hint="eastAsia" w:ascii="Times New Roman" w:hAnsi="Times New Roman"/>
              </w:rPr>
              <w:t>1</w:t>
            </w:r>
            <w:r>
              <w:rPr>
                <w:rFonts w:ascii="Times New Roman" w:hAnsi="Times New Roman"/>
              </w:rPr>
              <w:t>.</w:t>
            </w:r>
            <w:r>
              <w:rPr>
                <w:rFonts w:hint="eastAsia" w:ascii="Times New Roman" w:hAnsi="Times New Roman"/>
              </w:rPr>
              <w:t>3噪声</w:t>
            </w:r>
          </w:p>
          <w:p>
            <w:pPr>
              <w:adjustRightInd w:val="0"/>
              <w:snapToGrid w:val="0"/>
              <w:spacing w:line="440" w:lineRule="exact"/>
              <w:ind w:firstLine="480" w:firstLineChars="200"/>
              <w:rPr>
                <w:rFonts w:ascii="Times New Roman" w:hAnsi="Times New Roman"/>
              </w:rPr>
            </w:pPr>
            <w:r>
              <w:rPr>
                <w:rFonts w:hint="eastAsia" w:ascii="Times New Roman" w:hAnsi="Times New Roman"/>
              </w:rPr>
              <w:t>为避免项目施工期对周边环境造成影响，建设单位应监督施工单位合理安排好施工时间及施工工序，尽量缩短施工周期；合理安排运输路线及时间，尽量绕开声环境敏感点，途经敏感点时控制车速，减少鸣笛等；设备选型尽量采用低噪声设备、做好施工场所设备维护管理，合理进行施工平面布置，同时在午休时间减少施工，最大限度减轻施工活动对群众生活带来的不利影响。</w:t>
            </w:r>
          </w:p>
          <w:p>
            <w:pPr>
              <w:adjustRightInd w:val="0"/>
              <w:snapToGrid w:val="0"/>
              <w:spacing w:line="440" w:lineRule="exact"/>
              <w:ind w:firstLine="480" w:firstLineChars="200"/>
              <w:rPr>
                <w:rFonts w:ascii="Times New Roman" w:hAnsi="Times New Roman"/>
              </w:rPr>
            </w:pPr>
            <w:r>
              <w:rPr>
                <w:rFonts w:hint="eastAsia" w:ascii="Times New Roman" w:hAnsi="Times New Roman"/>
              </w:rPr>
              <w:t>通过以上噪声控制措施，施工期对环境影响较小。</w:t>
            </w:r>
          </w:p>
          <w:p>
            <w:pPr>
              <w:pStyle w:val="8"/>
              <w:numPr>
                <w:ilvl w:val="0"/>
                <w:numId w:val="0"/>
              </w:numPr>
              <w:spacing w:line="400" w:lineRule="exact"/>
              <w:rPr>
                <w:rFonts w:ascii="Times New Roman" w:hAnsi="Times New Roman"/>
              </w:rPr>
            </w:pPr>
            <w:r>
              <w:rPr>
                <w:rFonts w:ascii="Times New Roman" w:hAnsi="Times New Roman"/>
              </w:rPr>
              <w:t>4.</w:t>
            </w:r>
            <w:r>
              <w:rPr>
                <w:rFonts w:hint="eastAsia" w:ascii="Times New Roman" w:hAnsi="Times New Roman"/>
              </w:rPr>
              <w:t>1</w:t>
            </w:r>
            <w:r>
              <w:rPr>
                <w:rFonts w:ascii="Times New Roman" w:hAnsi="Times New Roman"/>
              </w:rPr>
              <w:t>.</w:t>
            </w:r>
            <w:r>
              <w:rPr>
                <w:rFonts w:hint="eastAsia" w:ascii="Times New Roman" w:hAnsi="Times New Roman"/>
              </w:rPr>
              <w:t>4固体废物</w:t>
            </w:r>
          </w:p>
          <w:p>
            <w:pPr>
              <w:adjustRightInd w:val="0"/>
              <w:snapToGrid w:val="0"/>
              <w:spacing w:line="440" w:lineRule="exact"/>
              <w:ind w:firstLine="480" w:firstLineChars="200"/>
              <w:rPr>
                <w:rFonts w:ascii="Times New Roman" w:hAnsi="Times New Roman"/>
              </w:rPr>
            </w:pPr>
            <w:r>
              <w:rPr>
                <w:rFonts w:hint="eastAsia" w:ascii="Times New Roman" w:hAnsi="Times New Roman"/>
              </w:rPr>
              <w:t>施工期产生的固体废物主要为生活垃圾、施工弃土、建筑垃圾等。生活垃圾：施工期间生活垃圾收集后由环卫部门清运，对环境影响较小。施工弃土及时回填和利用，严禁长时间放置，临时放置时应采用苫布进行遮盖，防止造成水土流失。建筑垃圾：建筑垃圾尽量回收利用，不能利用的交由建筑垃圾清运公司及时清运至政府部门指定的建筑垃圾堆放场所，不得随意处理。</w:t>
            </w:r>
          </w:p>
          <w:p>
            <w:pPr>
              <w:adjustRightInd w:val="0"/>
              <w:snapToGrid w:val="0"/>
              <w:spacing w:line="440" w:lineRule="exact"/>
              <w:ind w:firstLine="480" w:firstLineChars="200"/>
              <w:rPr>
                <w:rFonts w:ascii="宋体" w:hAnsi="宋体" w:cs="宋体"/>
              </w:rPr>
            </w:pPr>
            <w:r>
              <w:rPr>
                <w:rFonts w:hint="eastAsia" w:ascii="Times New Roman" w:hAnsi="Times New Roman"/>
              </w:rPr>
              <w:t>通过以上固体废物控制措施。使固体废物能得以妥善处置，不会对环境造成污染影响。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778" w:hRule="atLeast"/>
          <w:jc w:val="center"/>
        </w:trPr>
        <w:tc>
          <w:tcPr>
            <w:tcW w:w="298" w:type="dxa"/>
            <w:tcMar>
              <w:left w:w="28" w:type="dxa"/>
              <w:right w:w="28" w:type="dxa"/>
            </w:tcMar>
            <w:vAlign w:val="center"/>
          </w:tcPr>
          <w:p>
            <w:pPr>
              <w:adjustRightInd w:val="0"/>
              <w:snapToGrid w:val="0"/>
              <w:jc w:val="center"/>
              <w:rPr>
                <w:rFonts w:ascii="Times New Roman" w:hAnsi="Times New Roman"/>
                <w:bCs/>
                <w:szCs w:val="21"/>
              </w:rPr>
            </w:pPr>
            <w:r>
              <w:rPr>
                <w:rFonts w:hint="eastAsia" w:ascii="Times New Roman" w:hAnsi="Times New Roman"/>
                <w:bCs/>
                <w:szCs w:val="21"/>
              </w:rPr>
              <w:t>运营</w:t>
            </w:r>
          </w:p>
          <w:p>
            <w:pPr>
              <w:adjustRightInd w:val="0"/>
              <w:snapToGrid w:val="0"/>
              <w:jc w:val="center"/>
              <w:rPr>
                <w:rFonts w:ascii="Times New Roman" w:hAnsi="Times New Roman"/>
                <w:bCs/>
                <w:szCs w:val="21"/>
              </w:rPr>
            </w:pPr>
            <w:r>
              <w:rPr>
                <w:rFonts w:ascii="Times New Roman" w:hAnsi="Times New Roman"/>
                <w:bCs/>
                <w:szCs w:val="21"/>
              </w:rPr>
              <w:t>期环</w:t>
            </w:r>
          </w:p>
          <w:p>
            <w:pPr>
              <w:adjustRightInd w:val="0"/>
              <w:snapToGrid w:val="0"/>
              <w:jc w:val="center"/>
              <w:rPr>
                <w:rFonts w:ascii="Times New Roman" w:hAnsi="Times New Roman"/>
                <w:bCs/>
                <w:szCs w:val="21"/>
              </w:rPr>
            </w:pPr>
            <w:r>
              <w:rPr>
                <w:rFonts w:ascii="Times New Roman" w:hAnsi="Times New Roman"/>
                <w:bCs/>
                <w:szCs w:val="21"/>
              </w:rPr>
              <w:t>境保</w:t>
            </w:r>
          </w:p>
          <w:p>
            <w:pPr>
              <w:adjustRightInd w:val="0"/>
              <w:snapToGrid w:val="0"/>
              <w:jc w:val="center"/>
              <w:rPr>
                <w:rFonts w:ascii="Times New Roman" w:hAnsi="Times New Roman"/>
                <w:bCs/>
                <w:szCs w:val="21"/>
              </w:rPr>
            </w:pPr>
            <w:r>
              <w:rPr>
                <w:rFonts w:ascii="Times New Roman" w:hAnsi="Times New Roman"/>
                <w:bCs/>
                <w:szCs w:val="21"/>
              </w:rPr>
              <w:t>护措</w:t>
            </w:r>
          </w:p>
          <w:p>
            <w:pPr>
              <w:adjustRightInd w:val="0"/>
              <w:snapToGrid w:val="0"/>
              <w:jc w:val="center"/>
              <w:rPr>
                <w:rFonts w:ascii="Times New Roman" w:hAnsi="Times New Roman"/>
                <w:bCs/>
                <w:sz w:val="21"/>
                <w:szCs w:val="21"/>
              </w:rPr>
            </w:pPr>
            <w:r>
              <w:rPr>
                <w:rFonts w:ascii="Times New Roman" w:hAnsi="Times New Roman"/>
                <w:bCs/>
                <w:szCs w:val="21"/>
              </w:rPr>
              <w:t>施</w:t>
            </w:r>
          </w:p>
        </w:tc>
        <w:tc>
          <w:tcPr>
            <w:tcW w:w="8950" w:type="dxa"/>
            <w:vAlign w:val="center"/>
          </w:tcPr>
          <w:p>
            <w:pPr>
              <w:pStyle w:val="6"/>
              <w:ind w:left="311"/>
              <w:rPr>
                <w:color w:val="auto"/>
              </w:rPr>
            </w:pPr>
            <w:bookmarkStart w:id="12" w:name="_Toc83203087"/>
            <w:r>
              <w:rPr>
                <w:color w:val="auto"/>
              </w:rPr>
              <w:t>4.2运营期环境影响和保护措施</w:t>
            </w:r>
            <w:bookmarkEnd w:id="12"/>
          </w:p>
          <w:p>
            <w:pPr>
              <w:pStyle w:val="8"/>
              <w:numPr>
                <w:ilvl w:val="0"/>
                <w:numId w:val="0"/>
              </w:numPr>
              <w:spacing w:line="400" w:lineRule="exact"/>
            </w:pPr>
            <w:r>
              <w:rPr>
                <w:rFonts w:ascii="Times New Roman" w:hAnsi="Times New Roman"/>
              </w:rPr>
              <w:t>4.2.1</w:t>
            </w:r>
            <w:r>
              <w:rPr>
                <w:rFonts w:hint="eastAsia" w:ascii="Times New Roman" w:hAnsi="Times New Roman"/>
              </w:rPr>
              <w:t>核算方法</w:t>
            </w:r>
          </w:p>
          <w:p>
            <w:pPr>
              <w:snapToGrid w:val="0"/>
              <w:spacing w:line="440" w:lineRule="exact"/>
              <w:ind w:firstLine="480" w:firstLineChars="200"/>
              <w:rPr>
                <w:rFonts w:ascii="Times New Roman" w:hAnsi="Times New Roman" w:eastAsiaTheme="minorEastAsia"/>
                <w:bCs/>
              </w:rPr>
            </w:pPr>
            <w:r>
              <w:rPr>
                <w:rFonts w:ascii="Times New Roman" w:hAnsi="Times New Roman" w:eastAsiaTheme="minorEastAsia"/>
                <w:bCs/>
              </w:rPr>
              <w:t>本项目</w:t>
            </w:r>
            <w:r>
              <w:rPr>
                <w:rFonts w:hint="eastAsia" w:ascii="Times New Roman" w:hAnsi="Times New Roman" w:eastAsiaTheme="minorEastAsia"/>
                <w:bCs/>
              </w:rPr>
              <w:t>主要从事</w:t>
            </w:r>
            <w:r>
              <w:rPr>
                <w:rFonts w:hint="eastAsia" w:ascii="Times New Roman" w:hAnsi="Times New Roman"/>
                <w:bCs/>
              </w:rPr>
              <w:t>铸铁渣、铸造砂、转炉渣及钢渣等固体废物的回收利用</w:t>
            </w:r>
            <w:r>
              <w:rPr>
                <w:rFonts w:ascii="Times New Roman" w:hAnsi="Times New Roman" w:eastAsiaTheme="minorEastAsia"/>
                <w:bCs/>
              </w:rPr>
              <w:t>，目前尚未发布相关污染源强核算技术指南，根据《污染源源强核算技术指南 准则》，本项目污染源强核算方法汇总如下表。</w:t>
            </w:r>
          </w:p>
          <w:p>
            <w:pPr>
              <w:pStyle w:val="34"/>
              <w:spacing w:before="120" w:line="440" w:lineRule="exact"/>
              <w:ind w:firstLine="422"/>
              <w:rPr>
                <w:rFonts w:ascii="Times New Roman" w:hAnsi="Times New Roman"/>
                <w:b/>
                <w:bCs/>
                <w:sz w:val="21"/>
                <w:szCs w:val="21"/>
              </w:rPr>
            </w:pPr>
            <w:r>
              <w:rPr>
                <w:rFonts w:ascii="Times New Roman" w:hAnsi="Times New Roman"/>
                <w:b/>
                <w:bCs/>
                <w:sz w:val="21"/>
                <w:szCs w:val="21"/>
              </w:rPr>
              <w:t>表4.2-1  本项目污染源强核算方法汇总</w:t>
            </w:r>
          </w:p>
          <w:tbl>
            <w:tblPr>
              <w:tblStyle w:val="25"/>
              <w:tblW w:w="8731"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781"/>
              <w:gridCol w:w="980"/>
              <w:gridCol w:w="1921"/>
              <w:gridCol w:w="3237"/>
              <w:gridCol w:w="1812"/>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81" w:type="dxa"/>
                  <w:vAlign w:val="center"/>
                </w:tcPr>
                <w:p>
                  <w:pPr>
                    <w:pStyle w:val="72"/>
                    <w:jc w:val="center"/>
                    <w:rPr>
                      <w:sz w:val="21"/>
                      <w:szCs w:val="21"/>
                    </w:rPr>
                  </w:pPr>
                  <w:r>
                    <w:rPr>
                      <w:sz w:val="21"/>
                      <w:szCs w:val="21"/>
                    </w:rPr>
                    <w:t>序号</w:t>
                  </w:r>
                </w:p>
              </w:tc>
              <w:tc>
                <w:tcPr>
                  <w:tcW w:w="980" w:type="dxa"/>
                  <w:vAlign w:val="center"/>
                </w:tcPr>
                <w:p>
                  <w:pPr>
                    <w:pStyle w:val="72"/>
                    <w:jc w:val="center"/>
                    <w:rPr>
                      <w:sz w:val="21"/>
                      <w:szCs w:val="21"/>
                    </w:rPr>
                  </w:pPr>
                  <w:r>
                    <w:rPr>
                      <w:sz w:val="21"/>
                      <w:szCs w:val="21"/>
                    </w:rPr>
                    <w:t>要素</w:t>
                  </w:r>
                </w:p>
              </w:tc>
              <w:tc>
                <w:tcPr>
                  <w:tcW w:w="1921" w:type="dxa"/>
                  <w:vAlign w:val="center"/>
                </w:tcPr>
                <w:p>
                  <w:pPr>
                    <w:pStyle w:val="72"/>
                    <w:jc w:val="center"/>
                    <w:rPr>
                      <w:sz w:val="21"/>
                      <w:szCs w:val="21"/>
                    </w:rPr>
                  </w:pPr>
                  <w:r>
                    <w:rPr>
                      <w:sz w:val="21"/>
                      <w:szCs w:val="21"/>
                    </w:rPr>
                    <w:t>污染源</w:t>
                  </w:r>
                </w:p>
              </w:tc>
              <w:tc>
                <w:tcPr>
                  <w:tcW w:w="3237" w:type="dxa"/>
                  <w:vAlign w:val="center"/>
                </w:tcPr>
                <w:p>
                  <w:pPr>
                    <w:pStyle w:val="72"/>
                    <w:jc w:val="center"/>
                    <w:rPr>
                      <w:sz w:val="21"/>
                      <w:szCs w:val="21"/>
                    </w:rPr>
                  </w:pPr>
                  <w:r>
                    <w:rPr>
                      <w:sz w:val="21"/>
                      <w:szCs w:val="21"/>
                    </w:rPr>
                    <w:t>核算物或核算因子</w:t>
                  </w:r>
                </w:p>
              </w:tc>
              <w:tc>
                <w:tcPr>
                  <w:tcW w:w="1812" w:type="dxa"/>
                  <w:vAlign w:val="center"/>
                </w:tcPr>
                <w:p>
                  <w:pPr>
                    <w:pStyle w:val="72"/>
                    <w:jc w:val="center"/>
                    <w:rPr>
                      <w:sz w:val="21"/>
                      <w:szCs w:val="21"/>
                    </w:rPr>
                  </w:pPr>
                  <w:r>
                    <w:rPr>
                      <w:sz w:val="21"/>
                      <w:szCs w:val="21"/>
                    </w:rPr>
                    <w:t>核算方法</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81" w:type="dxa"/>
                  <w:vMerge w:val="restart"/>
                  <w:vAlign w:val="center"/>
                </w:tcPr>
                <w:p>
                  <w:pPr>
                    <w:pStyle w:val="72"/>
                    <w:jc w:val="center"/>
                    <w:rPr>
                      <w:sz w:val="21"/>
                      <w:szCs w:val="21"/>
                    </w:rPr>
                  </w:pPr>
                  <w:r>
                    <w:rPr>
                      <w:sz w:val="21"/>
                      <w:szCs w:val="21"/>
                    </w:rPr>
                    <w:t>1</w:t>
                  </w:r>
                </w:p>
              </w:tc>
              <w:tc>
                <w:tcPr>
                  <w:tcW w:w="980" w:type="dxa"/>
                  <w:vMerge w:val="restart"/>
                  <w:vAlign w:val="center"/>
                </w:tcPr>
                <w:p>
                  <w:pPr>
                    <w:pStyle w:val="72"/>
                    <w:jc w:val="center"/>
                    <w:rPr>
                      <w:sz w:val="21"/>
                      <w:szCs w:val="21"/>
                    </w:rPr>
                  </w:pPr>
                  <w:r>
                    <w:rPr>
                      <w:sz w:val="21"/>
                      <w:szCs w:val="21"/>
                    </w:rPr>
                    <w:t>废气</w:t>
                  </w:r>
                </w:p>
              </w:tc>
              <w:tc>
                <w:tcPr>
                  <w:tcW w:w="1921" w:type="dxa"/>
                  <w:vAlign w:val="center"/>
                </w:tcPr>
                <w:p>
                  <w:pPr>
                    <w:pStyle w:val="72"/>
                    <w:jc w:val="center"/>
                    <w:rPr>
                      <w:sz w:val="21"/>
                      <w:szCs w:val="21"/>
                    </w:rPr>
                  </w:pPr>
                  <w:r>
                    <w:rPr>
                      <w:sz w:val="21"/>
                      <w:szCs w:val="21"/>
                    </w:rPr>
                    <w:t>堆放、装卸粉尘</w:t>
                  </w:r>
                </w:p>
              </w:tc>
              <w:tc>
                <w:tcPr>
                  <w:tcW w:w="3237" w:type="dxa"/>
                  <w:vAlign w:val="center"/>
                </w:tcPr>
                <w:p>
                  <w:pPr>
                    <w:pStyle w:val="72"/>
                    <w:jc w:val="center"/>
                    <w:rPr>
                      <w:sz w:val="21"/>
                      <w:szCs w:val="21"/>
                    </w:rPr>
                  </w:pPr>
                  <w:r>
                    <w:rPr>
                      <w:sz w:val="21"/>
                      <w:szCs w:val="21"/>
                    </w:rPr>
                    <w:t>颗粒物</w:t>
                  </w:r>
                </w:p>
              </w:tc>
              <w:tc>
                <w:tcPr>
                  <w:tcW w:w="1812" w:type="dxa"/>
                  <w:vAlign w:val="center"/>
                </w:tcPr>
                <w:p>
                  <w:pPr>
                    <w:pStyle w:val="72"/>
                    <w:jc w:val="center"/>
                    <w:rPr>
                      <w:sz w:val="21"/>
                      <w:szCs w:val="21"/>
                    </w:rPr>
                  </w:pPr>
                  <w:r>
                    <w:rPr>
                      <w:sz w:val="21"/>
                      <w:szCs w:val="21"/>
                    </w:rPr>
                    <w:t>产污系数法</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81" w:type="dxa"/>
                  <w:vMerge w:val="continue"/>
                  <w:vAlign w:val="center"/>
                </w:tcPr>
                <w:p>
                  <w:pPr>
                    <w:pStyle w:val="72"/>
                    <w:jc w:val="center"/>
                    <w:rPr>
                      <w:sz w:val="21"/>
                      <w:szCs w:val="21"/>
                    </w:rPr>
                  </w:pPr>
                </w:p>
              </w:tc>
              <w:tc>
                <w:tcPr>
                  <w:tcW w:w="980" w:type="dxa"/>
                  <w:vMerge w:val="continue"/>
                  <w:vAlign w:val="center"/>
                </w:tcPr>
                <w:p>
                  <w:pPr>
                    <w:pStyle w:val="72"/>
                    <w:jc w:val="center"/>
                    <w:rPr>
                      <w:sz w:val="21"/>
                      <w:szCs w:val="21"/>
                    </w:rPr>
                  </w:pPr>
                </w:p>
              </w:tc>
              <w:tc>
                <w:tcPr>
                  <w:tcW w:w="1921" w:type="dxa"/>
                  <w:vAlign w:val="center"/>
                </w:tcPr>
                <w:p>
                  <w:pPr>
                    <w:pStyle w:val="72"/>
                    <w:jc w:val="center"/>
                    <w:rPr>
                      <w:sz w:val="21"/>
                      <w:szCs w:val="21"/>
                    </w:rPr>
                  </w:pPr>
                  <w:r>
                    <w:rPr>
                      <w:rFonts w:hint="eastAsia"/>
                      <w:sz w:val="21"/>
                      <w:szCs w:val="21"/>
                    </w:rPr>
                    <w:t>破碎、筛分粉尘</w:t>
                  </w:r>
                </w:p>
              </w:tc>
              <w:tc>
                <w:tcPr>
                  <w:tcW w:w="3237" w:type="dxa"/>
                  <w:vAlign w:val="center"/>
                </w:tcPr>
                <w:p>
                  <w:pPr>
                    <w:pStyle w:val="72"/>
                    <w:jc w:val="center"/>
                    <w:rPr>
                      <w:sz w:val="21"/>
                      <w:szCs w:val="21"/>
                    </w:rPr>
                  </w:pPr>
                  <w:r>
                    <w:rPr>
                      <w:rFonts w:hint="eastAsia"/>
                      <w:sz w:val="21"/>
                      <w:szCs w:val="21"/>
                    </w:rPr>
                    <w:t>颗粒物</w:t>
                  </w:r>
                </w:p>
              </w:tc>
              <w:tc>
                <w:tcPr>
                  <w:tcW w:w="1812" w:type="dxa"/>
                  <w:vAlign w:val="center"/>
                </w:tcPr>
                <w:p>
                  <w:pPr>
                    <w:pStyle w:val="72"/>
                    <w:jc w:val="center"/>
                    <w:rPr>
                      <w:sz w:val="21"/>
                      <w:szCs w:val="21"/>
                    </w:rPr>
                  </w:pPr>
                  <w:r>
                    <w:rPr>
                      <w:sz w:val="21"/>
                      <w:szCs w:val="21"/>
                    </w:rPr>
                    <w:t>产污系数法</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81" w:type="dxa"/>
                  <w:vMerge w:val="continue"/>
                  <w:vAlign w:val="center"/>
                </w:tcPr>
                <w:p>
                  <w:pPr>
                    <w:pStyle w:val="72"/>
                    <w:jc w:val="center"/>
                    <w:rPr>
                      <w:sz w:val="21"/>
                      <w:szCs w:val="21"/>
                    </w:rPr>
                  </w:pPr>
                </w:p>
              </w:tc>
              <w:tc>
                <w:tcPr>
                  <w:tcW w:w="980" w:type="dxa"/>
                  <w:vMerge w:val="continue"/>
                  <w:vAlign w:val="center"/>
                </w:tcPr>
                <w:p>
                  <w:pPr>
                    <w:pStyle w:val="72"/>
                    <w:jc w:val="center"/>
                    <w:rPr>
                      <w:sz w:val="21"/>
                      <w:szCs w:val="21"/>
                    </w:rPr>
                  </w:pPr>
                </w:p>
              </w:tc>
              <w:tc>
                <w:tcPr>
                  <w:tcW w:w="1921" w:type="dxa"/>
                  <w:vAlign w:val="center"/>
                </w:tcPr>
                <w:p>
                  <w:pPr>
                    <w:pStyle w:val="72"/>
                    <w:jc w:val="center"/>
                    <w:rPr>
                      <w:sz w:val="21"/>
                      <w:szCs w:val="21"/>
                    </w:rPr>
                  </w:pPr>
                  <w:r>
                    <w:rPr>
                      <w:rFonts w:hint="eastAsia"/>
                      <w:sz w:val="21"/>
                      <w:szCs w:val="21"/>
                    </w:rPr>
                    <w:t>车辆运输行驶扬尘</w:t>
                  </w:r>
                </w:p>
              </w:tc>
              <w:tc>
                <w:tcPr>
                  <w:tcW w:w="3237" w:type="dxa"/>
                  <w:vAlign w:val="center"/>
                </w:tcPr>
                <w:p>
                  <w:pPr>
                    <w:pStyle w:val="72"/>
                    <w:jc w:val="center"/>
                    <w:rPr>
                      <w:sz w:val="21"/>
                      <w:szCs w:val="21"/>
                    </w:rPr>
                  </w:pPr>
                  <w:r>
                    <w:rPr>
                      <w:rFonts w:hint="eastAsia"/>
                      <w:sz w:val="21"/>
                      <w:szCs w:val="21"/>
                    </w:rPr>
                    <w:t>颗粒物</w:t>
                  </w:r>
                </w:p>
              </w:tc>
              <w:tc>
                <w:tcPr>
                  <w:tcW w:w="1812" w:type="dxa"/>
                  <w:vAlign w:val="center"/>
                </w:tcPr>
                <w:p>
                  <w:pPr>
                    <w:pStyle w:val="72"/>
                    <w:jc w:val="center"/>
                    <w:rPr>
                      <w:sz w:val="21"/>
                      <w:szCs w:val="21"/>
                    </w:rPr>
                  </w:pPr>
                  <w:r>
                    <w:rPr>
                      <w:sz w:val="21"/>
                      <w:szCs w:val="21"/>
                    </w:rPr>
                    <w:t>产污系数法</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81" w:type="dxa"/>
                  <w:vAlign w:val="center"/>
                </w:tcPr>
                <w:p>
                  <w:pPr>
                    <w:pStyle w:val="72"/>
                    <w:jc w:val="center"/>
                    <w:rPr>
                      <w:sz w:val="21"/>
                      <w:szCs w:val="21"/>
                    </w:rPr>
                  </w:pPr>
                  <w:r>
                    <w:rPr>
                      <w:sz w:val="21"/>
                      <w:szCs w:val="21"/>
                    </w:rPr>
                    <w:t>2</w:t>
                  </w:r>
                </w:p>
              </w:tc>
              <w:tc>
                <w:tcPr>
                  <w:tcW w:w="980" w:type="dxa"/>
                  <w:vAlign w:val="center"/>
                </w:tcPr>
                <w:p>
                  <w:pPr>
                    <w:pStyle w:val="72"/>
                    <w:jc w:val="center"/>
                    <w:rPr>
                      <w:sz w:val="21"/>
                      <w:szCs w:val="21"/>
                    </w:rPr>
                  </w:pPr>
                  <w:r>
                    <w:rPr>
                      <w:sz w:val="21"/>
                      <w:szCs w:val="21"/>
                    </w:rPr>
                    <w:t>废水</w:t>
                  </w:r>
                </w:p>
              </w:tc>
              <w:tc>
                <w:tcPr>
                  <w:tcW w:w="1921" w:type="dxa"/>
                  <w:vAlign w:val="center"/>
                </w:tcPr>
                <w:p>
                  <w:pPr>
                    <w:pStyle w:val="72"/>
                    <w:jc w:val="center"/>
                    <w:rPr>
                      <w:sz w:val="21"/>
                      <w:szCs w:val="21"/>
                    </w:rPr>
                  </w:pPr>
                  <w:r>
                    <w:rPr>
                      <w:sz w:val="21"/>
                      <w:szCs w:val="21"/>
                    </w:rPr>
                    <w:t>生产废水</w:t>
                  </w:r>
                </w:p>
              </w:tc>
              <w:tc>
                <w:tcPr>
                  <w:tcW w:w="3237" w:type="dxa"/>
                  <w:vAlign w:val="center"/>
                </w:tcPr>
                <w:p>
                  <w:pPr>
                    <w:pStyle w:val="72"/>
                    <w:jc w:val="center"/>
                    <w:rPr>
                      <w:sz w:val="21"/>
                      <w:szCs w:val="21"/>
                    </w:rPr>
                  </w:pPr>
                  <w:r>
                    <w:rPr>
                      <w:sz w:val="21"/>
                      <w:szCs w:val="21"/>
                    </w:rPr>
                    <w:t>废水量</w:t>
                  </w:r>
                </w:p>
              </w:tc>
              <w:tc>
                <w:tcPr>
                  <w:tcW w:w="1812" w:type="dxa"/>
                  <w:vAlign w:val="center"/>
                </w:tcPr>
                <w:p>
                  <w:pPr>
                    <w:pStyle w:val="72"/>
                    <w:jc w:val="center"/>
                    <w:rPr>
                      <w:sz w:val="21"/>
                      <w:szCs w:val="21"/>
                    </w:rPr>
                  </w:pPr>
                  <w:r>
                    <w:rPr>
                      <w:sz w:val="21"/>
                      <w:szCs w:val="21"/>
                    </w:rPr>
                    <w:t>物料衡算法</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81" w:type="dxa"/>
                  <w:vAlign w:val="center"/>
                </w:tcPr>
                <w:p>
                  <w:pPr>
                    <w:pStyle w:val="72"/>
                    <w:jc w:val="center"/>
                    <w:rPr>
                      <w:sz w:val="21"/>
                      <w:szCs w:val="21"/>
                    </w:rPr>
                  </w:pPr>
                  <w:r>
                    <w:rPr>
                      <w:sz w:val="21"/>
                      <w:szCs w:val="21"/>
                    </w:rPr>
                    <w:t>3</w:t>
                  </w:r>
                </w:p>
              </w:tc>
              <w:tc>
                <w:tcPr>
                  <w:tcW w:w="980" w:type="dxa"/>
                  <w:vAlign w:val="center"/>
                </w:tcPr>
                <w:p>
                  <w:pPr>
                    <w:pStyle w:val="72"/>
                    <w:jc w:val="center"/>
                    <w:rPr>
                      <w:sz w:val="21"/>
                      <w:szCs w:val="21"/>
                    </w:rPr>
                  </w:pPr>
                  <w:r>
                    <w:rPr>
                      <w:sz w:val="21"/>
                      <w:szCs w:val="21"/>
                    </w:rPr>
                    <w:t>噪声</w:t>
                  </w:r>
                </w:p>
              </w:tc>
              <w:tc>
                <w:tcPr>
                  <w:tcW w:w="1921" w:type="dxa"/>
                  <w:vAlign w:val="center"/>
                </w:tcPr>
                <w:p>
                  <w:pPr>
                    <w:pStyle w:val="72"/>
                    <w:jc w:val="center"/>
                    <w:rPr>
                      <w:sz w:val="21"/>
                      <w:szCs w:val="21"/>
                    </w:rPr>
                  </w:pPr>
                  <w:r>
                    <w:rPr>
                      <w:sz w:val="21"/>
                      <w:szCs w:val="21"/>
                    </w:rPr>
                    <w:t>主要高噪声设备</w:t>
                  </w:r>
                </w:p>
              </w:tc>
              <w:tc>
                <w:tcPr>
                  <w:tcW w:w="3237" w:type="dxa"/>
                  <w:vAlign w:val="center"/>
                </w:tcPr>
                <w:p>
                  <w:pPr>
                    <w:pStyle w:val="72"/>
                    <w:jc w:val="center"/>
                    <w:rPr>
                      <w:sz w:val="21"/>
                      <w:szCs w:val="21"/>
                    </w:rPr>
                  </w:pPr>
                  <w:r>
                    <w:rPr>
                      <w:sz w:val="21"/>
                      <w:szCs w:val="21"/>
                    </w:rPr>
                    <w:t>设备噪声声压级</w:t>
                  </w:r>
                </w:p>
              </w:tc>
              <w:tc>
                <w:tcPr>
                  <w:tcW w:w="1812" w:type="dxa"/>
                  <w:vAlign w:val="center"/>
                </w:tcPr>
                <w:p>
                  <w:pPr>
                    <w:pStyle w:val="72"/>
                    <w:jc w:val="center"/>
                    <w:rPr>
                      <w:sz w:val="21"/>
                      <w:szCs w:val="21"/>
                    </w:rPr>
                  </w:pPr>
                  <w:r>
                    <w:rPr>
                      <w:rFonts w:hint="eastAsia"/>
                      <w:sz w:val="21"/>
                      <w:szCs w:val="21"/>
                    </w:rPr>
                    <w:t>类比法</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81" w:type="dxa"/>
                  <w:vAlign w:val="center"/>
                </w:tcPr>
                <w:p>
                  <w:pPr>
                    <w:pStyle w:val="72"/>
                    <w:jc w:val="center"/>
                    <w:rPr>
                      <w:sz w:val="21"/>
                      <w:szCs w:val="21"/>
                    </w:rPr>
                  </w:pPr>
                  <w:r>
                    <w:rPr>
                      <w:sz w:val="21"/>
                      <w:szCs w:val="21"/>
                    </w:rPr>
                    <w:t>4</w:t>
                  </w:r>
                </w:p>
              </w:tc>
              <w:tc>
                <w:tcPr>
                  <w:tcW w:w="980" w:type="dxa"/>
                  <w:vAlign w:val="center"/>
                </w:tcPr>
                <w:p>
                  <w:pPr>
                    <w:pStyle w:val="72"/>
                    <w:jc w:val="center"/>
                    <w:rPr>
                      <w:sz w:val="21"/>
                      <w:szCs w:val="21"/>
                    </w:rPr>
                  </w:pPr>
                  <w:r>
                    <w:rPr>
                      <w:sz w:val="21"/>
                      <w:szCs w:val="21"/>
                    </w:rPr>
                    <w:t>固废</w:t>
                  </w:r>
                </w:p>
              </w:tc>
              <w:tc>
                <w:tcPr>
                  <w:tcW w:w="1921" w:type="dxa"/>
                  <w:vAlign w:val="center"/>
                </w:tcPr>
                <w:p>
                  <w:pPr>
                    <w:pStyle w:val="72"/>
                    <w:jc w:val="center"/>
                    <w:rPr>
                      <w:sz w:val="21"/>
                      <w:szCs w:val="21"/>
                    </w:rPr>
                  </w:pPr>
                  <w:r>
                    <w:rPr>
                      <w:sz w:val="21"/>
                      <w:szCs w:val="21"/>
                    </w:rPr>
                    <w:t>一般工业固废</w:t>
                  </w:r>
                </w:p>
              </w:tc>
              <w:tc>
                <w:tcPr>
                  <w:tcW w:w="3237" w:type="dxa"/>
                  <w:vAlign w:val="center"/>
                </w:tcPr>
                <w:p>
                  <w:pPr>
                    <w:pStyle w:val="72"/>
                    <w:jc w:val="center"/>
                    <w:rPr>
                      <w:sz w:val="21"/>
                      <w:szCs w:val="21"/>
                    </w:rPr>
                  </w:pPr>
                  <w:r>
                    <w:rPr>
                      <w:rFonts w:hint="eastAsia"/>
                      <w:sz w:val="21"/>
                      <w:szCs w:val="21"/>
                    </w:rPr>
                    <w:t>尾渣、废滤布、污泥等</w:t>
                  </w:r>
                </w:p>
              </w:tc>
              <w:tc>
                <w:tcPr>
                  <w:tcW w:w="1812" w:type="dxa"/>
                  <w:vAlign w:val="center"/>
                </w:tcPr>
                <w:p>
                  <w:pPr>
                    <w:pStyle w:val="72"/>
                    <w:jc w:val="center"/>
                    <w:rPr>
                      <w:sz w:val="21"/>
                      <w:szCs w:val="21"/>
                    </w:rPr>
                  </w:pPr>
                  <w:r>
                    <w:rPr>
                      <w:sz w:val="21"/>
                      <w:szCs w:val="21"/>
                    </w:rPr>
                    <w:t>物料衡算法</w:t>
                  </w:r>
                </w:p>
              </w:tc>
            </w:tr>
          </w:tbl>
          <w:p>
            <w:pPr>
              <w:pStyle w:val="8"/>
              <w:numPr>
                <w:ilvl w:val="0"/>
                <w:numId w:val="0"/>
              </w:numPr>
              <w:spacing w:line="400" w:lineRule="exact"/>
              <w:rPr>
                <w:rFonts w:ascii="Times New Roman" w:hAnsi="Times New Roman"/>
              </w:rPr>
            </w:pPr>
            <w:r>
              <w:rPr>
                <w:rFonts w:ascii="Times New Roman" w:hAnsi="Times New Roman"/>
              </w:rPr>
              <w:t>4.2.</w:t>
            </w:r>
            <w:r>
              <w:rPr>
                <w:rFonts w:hint="eastAsia" w:ascii="Times New Roman" w:hAnsi="Times New Roman"/>
              </w:rPr>
              <w:t>2</w:t>
            </w:r>
            <w:r>
              <w:rPr>
                <w:rFonts w:ascii="Times New Roman" w:hAnsi="Times New Roman"/>
              </w:rPr>
              <w:t>废气</w:t>
            </w:r>
          </w:p>
          <w:p>
            <w:pPr>
              <w:adjustRightInd w:val="0"/>
              <w:snapToGrid w:val="0"/>
              <w:spacing w:line="440" w:lineRule="exact"/>
              <w:ind w:firstLine="481" w:firstLineChars="200"/>
              <w:rPr>
                <w:rFonts w:ascii="Times New Roman" w:hAnsi="Times New Roman" w:eastAsia="黑体"/>
                <w:b/>
                <w:bCs/>
              </w:rPr>
            </w:pPr>
            <w:r>
              <w:rPr>
                <w:rFonts w:ascii="Times New Roman" w:hAnsi="Times New Roman" w:eastAsia="黑体"/>
                <w:b/>
                <w:bCs/>
              </w:rPr>
              <w:t>4.2.</w:t>
            </w:r>
            <w:r>
              <w:rPr>
                <w:rFonts w:hint="eastAsia" w:ascii="Times New Roman" w:hAnsi="Times New Roman" w:eastAsia="黑体"/>
                <w:b/>
                <w:bCs/>
              </w:rPr>
              <w:t>2</w:t>
            </w:r>
            <w:r>
              <w:rPr>
                <w:rFonts w:ascii="Times New Roman" w:hAnsi="Times New Roman" w:eastAsia="黑体"/>
                <w:b/>
                <w:bCs/>
              </w:rPr>
              <w:t>.1污染源强核算</w:t>
            </w:r>
          </w:p>
          <w:p>
            <w:pPr>
              <w:adjustRightInd w:val="0"/>
              <w:snapToGrid w:val="0"/>
              <w:spacing w:line="440" w:lineRule="exact"/>
              <w:ind w:firstLine="480" w:firstLineChars="200"/>
              <w:rPr>
                <w:rFonts w:ascii="Times New Roman" w:hAnsi="Times New Roman"/>
              </w:rPr>
            </w:pPr>
            <w:r>
              <w:rPr>
                <w:rFonts w:ascii="Times New Roman" w:hAnsi="Times New Roman"/>
              </w:rPr>
              <w:t>本项目生产废气主要为</w:t>
            </w:r>
            <w:r>
              <w:rPr>
                <w:rFonts w:hint="eastAsia" w:ascii="Times New Roman" w:hAnsi="Times New Roman"/>
              </w:rPr>
              <w:t>堆场扬尘、破碎、筛分过程中</w:t>
            </w:r>
            <w:r>
              <w:rPr>
                <w:rFonts w:ascii="Times New Roman" w:hAnsi="Times New Roman"/>
              </w:rPr>
              <w:t>产生的粉尘</w:t>
            </w:r>
            <w:r>
              <w:rPr>
                <w:rFonts w:hint="eastAsia" w:ascii="Times New Roman" w:hAnsi="Times New Roman"/>
              </w:rPr>
              <w:t>及车辆运输行驶扬尘。</w:t>
            </w:r>
          </w:p>
          <w:p>
            <w:pPr>
              <w:adjustRightInd w:val="0"/>
              <w:snapToGrid w:val="0"/>
              <w:spacing w:line="440" w:lineRule="exact"/>
              <w:ind w:firstLine="480" w:firstLineChars="200"/>
              <w:rPr>
                <w:rFonts w:ascii="Times New Roman" w:hAnsi="Times New Roman"/>
              </w:rPr>
            </w:pPr>
            <w:r>
              <w:rPr>
                <w:rFonts w:ascii="Times New Roman" w:hAnsi="Times New Roman"/>
              </w:rPr>
              <w:t>（1）</w:t>
            </w:r>
            <w:r>
              <w:rPr>
                <w:rFonts w:hint="eastAsia" w:ascii="Times New Roman" w:hAnsi="Times New Roman"/>
              </w:rPr>
              <w:t>堆场扬尘</w:t>
            </w:r>
          </w:p>
          <w:p>
            <w:pPr>
              <w:adjustRightInd w:val="0"/>
              <w:snapToGrid w:val="0"/>
              <w:spacing w:line="440" w:lineRule="exact"/>
              <w:ind w:firstLine="480" w:firstLineChars="200"/>
              <w:rPr>
                <w:rFonts w:ascii="Times New Roman" w:hAnsi="Times New Roman"/>
              </w:rPr>
            </w:pPr>
            <w:r>
              <w:rPr>
                <w:rFonts w:hint="eastAsia" w:ascii="Times New Roman" w:hAnsi="Times New Roman"/>
              </w:rPr>
              <w:t>堆场扬尘主要包括原料、产品、尾渣装卸过程中产生的扬尘和堆放过程中产生的扬尘。扬尘排放量</w:t>
            </w:r>
            <w:r>
              <w:rPr>
                <w:rFonts w:ascii="Times New Roman" w:hAnsi="Times New Roman"/>
              </w:rPr>
              <w:t>采用</w:t>
            </w:r>
            <w:r>
              <w:rPr>
                <w:rFonts w:hint="eastAsia" w:ascii="Times New Roman" w:hAnsi="Times New Roman"/>
              </w:rPr>
              <w:t>《扬尘颗粒物排放清单编制技术指南（试行）》（公告2014年第92号）（以下简称“扬尘指南”）计算</w:t>
            </w:r>
            <w:r>
              <w:rPr>
                <w:rFonts w:ascii="Times New Roman" w:hAnsi="Times New Roman"/>
              </w:rPr>
              <w:t>：</w:t>
            </w:r>
          </w:p>
          <w:tbl>
            <w:tblPr>
              <w:tblStyle w:val="26"/>
              <w:tblW w:w="8644" w:type="dxa"/>
              <w:tblInd w:w="90" w:type="dxa"/>
              <w:tblBorders>
                <w:top w:val="none" w:color="auto" w:sz="0" w:space="0"/>
                <w:left w:val="none" w:color="auto" w:sz="0" w:space="0"/>
                <w:bottom w:val="none" w:color="auto" w:sz="0"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4545"/>
              <w:gridCol w:w="4099"/>
            </w:tblGrid>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645" w:hRule="atLeast"/>
              </w:trPr>
              <w:tc>
                <w:tcPr>
                  <w:tcW w:w="4545" w:type="dxa"/>
                  <w:tcBorders>
                    <w:tl2br w:val="nil"/>
                    <w:tr2bl w:val="nil"/>
                  </w:tcBorders>
                  <w:vAlign w:val="center"/>
                </w:tcPr>
                <w:p>
                  <w:pPr>
                    <w:adjustRightInd w:val="0"/>
                    <w:snapToGrid w:val="0"/>
                    <w:jc w:val="center"/>
                    <w:rPr>
                      <w:rFonts w:ascii="Times New Roman" w:hAnsi="Times New Roman"/>
                    </w:rPr>
                  </w:pPr>
                  <w:r>
                    <w:drawing>
                      <wp:inline distT="0" distB="0" distL="114300" distR="114300">
                        <wp:extent cx="2428875" cy="428625"/>
                        <wp:effectExtent l="0" t="0" r="0" b="8255"/>
                        <wp:docPr id="20"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8"/>
                                <pic:cNvPicPr>
                                  <a:picLocks noChangeAspect="1"/>
                                </pic:cNvPicPr>
                              </pic:nvPicPr>
                              <pic:blipFill>
                                <a:blip r:embed="rId15"/>
                                <a:stretch>
                                  <a:fillRect/>
                                </a:stretch>
                              </pic:blipFill>
                              <pic:spPr>
                                <a:xfrm>
                                  <a:off x="0" y="0"/>
                                  <a:ext cx="2428875" cy="428625"/>
                                </a:xfrm>
                                <a:prstGeom prst="rect">
                                  <a:avLst/>
                                </a:prstGeom>
                                <a:noFill/>
                                <a:ln>
                                  <a:noFill/>
                                </a:ln>
                              </pic:spPr>
                            </pic:pic>
                          </a:graphicData>
                        </a:graphic>
                      </wp:inline>
                    </w:drawing>
                  </w:r>
                </w:p>
              </w:tc>
              <w:tc>
                <w:tcPr>
                  <w:tcW w:w="4099" w:type="dxa"/>
                  <w:tcBorders>
                    <w:tl2br w:val="nil"/>
                    <w:tr2bl w:val="nil"/>
                  </w:tcBorders>
                  <w:vAlign w:val="center"/>
                </w:tcPr>
                <w:p>
                  <w:pPr>
                    <w:adjustRightInd w:val="0"/>
                    <w:snapToGrid w:val="0"/>
                    <w:jc w:val="center"/>
                    <w:rPr>
                      <w:rFonts w:ascii="Times New Roman" w:hAnsi="Times New Roman"/>
                    </w:rPr>
                  </w:pPr>
                  <w:r>
                    <w:rPr>
                      <w:rFonts w:hint="eastAsia" w:ascii="Times New Roman" w:hAnsi="Times New Roman"/>
                    </w:rPr>
                    <w:t>（1）</w:t>
                  </w:r>
                </w:p>
              </w:tc>
            </w:tr>
          </w:tbl>
          <w:p>
            <w:pPr>
              <w:adjustRightInd w:val="0"/>
              <w:snapToGrid w:val="0"/>
              <w:spacing w:line="440" w:lineRule="exact"/>
              <w:ind w:firstLine="480" w:firstLineChars="200"/>
              <w:rPr>
                <w:rFonts w:ascii="Times New Roman" w:hAnsi="Times New Roman"/>
              </w:rPr>
            </w:pPr>
            <w:r>
              <w:rPr>
                <w:rFonts w:hint="eastAsia" w:ascii="Times New Roman" w:hAnsi="Times New Roman"/>
              </w:rPr>
              <w:t>公式（1）中：</w:t>
            </w:r>
          </w:p>
          <w:p>
            <w:pPr>
              <w:adjustRightInd w:val="0"/>
              <w:snapToGrid w:val="0"/>
              <w:spacing w:line="440" w:lineRule="exact"/>
              <w:ind w:firstLine="480" w:firstLineChars="200"/>
              <w:rPr>
                <w:rFonts w:ascii="Times New Roman" w:hAnsi="Times New Roman"/>
              </w:rPr>
            </w:pPr>
            <w:r>
              <w:rPr>
                <w:rFonts w:hint="eastAsia" w:ascii="Times New Roman" w:hAnsi="Times New Roman"/>
              </w:rPr>
              <w:t>1）W</w:t>
            </w:r>
            <w:r>
              <w:rPr>
                <w:rFonts w:hint="eastAsia" w:ascii="Times New Roman" w:hAnsi="Times New Roman"/>
                <w:vertAlign w:val="subscript"/>
              </w:rPr>
              <w:t xml:space="preserve">Y </w:t>
            </w:r>
            <w:r>
              <w:rPr>
                <w:rFonts w:hint="eastAsia" w:ascii="Times New Roman" w:hAnsi="Times New Roman"/>
              </w:rPr>
              <w:t>为堆场扬尘源中颗粒物总排放量，t/a。</w:t>
            </w:r>
          </w:p>
          <w:p>
            <w:pPr>
              <w:adjustRightInd w:val="0"/>
              <w:snapToGrid w:val="0"/>
              <w:spacing w:line="440" w:lineRule="exact"/>
              <w:ind w:firstLine="480" w:firstLineChars="200"/>
              <w:rPr>
                <w:rFonts w:ascii="Times New Roman" w:hAnsi="Times New Roman"/>
              </w:rPr>
            </w:pPr>
            <w:r>
              <w:rPr>
                <w:rFonts w:hint="eastAsia" w:ascii="Times New Roman" w:hAnsi="Times New Roman"/>
              </w:rPr>
              <w:t>2）E</w:t>
            </w:r>
            <w:r>
              <w:rPr>
                <w:rFonts w:hint="eastAsia" w:ascii="Times New Roman" w:hAnsi="Times New Roman"/>
                <w:vertAlign w:val="subscript"/>
              </w:rPr>
              <w:t>h</w:t>
            </w:r>
            <w:r>
              <w:rPr>
                <w:rFonts w:hint="eastAsia" w:ascii="Times New Roman" w:hAnsi="Times New Roman"/>
              </w:rPr>
              <w:t>为堆场装卸运输过程的扬尘颗粒物排放系数，kg/t，估算公式见（2）。</w:t>
            </w:r>
          </w:p>
          <w:p>
            <w:pPr>
              <w:adjustRightInd w:val="0"/>
              <w:snapToGrid w:val="0"/>
              <w:spacing w:line="440" w:lineRule="exact"/>
              <w:ind w:firstLine="480" w:firstLineChars="200"/>
              <w:rPr>
                <w:rFonts w:ascii="Times New Roman" w:hAnsi="Times New Roman"/>
              </w:rPr>
            </w:pPr>
            <w:r>
              <w:rPr>
                <w:rFonts w:hint="eastAsia" w:ascii="Times New Roman" w:hAnsi="Times New Roman"/>
              </w:rPr>
              <w:t>3）m为每年料堆物料装卸总次数。</w:t>
            </w:r>
          </w:p>
          <w:p>
            <w:pPr>
              <w:adjustRightInd w:val="0"/>
              <w:snapToGrid w:val="0"/>
              <w:spacing w:line="440" w:lineRule="exact"/>
              <w:ind w:firstLine="480" w:firstLineChars="200"/>
              <w:rPr>
                <w:rFonts w:ascii="Times New Roman" w:hAnsi="Times New Roman"/>
              </w:rPr>
            </w:pPr>
            <w:r>
              <w:rPr>
                <w:rFonts w:hint="eastAsia" w:ascii="Times New Roman" w:hAnsi="Times New Roman"/>
              </w:rPr>
              <w:t>4）G</w:t>
            </w:r>
            <w:r>
              <w:rPr>
                <w:rFonts w:hint="eastAsia" w:ascii="Times New Roman" w:hAnsi="Times New Roman"/>
                <w:vertAlign w:val="subscript"/>
              </w:rPr>
              <w:t>Yi</w:t>
            </w:r>
            <w:r>
              <w:rPr>
                <w:rFonts w:hint="eastAsia" w:ascii="Times New Roman" w:hAnsi="Times New Roman"/>
              </w:rPr>
              <w:t>为第i次装卸过程的物料装卸量，t。</w:t>
            </w:r>
          </w:p>
          <w:p>
            <w:pPr>
              <w:adjustRightInd w:val="0"/>
              <w:snapToGrid w:val="0"/>
              <w:spacing w:line="440" w:lineRule="exact"/>
              <w:ind w:firstLine="480" w:firstLineChars="200"/>
              <w:rPr>
                <w:rFonts w:ascii="Times New Roman" w:hAnsi="Times New Roman"/>
              </w:rPr>
            </w:pPr>
            <w:r>
              <w:rPr>
                <w:rFonts w:hint="eastAsia" w:ascii="Times New Roman" w:hAnsi="Times New Roman"/>
              </w:rPr>
              <w:t>5）E</w:t>
            </w:r>
            <w:r>
              <w:rPr>
                <w:rFonts w:hint="eastAsia" w:ascii="Times New Roman" w:hAnsi="Times New Roman"/>
                <w:vertAlign w:val="subscript"/>
              </w:rPr>
              <w:t>w</w:t>
            </w:r>
            <w:r>
              <w:rPr>
                <w:rFonts w:hint="eastAsia" w:ascii="Times New Roman" w:hAnsi="Times New Roman"/>
              </w:rPr>
              <w:t>为料堆受到风蚀作用的颗粒物排放系数，kg/m</w:t>
            </w:r>
            <w:r>
              <w:rPr>
                <w:rFonts w:hint="eastAsia" w:ascii="Times New Roman" w:hAnsi="Times New Roman"/>
                <w:vertAlign w:val="superscript"/>
              </w:rPr>
              <w:t>2</w:t>
            </w:r>
            <w:r>
              <w:rPr>
                <w:rFonts w:hint="eastAsia" w:ascii="Times New Roman" w:hAnsi="Times New Roman"/>
              </w:rPr>
              <w:t>，估算公式见公式（3）。</w:t>
            </w:r>
          </w:p>
          <w:p>
            <w:pPr>
              <w:adjustRightInd w:val="0"/>
              <w:snapToGrid w:val="0"/>
              <w:spacing w:line="440" w:lineRule="exact"/>
              <w:ind w:firstLine="480" w:firstLineChars="200"/>
              <w:rPr>
                <w:rFonts w:ascii="Times New Roman" w:hAnsi="Times New Roman"/>
                <w:vertAlign w:val="superscript"/>
              </w:rPr>
            </w:pPr>
            <w:r>
              <w:rPr>
                <w:rFonts w:hint="eastAsia" w:ascii="Times New Roman" w:hAnsi="Times New Roman"/>
              </w:rPr>
              <w:t>6）Ay为料堆表面积，m</w:t>
            </w:r>
            <w:r>
              <w:rPr>
                <w:rFonts w:hint="eastAsia" w:ascii="Times New Roman" w:hAnsi="Times New Roman"/>
                <w:vertAlign w:val="superscript"/>
              </w:rPr>
              <w:t>2</w:t>
            </w:r>
          </w:p>
          <w:tbl>
            <w:tblPr>
              <w:tblStyle w:val="26"/>
              <w:tblW w:w="8729" w:type="dxa"/>
              <w:tblInd w:w="5" w:type="dxa"/>
              <w:tblBorders>
                <w:top w:val="none" w:color="auto" w:sz="0" w:space="0"/>
                <w:left w:val="none" w:color="auto" w:sz="0" w:space="0"/>
                <w:bottom w:val="none" w:color="auto" w:sz="0"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5421"/>
              <w:gridCol w:w="3308"/>
            </w:tblGrid>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645" w:hRule="atLeast"/>
              </w:trPr>
              <w:tc>
                <w:tcPr>
                  <w:tcW w:w="5421" w:type="dxa"/>
                  <w:tcBorders>
                    <w:tl2br w:val="nil"/>
                    <w:tr2bl w:val="nil"/>
                  </w:tcBorders>
                  <w:vAlign w:val="center"/>
                </w:tcPr>
                <w:p>
                  <w:pPr>
                    <w:adjustRightInd w:val="0"/>
                    <w:snapToGrid w:val="0"/>
                    <w:jc w:val="center"/>
                    <w:rPr>
                      <w:rFonts w:ascii="Times New Roman" w:hAnsi="Times New Roman"/>
                    </w:rPr>
                  </w:pPr>
                  <w:r>
                    <w:drawing>
                      <wp:inline distT="0" distB="0" distL="114300" distR="114300">
                        <wp:extent cx="2990850" cy="228600"/>
                        <wp:effectExtent l="0" t="0" r="0" b="0"/>
                        <wp:docPr id="6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10"/>
                                <pic:cNvPicPr>
                                  <a:picLocks noChangeAspect="1"/>
                                </pic:cNvPicPr>
                              </pic:nvPicPr>
                              <pic:blipFill>
                                <a:blip r:embed="rId16"/>
                                <a:stretch>
                                  <a:fillRect/>
                                </a:stretch>
                              </pic:blipFill>
                              <pic:spPr>
                                <a:xfrm>
                                  <a:off x="0" y="0"/>
                                  <a:ext cx="2990850" cy="228600"/>
                                </a:xfrm>
                                <a:prstGeom prst="rect">
                                  <a:avLst/>
                                </a:prstGeom>
                                <a:noFill/>
                                <a:ln>
                                  <a:noFill/>
                                </a:ln>
                              </pic:spPr>
                            </pic:pic>
                          </a:graphicData>
                        </a:graphic>
                      </wp:inline>
                    </w:drawing>
                  </w:r>
                </w:p>
              </w:tc>
              <w:tc>
                <w:tcPr>
                  <w:tcW w:w="3308" w:type="dxa"/>
                  <w:tcBorders>
                    <w:tl2br w:val="nil"/>
                    <w:tr2bl w:val="nil"/>
                  </w:tcBorders>
                  <w:vAlign w:val="center"/>
                </w:tcPr>
                <w:p>
                  <w:pPr>
                    <w:adjustRightInd w:val="0"/>
                    <w:snapToGrid w:val="0"/>
                    <w:ind w:firstLine="960" w:firstLineChars="400"/>
                    <w:rPr>
                      <w:rFonts w:ascii="Times New Roman" w:hAnsi="Times New Roman"/>
                    </w:rPr>
                  </w:pPr>
                  <w:r>
                    <w:rPr>
                      <w:rFonts w:hint="eastAsia" w:ascii="Times New Roman" w:hAnsi="Times New Roman"/>
                    </w:rPr>
                    <w:t>（2）</w:t>
                  </w:r>
                </w:p>
              </w:tc>
            </w:tr>
          </w:tbl>
          <w:p>
            <w:pPr>
              <w:adjustRightInd w:val="0"/>
              <w:snapToGrid w:val="0"/>
              <w:spacing w:line="440" w:lineRule="exact"/>
              <w:ind w:firstLine="480" w:firstLineChars="200"/>
              <w:rPr>
                <w:rFonts w:ascii="Times New Roman" w:hAnsi="Times New Roman"/>
              </w:rPr>
            </w:pPr>
            <w:r>
              <w:rPr>
                <w:rFonts w:hint="eastAsia" w:ascii="Times New Roman" w:hAnsi="Times New Roman"/>
              </w:rPr>
              <w:t>公式（2）中：</w:t>
            </w:r>
          </w:p>
          <w:p>
            <w:pPr>
              <w:adjustRightInd w:val="0"/>
              <w:snapToGrid w:val="0"/>
              <w:spacing w:line="440" w:lineRule="exact"/>
              <w:ind w:firstLine="480" w:firstLineChars="200"/>
              <w:rPr>
                <w:rFonts w:ascii="Times New Roman" w:hAnsi="Times New Roman"/>
              </w:rPr>
            </w:pPr>
            <w:r>
              <w:rPr>
                <w:rFonts w:hint="eastAsia" w:ascii="Times New Roman" w:hAnsi="Times New Roman"/>
              </w:rPr>
              <w:t>1）E</w:t>
            </w:r>
            <w:r>
              <w:rPr>
                <w:rFonts w:hint="eastAsia" w:ascii="Times New Roman" w:hAnsi="Times New Roman"/>
                <w:vertAlign w:val="subscript"/>
              </w:rPr>
              <w:t>h</w:t>
            </w:r>
            <w:r>
              <w:rPr>
                <w:rFonts w:hint="eastAsia" w:ascii="Times New Roman" w:hAnsi="Times New Roman"/>
              </w:rPr>
              <w:t>为堆场装卸扬尘的排放系数，kg/t。</w:t>
            </w:r>
          </w:p>
          <w:p>
            <w:pPr>
              <w:adjustRightInd w:val="0"/>
              <w:snapToGrid w:val="0"/>
              <w:spacing w:line="440" w:lineRule="exact"/>
              <w:ind w:firstLine="480" w:firstLineChars="200"/>
              <w:rPr>
                <w:rFonts w:ascii="Times New Roman" w:hAnsi="Times New Roman"/>
              </w:rPr>
            </w:pPr>
            <w:r>
              <w:rPr>
                <w:rFonts w:hint="eastAsia" w:ascii="Times New Roman" w:hAnsi="Times New Roman"/>
              </w:rPr>
              <w:t>2）K</w:t>
            </w:r>
            <w:r>
              <w:rPr>
                <w:rFonts w:hint="eastAsia" w:ascii="Times New Roman" w:hAnsi="Times New Roman"/>
                <w:vertAlign w:val="subscript"/>
              </w:rPr>
              <w:t>i</w:t>
            </w:r>
            <w:r>
              <w:rPr>
                <w:rFonts w:hint="eastAsia" w:ascii="Times New Roman" w:hAnsi="Times New Roman"/>
              </w:rPr>
              <w:t>为物料的粒度乘数，根据“扬尘指南”表10颗粒物粒度乘数，取0.74</w:t>
            </w:r>
          </w:p>
          <w:p>
            <w:pPr>
              <w:adjustRightInd w:val="0"/>
              <w:snapToGrid w:val="0"/>
              <w:spacing w:line="440" w:lineRule="exact"/>
              <w:ind w:firstLine="480" w:firstLineChars="200"/>
              <w:rPr>
                <w:rFonts w:ascii="Times New Roman" w:hAnsi="Times New Roman"/>
              </w:rPr>
            </w:pPr>
            <w:r>
              <w:rPr>
                <w:rFonts w:hint="eastAsia" w:ascii="Times New Roman" w:hAnsi="Times New Roman"/>
              </w:rPr>
              <w:t>3）u为地面平均风速，取1.5m/s。</w:t>
            </w:r>
          </w:p>
          <w:p>
            <w:pPr>
              <w:adjustRightInd w:val="0"/>
              <w:snapToGrid w:val="0"/>
              <w:spacing w:line="440" w:lineRule="exact"/>
              <w:ind w:firstLine="480" w:firstLineChars="200"/>
              <w:rPr>
                <w:rFonts w:ascii="Times New Roman" w:hAnsi="Times New Roman"/>
              </w:rPr>
            </w:pPr>
            <w:r>
              <w:rPr>
                <w:rFonts w:hint="eastAsia" w:ascii="Times New Roman" w:hAnsi="Times New Roman"/>
              </w:rPr>
              <w:t>4）M为物料含水率，原料及干选尾渣取8%，铁粉取10%，粗磁选尾渣取12%，细磁选尾渣取值15-17%。</w:t>
            </w:r>
          </w:p>
          <w:p>
            <w:pPr>
              <w:adjustRightInd w:val="0"/>
              <w:snapToGrid w:val="0"/>
              <w:spacing w:line="440" w:lineRule="exact"/>
              <w:ind w:firstLine="480" w:firstLineChars="200"/>
              <w:rPr>
                <w:rFonts w:ascii="Times New Roman" w:hAnsi="Times New Roman"/>
              </w:rPr>
            </w:pPr>
            <w:r>
              <w:rPr>
                <w:rFonts w:hint="eastAsia" w:ascii="Times New Roman" w:hAnsi="Times New Roman"/>
              </w:rPr>
              <w:t>5）</w:t>
            </w:r>
            <w:r>
              <w:rPr>
                <w:rFonts w:hint="eastAsia" w:ascii="微软雅黑" w:hAnsi="微软雅黑" w:eastAsia="微软雅黑" w:cs="微软雅黑"/>
              </w:rPr>
              <w:t>η</w:t>
            </w:r>
            <w:r>
              <w:rPr>
                <w:rFonts w:ascii="Times New Roman" w:hAnsi="Times New Roman"/>
              </w:rPr>
              <w:t>为污染控制技术对扬尘的去除效率，%。</w:t>
            </w:r>
            <w:r>
              <w:rPr>
                <w:rFonts w:hint="eastAsia" w:ascii="Times New Roman" w:hAnsi="Times New Roman"/>
              </w:rPr>
              <w:t>本项目原料卸料过程中采取喷水抑尘；尾渣、铁粉装卸过程中尽量降低高差，减少粉尘排放；堆场设置顶棚，周边半围挡，根据“扬尘指南”表12，去除效率取90%。</w:t>
            </w:r>
          </w:p>
          <w:tbl>
            <w:tblPr>
              <w:tblStyle w:val="26"/>
              <w:tblW w:w="8729" w:type="dxa"/>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944"/>
              <w:gridCol w:w="2064"/>
              <w:gridCol w:w="27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3944" w:type="dxa"/>
                  <w:tcBorders>
                    <w:tl2br w:val="nil"/>
                    <w:tr2bl w:val="nil"/>
                  </w:tcBorders>
                  <w:vAlign w:val="center"/>
                </w:tcPr>
                <w:p>
                  <w:pPr>
                    <w:adjustRightInd w:val="0"/>
                    <w:snapToGrid w:val="0"/>
                    <w:jc w:val="center"/>
                    <w:rPr>
                      <w:rFonts w:ascii="Times New Roman" w:hAnsi="Times New Roman"/>
                    </w:rPr>
                  </w:pPr>
                  <w:r>
                    <w:drawing>
                      <wp:inline distT="0" distB="0" distL="114300" distR="114300">
                        <wp:extent cx="1885950" cy="428625"/>
                        <wp:effectExtent l="0" t="0" r="0" b="8255"/>
                        <wp:docPr id="24"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2"/>
                                <pic:cNvPicPr>
                                  <a:picLocks noChangeAspect="1"/>
                                </pic:cNvPicPr>
                              </pic:nvPicPr>
                              <pic:blipFill>
                                <a:blip r:embed="rId17"/>
                                <a:stretch>
                                  <a:fillRect/>
                                </a:stretch>
                              </pic:blipFill>
                              <pic:spPr>
                                <a:xfrm>
                                  <a:off x="0" y="0"/>
                                  <a:ext cx="1885950" cy="428625"/>
                                </a:xfrm>
                                <a:prstGeom prst="rect">
                                  <a:avLst/>
                                </a:prstGeom>
                                <a:noFill/>
                                <a:ln>
                                  <a:noFill/>
                                </a:ln>
                              </pic:spPr>
                            </pic:pic>
                          </a:graphicData>
                        </a:graphic>
                      </wp:inline>
                    </w:drawing>
                  </w:r>
                </w:p>
              </w:tc>
              <w:tc>
                <w:tcPr>
                  <w:tcW w:w="4785" w:type="dxa"/>
                  <w:gridSpan w:val="2"/>
                  <w:tcBorders>
                    <w:tl2br w:val="nil"/>
                    <w:tr2bl w:val="nil"/>
                  </w:tcBorders>
                  <w:vAlign w:val="center"/>
                </w:tcPr>
                <w:p>
                  <w:pPr>
                    <w:adjustRightInd w:val="0"/>
                    <w:snapToGrid w:val="0"/>
                    <w:ind w:firstLine="2640" w:firstLineChars="1100"/>
                    <w:rPr>
                      <w:rFonts w:ascii="Times New Roman" w:hAnsi="Times New Roman"/>
                    </w:rPr>
                  </w:pPr>
                  <w:r>
                    <w:rPr>
                      <w:rFonts w:hint="eastAsia" w:ascii="Times New Roman" w:hAnsi="Times New Roma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6008" w:type="dxa"/>
                  <w:gridSpan w:val="2"/>
                  <w:tcBorders>
                    <w:tl2br w:val="nil"/>
                    <w:tr2bl w:val="nil"/>
                  </w:tcBorders>
                  <w:vAlign w:val="center"/>
                </w:tcPr>
                <w:p>
                  <w:pPr>
                    <w:adjustRightInd w:val="0"/>
                    <w:snapToGrid w:val="0"/>
                    <w:jc w:val="center"/>
                    <w:rPr>
                      <w:rFonts w:ascii="Times New Roman" w:hAnsi="Times New Roman"/>
                    </w:rPr>
                  </w:pPr>
                  <w:r>
                    <w:drawing>
                      <wp:inline distT="0" distB="0" distL="114300" distR="114300">
                        <wp:extent cx="3219450" cy="504825"/>
                        <wp:effectExtent l="0" t="0" r="0" b="8890"/>
                        <wp:docPr id="27"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15"/>
                                <pic:cNvPicPr>
                                  <a:picLocks noChangeAspect="1"/>
                                </pic:cNvPicPr>
                              </pic:nvPicPr>
                              <pic:blipFill>
                                <a:blip r:embed="rId18"/>
                                <a:stretch>
                                  <a:fillRect/>
                                </a:stretch>
                              </pic:blipFill>
                              <pic:spPr>
                                <a:xfrm>
                                  <a:off x="0" y="0"/>
                                  <a:ext cx="3219450" cy="504825"/>
                                </a:xfrm>
                                <a:prstGeom prst="rect">
                                  <a:avLst/>
                                </a:prstGeom>
                                <a:noFill/>
                                <a:ln>
                                  <a:noFill/>
                                </a:ln>
                              </pic:spPr>
                            </pic:pic>
                          </a:graphicData>
                        </a:graphic>
                      </wp:inline>
                    </w:drawing>
                  </w:r>
                </w:p>
              </w:tc>
              <w:tc>
                <w:tcPr>
                  <w:tcW w:w="2721" w:type="dxa"/>
                  <w:tcBorders>
                    <w:tl2br w:val="nil"/>
                    <w:tr2bl w:val="nil"/>
                  </w:tcBorders>
                  <w:vAlign w:val="center"/>
                </w:tcPr>
                <w:p>
                  <w:pPr>
                    <w:adjustRightInd w:val="0"/>
                    <w:snapToGrid w:val="0"/>
                    <w:ind w:firstLine="720" w:firstLineChars="300"/>
                    <w:rPr>
                      <w:rFonts w:ascii="Times New Roman" w:hAnsi="Times New Roman"/>
                    </w:rPr>
                  </w:pPr>
                  <w:r>
                    <w:rPr>
                      <w:rFonts w:hint="eastAsia" w:ascii="Times New Roman" w:hAnsi="Times New Roman"/>
                    </w:rPr>
                    <w:t>（4）</w:t>
                  </w:r>
                </w:p>
              </w:tc>
            </w:tr>
          </w:tbl>
          <w:p>
            <w:pPr>
              <w:adjustRightInd w:val="0"/>
              <w:snapToGrid w:val="0"/>
              <w:ind w:firstLine="480" w:firstLineChars="200"/>
            </w:pPr>
            <w:r>
              <w:rPr>
                <w:rFonts w:hint="eastAsia"/>
              </w:rPr>
              <w:t>公式（3）及（4）中：</w:t>
            </w:r>
          </w:p>
          <w:p>
            <w:pPr>
              <w:adjustRightInd w:val="0"/>
              <w:snapToGrid w:val="0"/>
              <w:spacing w:line="440" w:lineRule="exact"/>
              <w:ind w:firstLine="480" w:firstLineChars="200"/>
              <w:rPr>
                <w:rFonts w:ascii="Times New Roman" w:hAnsi="Times New Roman"/>
              </w:rPr>
            </w:pPr>
            <w:r>
              <w:rPr>
                <w:rFonts w:ascii="Times New Roman" w:hAnsi="Times New Roman"/>
              </w:rPr>
              <w:t>1</w:t>
            </w:r>
            <w:r>
              <w:rPr>
                <w:rFonts w:hint="eastAsia" w:ascii="Times New Roman" w:hAnsi="Times New Roman"/>
              </w:rPr>
              <w:t>）</w:t>
            </w:r>
            <w:r>
              <w:rPr>
                <w:rFonts w:ascii="Times New Roman" w:hAnsi="Times New Roman"/>
              </w:rPr>
              <w:t>Ew为堆场风蚀</w:t>
            </w:r>
            <w:r>
              <w:rPr>
                <w:rFonts w:hint="eastAsia" w:ascii="Times New Roman" w:hAnsi="Times New Roman"/>
              </w:rPr>
              <w:t>扬尘</w:t>
            </w:r>
            <w:r>
              <w:rPr>
                <w:rFonts w:ascii="Times New Roman" w:hAnsi="Times New Roman"/>
              </w:rPr>
              <w:t>的排放系数，kg/m</w:t>
            </w:r>
            <w:r>
              <w:rPr>
                <w:rFonts w:ascii="Times New Roman" w:hAnsi="Times New Roman"/>
                <w:vertAlign w:val="superscript"/>
              </w:rPr>
              <w:t>2</w:t>
            </w:r>
          </w:p>
          <w:p>
            <w:pPr>
              <w:adjustRightInd w:val="0"/>
              <w:snapToGrid w:val="0"/>
              <w:spacing w:line="440" w:lineRule="exact"/>
              <w:ind w:firstLine="480" w:firstLineChars="200"/>
              <w:rPr>
                <w:rFonts w:ascii="Times New Roman" w:hAnsi="Times New Roman"/>
              </w:rPr>
            </w:pPr>
            <w:r>
              <w:rPr>
                <w:rFonts w:ascii="Times New Roman" w:hAnsi="Times New Roman"/>
              </w:rPr>
              <w:t>2</w:t>
            </w:r>
            <w:r>
              <w:rPr>
                <w:rFonts w:hint="eastAsia" w:ascii="Times New Roman" w:hAnsi="Times New Roman"/>
              </w:rPr>
              <w:t>）</w:t>
            </w:r>
            <w:r>
              <w:rPr>
                <w:rFonts w:ascii="Times New Roman" w:hAnsi="Times New Roman"/>
              </w:rPr>
              <w:t>K为物料的粒度乘数，</w:t>
            </w:r>
            <w:r>
              <w:rPr>
                <w:rFonts w:hint="eastAsia" w:ascii="Times New Roman" w:hAnsi="Times New Roman"/>
              </w:rPr>
              <w:t>根据“扬尘指南”</w:t>
            </w:r>
            <w:r>
              <w:rPr>
                <w:rFonts w:ascii="Times New Roman" w:hAnsi="Times New Roman"/>
              </w:rPr>
              <w:t>表13</w:t>
            </w:r>
            <w:r>
              <w:rPr>
                <w:rFonts w:hint="eastAsia" w:ascii="Times New Roman" w:hAnsi="Times New Roman"/>
              </w:rPr>
              <w:t>，取1.0</w:t>
            </w:r>
            <w:r>
              <w:rPr>
                <w:rFonts w:ascii="Times New Roman" w:hAnsi="Times New Roman"/>
              </w:rPr>
              <w:t>。</w:t>
            </w:r>
          </w:p>
          <w:p>
            <w:pPr>
              <w:adjustRightInd w:val="0"/>
              <w:snapToGrid w:val="0"/>
              <w:spacing w:line="440" w:lineRule="exact"/>
              <w:ind w:firstLine="480" w:firstLineChars="200"/>
              <w:rPr>
                <w:rFonts w:ascii="Times New Roman" w:hAnsi="Times New Roman"/>
              </w:rPr>
            </w:pPr>
            <w:r>
              <w:rPr>
                <w:rFonts w:ascii="Times New Roman" w:hAnsi="Times New Roman"/>
              </w:rPr>
              <w:t>3</w:t>
            </w:r>
            <w:r>
              <w:rPr>
                <w:rFonts w:hint="eastAsia" w:ascii="Times New Roman" w:hAnsi="Times New Roman"/>
              </w:rPr>
              <w:t>）</w:t>
            </w:r>
            <w:r>
              <w:rPr>
                <w:rFonts w:ascii="Times New Roman" w:hAnsi="Times New Roman"/>
              </w:rPr>
              <w:t>n为料堆每年受扰动的次数。</w:t>
            </w:r>
          </w:p>
          <w:p>
            <w:pPr>
              <w:adjustRightInd w:val="0"/>
              <w:snapToGrid w:val="0"/>
              <w:spacing w:line="440" w:lineRule="exact"/>
              <w:ind w:firstLine="480" w:firstLineChars="200"/>
              <w:rPr>
                <w:rFonts w:ascii="Times New Roman" w:hAnsi="Times New Roman"/>
              </w:rPr>
            </w:pPr>
            <w:r>
              <w:rPr>
                <w:rFonts w:ascii="Times New Roman" w:hAnsi="Times New Roman"/>
              </w:rPr>
              <w:t>4</w:t>
            </w:r>
            <w:r>
              <w:rPr>
                <w:rFonts w:hint="eastAsia" w:ascii="Times New Roman" w:hAnsi="Times New Roman"/>
              </w:rPr>
              <w:t>）</w:t>
            </w:r>
            <w:r>
              <w:rPr>
                <w:rFonts w:ascii="Times New Roman" w:hAnsi="Times New Roman"/>
              </w:rPr>
              <w:t>Pi为第i次扰动中观测的最大风速的风潜势，g/m</w:t>
            </w:r>
            <w:r>
              <w:rPr>
                <w:rFonts w:ascii="Times New Roman" w:hAnsi="Times New Roman"/>
                <w:vertAlign w:val="superscript"/>
              </w:rPr>
              <w:t>2</w:t>
            </w:r>
            <w:r>
              <w:rPr>
                <w:rFonts w:ascii="Times New Roman" w:hAnsi="Times New Roman"/>
              </w:rPr>
              <w:t>。</w:t>
            </w:r>
          </w:p>
          <w:p>
            <w:pPr>
              <w:adjustRightInd w:val="0"/>
              <w:snapToGrid w:val="0"/>
              <w:spacing w:line="440" w:lineRule="exact"/>
              <w:ind w:firstLine="480" w:firstLineChars="200"/>
              <w:rPr>
                <w:rFonts w:ascii="Times New Roman" w:hAnsi="Times New Roman"/>
              </w:rPr>
            </w:pPr>
            <w:r>
              <w:rPr>
                <w:rFonts w:ascii="Times New Roman" w:hAnsi="Times New Roman"/>
              </w:rPr>
              <w:t>5</w:t>
            </w:r>
            <w:r>
              <w:rPr>
                <w:rFonts w:hint="eastAsia" w:ascii="Times New Roman" w:hAnsi="Times New Roman"/>
              </w:rPr>
              <w:t>）</w:t>
            </w:r>
            <w:r>
              <w:rPr>
                <w:rFonts w:hint="eastAsia" w:ascii="微软雅黑" w:hAnsi="微软雅黑" w:eastAsia="微软雅黑" w:cs="微软雅黑"/>
              </w:rPr>
              <w:t>η</w:t>
            </w:r>
            <w:r>
              <w:rPr>
                <w:rFonts w:ascii="Times New Roman" w:hAnsi="Times New Roman"/>
              </w:rPr>
              <w:t>为污染控制技术对扬尘的去除效率，%。</w:t>
            </w:r>
          </w:p>
          <w:p>
            <w:pPr>
              <w:adjustRightInd w:val="0"/>
              <w:snapToGrid w:val="0"/>
              <w:spacing w:line="440" w:lineRule="exact"/>
              <w:ind w:firstLine="480" w:firstLineChars="200"/>
              <w:rPr>
                <w:rFonts w:ascii="Times New Roman" w:hAnsi="Times New Roman"/>
              </w:rPr>
            </w:pPr>
            <w:r>
              <w:rPr>
                <w:rFonts w:ascii="Times New Roman" w:hAnsi="Times New Roman"/>
              </w:rPr>
              <w:t>6</w:t>
            </w:r>
            <w:r>
              <w:rPr>
                <w:rFonts w:hint="eastAsia" w:ascii="Times New Roman" w:hAnsi="Times New Roman"/>
              </w:rPr>
              <w:t>）</w:t>
            </w:r>
            <w:r>
              <w:rPr>
                <w:rFonts w:ascii="Times New Roman" w:hAnsi="Times New Roman"/>
              </w:rPr>
              <w:t>u*为摩擦风速，m/s。计算方法见公式(</w:t>
            </w:r>
            <w:r>
              <w:rPr>
                <w:rFonts w:hint="eastAsia" w:ascii="Times New Roman" w:hAnsi="Times New Roman"/>
              </w:rPr>
              <w:t>5</w:t>
            </w:r>
            <w:r>
              <w:rPr>
                <w:rFonts w:ascii="Times New Roman" w:hAnsi="Times New Roman"/>
              </w:rPr>
              <w:t>)。</w:t>
            </w:r>
          </w:p>
          <w:p>
            <w:pPr>
              <w:adjustRightInd w:val="0"/>
              <w:snapToGrid w:val="0"/>
              <w:spacing w:line="440" w:lineRule="exact"/>
              <w:ind w:firstLine="480" w:firstLineChars="200"/>
              <w:rPr>
                <w:rFonts w:ascii="Times New Roman" w:hAnsi="Times New Roman"/>
              </w:rPr>
            </w:pPr>
            <w:r>
              <w:rPr>
                <w:rFonts w:ascii="Times New Roman" w:hAnsi="Times New Roman"/>
              </w:rPr>
              <w:t>7</w:t>
            </w:r>
            <w:r>
              <w:rPr>
                <w:rFonts w:hint="eastAsia" w:ascii="Times New Roman" w:hAnsi="Times New Roman"/>
              </w:rPr>
              <w:t>）</w:t>
            </w:r>
            <w:r>
              <w:rPr>
                <w:rFonts w:ascii="Times New Roman" w:hAnsi="Times New Roman"/>
              </w:rPr>
              <w:t>u</w:t>
            </w:r>
            <w:r>
              <w:rPr>
                <w:rFonts w:hint="eastAsia" w:ascii="Times New Roman" w:hAnsi="Times New Roman"/>
                <w:vertAlign w:val="subscript"/>
              </w:rPr>
              <w:t>t</w:t>
            </w:r>
            <w:r>
              <w:rPr>
                <w:rFonts w:ascii="Times New Roman" w:hAnsi="Times New Roman"/>
              </w:rPr>
              <w:t>*为</w:t>
            </w:r>
            <w:r>
              <w:rPr>
                <w:rFonts w:hint="eastAsia" w:ascii="Times New Roman" w:hAnsi="Times New Roman"/>
              </w:rPr>
              <w:t>阈值</w:t>
            </w:r>
            <w:r>
              <w:rPr>
                <w:rFonts w:ascii="Times New Roman" w:hAnsi="Times New Roman"/>
              </w:rPr>
              <w:t>摩擦风速，即起尘的临界摩擦风速，m/s，</w:t>
            </w:r>
            <w:r>
              <w:rPr>
                <w:rFonts w:hint="eastAsia" w:ascii="Times New Roman" w:hAnsi="Times New Roman"/>
              </w:rPr>
              <w:t>根据“扬尘指南”表15，本项目取1.33m/s。</w:t>
            </w:r>
          </w:p>
          <w:p>
            <w:pPr>
              <w:adjustRightInd w:val="0"/>
              <w:snapToGrid w:val="0"/>
              <w:spacing w:line="440" w:lineRule="exact"/>
              <w:ind w:firstLine="480" w:firstLineChars="200"/>
              <w:rPr>
                <w:rFonts w:ascii="Times New Roman" w:hAnsi="Times New Roman"/>
              </w:rPr>
            </w:pPr>
            <w:r>
              <w:rPr>
                <w:rFonts w:hint="eastAsia" w:ascii="Times New Roman" w:hAnsi="Times New Roman"/>
              </w:rPr>
              <w:t>U*=0.4u（z）/ln（z/z</w:t>
            </w:r>
            <w:r>
              <w:rPr>
                <w:rFonts w:hint="eastAsia" w:ascii="Times New Roman" w:hAnsi="Times New Roman"/>
                <w:vertAlign w:val="subscript"/>
              </w:rPr>
              <w:t>0</w:t>
            </w:r>
            <w:r>
              <w:rPr>
                <w:rFonts w:hint="eastAsia" w:ascii="Times New Roman" w:hAnsi="Times New Roman"/>
              </w:rPr>
              <w:t>）（z＞z</w:t>
            </w:r>
            <w:r>
              <w:rPr>
                <w:rFonts w:hint="eastAsia" w:ascii="Times New Roman" w:hAnsi="Times New Roman"/>
                <w:vertAlign w:val="subscript"/>
              </w:rPr>
              <w:t>0</w:t>
            </w:r>
            <w:r>
              <w:rPr>
                <w:rFonts w:hint="eastAsia" w:ascii="Times New Roman" w:hAnsi="Times New Roman"/>
              </w:rPr>
              <w:t>）                        （5）</w:t>
            </w:r>
          </w:p>
          <w:p>
            <w:pPr>
              <w:adjustRightInd w:val="0"/>
              <w:snapToGrid w:val="0"/>
              <w:spacing w:line="440" w:lineRule="exact"/>
              <w:ind w:firstLine="480" w:firstLineChars="200"/>
              <w:rPr>
                <w:rFonts w:ascii="Times New Roman" w:hAnsi="Times New Roman"/>
              </w:rPr>
            </w:pPr>
            <w:r>
              <w:rPr>
                <w:rFonts w:hint="eastAsia" w:ascii="Times New Roman" w:hAnsi="Times New Roman"/>
              </w:rPr>
              <w:t>公式（5）中：</w:t>
            </w:r>
          </w:p>
          <w:p>
            <w:pPr>
              <w:numPr>
                <w:ilvl w:val="0"/>
                <w:numId w:val="10"/>
              </w:numPr>
              <w:adjustRightInd w:val="0"/>
              <w:snapToGrid w:val="0"/>
              <w:spacing w:line="440" w:lineRule="exact"/>
              <w:ind w:firstLine="480" w:firstLineChars="200"/>
              <w:rPr>
                <w:rFonts w:ascii="Times New Roman" w:hAnsi="Times New Roman"/>
              </w:rPr>
            </w:pPr>
            <w:r>
              <w:rPr>
                <w:rFonts w:hint="eastAsia" w:ascii="Times New Roman" w:hAnsi="Times New Roman"/>
              </w:rPr>
              <w:t>u（z）为地面风速，m/s，按大田县多年平均风速取1.5m/s；</w:t>
            </w:r>
          </w:p>
          <w:p>
            <w:pPr>
              <w:numPr>
                <w:ilvl w:val="0"/>
                <w:numId w:val="10"/>
              </w:numPr>
              <w:adjustRightInd w:val="0"/>
              <w:snapToGrid w:val="0"/>
              <w:spacing w:line="440" w:lineRule="exact"/>
              <w:ind w:firstLine="480" w:firstLineChars="200"/>
              <w:rPr>
                <w:rFonts w:ascii="Times New Roman" w:hAnsi="Times New Roman"/>
              </w:rPr>
            </w:pPr>
            <w:r>
              <w:rPr>
                <w:rFonts w:hint="eastAsia" w:ascii="Times New Roman" w:hAnsi="Times New Roman"/>
              </w:rPr>
              <w:t>z为地面风速检测高度，m，取2m。</w:t>
            </w:r>
          </w:p>
          <w:p>
            <w:pPr>
              <w:numPr>
                <w:ilvl w:val="0"/>
                <w:numId w:val="10"/>
              </w:numPr>
              <w:adjustRightInd w:val="0"/>
              <w:snapToGrid w:val="0"/>
              <w:spacing w:line="440" w:lineRule="exact"/>
              <w:ind w:firstLine="480" w:firstLineChars="200"/>
              <w:rPr>
                <w:rFonts w:ascii="Times New Roman" w:hAnsi="Times New Roman"/>
              </w:rPr>
            </w:pPr>
            <w:r>
              <w:rPr>
                <w:rFonts w:hint="eastAsia" w:ascii="Times New Roman" w:hAnsi="Times New Roman"/>
              </w:rPr>
              <w:t>z</w:t>
            </w:r>
            <w:r>
              <w:rPr>
                <w:rFonts w:hint="eastAsia" w:ascii="Times New Roman" w:hAnsi="Times New Roman"/>
                <w:vertAlign w:val="subscript"/>
              </w:rPr>
              <w:t>0</w:t>
            </w:r>
            <w:r>
              <w:rPr>
                <w:rFonts w:hint="eastAsia" w:ascii="Times New Roman" w:hAnsi="Times New Roman"/>
              </w:rPr>
              <w:t>为地面粗糙度，m，城市取值0.6，郊区取值0.2。取0.2。</w:t>
            </w:r>
          </w:p>
          <w:p>
            <w:pPr>
              <w:adjustRightInd w:val="0"/>
              <w:snapToGrid w:val="0"/>
              <w:spacing w:line="440" w:lineRule="exact"/>
              <w:ind w:firstLine="480" w:firstLineChars="200"/>
              <w:rPr>
                <w:rFonts w:ascii="Times New Roman" w:hAnsi="Times New Roman"/>
              </w:rPr>
            </w:pPr>
            <w:r>
              <w:rPr>
                <w:rFonts w:hint="eastAsia" w:ascii="Times New Roman" w:hAnsi="Times New Roman"/>
              </w:rPr>
              <w:t>①堆场装卸扬尘</w:t>
            </w:r>
          </w:p>
          <w:p>
            <w:pPr>
              <w:adjustRightInd w:val="0"/>
              <w:snapToGrid w:val="0"/>
              <w:spacing w:line="440" w:lineRule="exact"/>
              <w:ind w:firstLine="480" w:firstLineChars="200"/>
              <w:rPr>
                <w:rFonts w:ascii="Times New Roman" w:hAnsi="Times New Roman"/>
              </w:rPr>
            </w:pPr>
            <w:r>
              <w:rPr>
                <w:rFonts w:hint="eastAsia" w:ascii="Times New Roman" w:hAnsi="Times New Roman"/>
              </w:rPr>
              <w:t>不同含水率的物料装卸过程的扬尘颗粒物排放系数E</w:t>
            </w:r>
            <w:r>
              <w:rPr>
                <w:rFonts w:hint="eastAsia" w:ascii="Times New Roman" w:hAnsi="Times New Roman"/>
                <w:vertAlign w:val="subscript"/>
              </w:rPr>
              <w:t>h</w:t>
            </w:r>
            <w:r>
              <w:rPr>
                <w:rFonts w:hint="eastAsia" w:ascii="Times New Roman" w:hAnsi="Times New Roman"/>
              </w:rPr>
              <w:t>不同，计算结果如下表：</w:t>
            </w:r>
          </w:p>
          <w:p>
            <w:pPr>
              <w:pStyle w:val="34"/>
              <w:spacing w:before="120" w:line="440" w:lineRule="exact"/>
              <w:ind w:firstLine="422"/>
              <w:rPr>
                <w:rFonts w:ascii="Times New Roman" w:hAnsi="Times New Roman"/>
                <w:b/>
                <w:bCs/>
                <w:sz w:val="21"/>
                <w:szCs w:val="21"/>
              </w:rPr>
            </w:pPr>
          </w:p>
          <w:p>
            <w:pPr>
              <w:pStyle w:val="34"/>
              <w:spacing w:before="120" w:line="440" w:lineRule="exact"/>
              <w:ind w:firstLine="422"/>
              <w:rPr>
                <w:rFonts w:ascii="Times New Roman" w:hAnsi="Times New Roman"/>
              </w:rPr>
            </w:pPr>
            <w:r>
              <w:rPr>
                <w:rFonts w:ascii="Times New Roman" w:hAnsi="Times New Roman"/>
                <w:b/>
                <w:bCs/>
                <w:sz w:val="21"/>
                <w:szCs w:val="21"/>
              </w:rPr>
              <w:t>表4.2-</w:t>
            </w:r>
            <w:r>
              <w:rPr>
                <w:rFonts w:hint="eastAsia" w:ascii="Times New Roman" w:hAnsi="Times New Roman"/>
                <w:b/>
                <w:bCs/>
                <w:sz w:val="21"/>
                <w:szCs w:val="21"/>
              </w:rPr>
              <w:t>2</w:t>
            </w:r>
            <w:r>
              <w:rPr>
                <w:rFonts w:ascii="Times New Roman" w:hAnsi="Times New Roman"/>
                <w:b/>
                <w:bCs/>
                <w:sz w:val="21"/>
                <w:szCs w:val="21"/>
              </w:rPr>
              <w:t xml:space="preserve">  </w:t>
            </w:r>
            <w:r>
              <w:rPr>
                <w:rFonts w:hint="eastAsia" w:ascii="Times New Roman" w:hAnsi="Times New Roman"/>
                <w:b/>
                <w:bCs/>
                <w:sz w:val="21"/>
                <w:szCs w:val="21"/>
              </w:rPr>
              <w:t>堆场扬尘计算结果</w:t>
            </w:r>
            <w:r>
              <w:rPr>
                <w:rFonts w:ascii="Times New Roman" w:hAnsi="Times New Roman"/>
                <w:b/>
                <w:bCs/>
                <w:sz w:val="21"/>
                <w:szCs w:val="21"/>
              </w:rPr>
              <w:t>汇总表</w:t>
            </w:r>
          </w:p>
          <w:tbl>
            <w:tblPr>
              <w:tblStyle w:val="26"/>
              <w:tblW w:w="8729" w:type="dxa"/>
              <w:tblInd w:w="6"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2156"/>
              <w:gridCol w:w="2198"/>
              <w:gridCol w:w="2189"/>
              <w:gridCol w:w="2186"/>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156" w:type="dxa"/>
                  <w:tcBorders>
                    <w:tl2br w:val="nil"/>
                    <w:tr2bl w:val="nil"/>
                  </w:tcBorders>
                  <w:vAlign w:val="center"/>
                </w:tcPr>
                <w:p>
                  <w:pPr>
                    <w:adjustRightInd w:val="0"/>
                    <w:snapToGrid w:val="0"/>
                    <w:spacing w:line="280" w:lineRule="exact"/>
                    <w:jc w:val="center"/>
                    <w:rPr>
                      <w:rFonts w:ascii="Times New Roman" w:hAnsi="Times New Roman"/>
                      <w:sz w:val="21"/>
                      <w:szCs w:val="21"/>
                    </w:rPr>
                  </w:pPr>
                  <w:r>
                    <w:rPr>
                      <w:rFonts w:hint="eastAsia" w:ascii="Times New Roman" w:hAnsi="Times New Roman"/>
                      <w:sz w:val="21"/>
                      <w:szCs w:val="21"/>
                    </w:rPr>
                    <w:t>物料</w:t>
                  </w:r>
                </w:p>
              </w:tc>
              <w:tc>
                <w:tcPr>
                  <w:tcW w:w="2198" w:type="dxa"/>
                  <w:tcBorders>
                    <w:tl2br w:val="nil"/>
                    <w:tr2bl w:val="nil"/>
                  </w:tcBorders>
                  <w:vAlign w:val="center"/>
                </w:tcPr>
                <w:p>
                  <w:pPr>
                    <w:adjustRightInd w:val="0"/>
                    <w:snapToGrid w:val="0"/>
                    <w:spacing w:line="280" w:lineRule="exact"/>
                    <w:jc w:val="center"/>
                    <w:rPr>
                      <w:rFonts w:ascii="Times New Roman" w:hAnsi="Times New Roman"/>
                      <w:sz w:val="21"/>
                      <w:szCs w:val="21"/>
                    </w:rPr>
                  </w:pPr>
                  <w:r>
                    <w:rPr>
                      <w:rFonts w:hint="eastAsia" w:ascii="Times New Roman" w:hAnsi="Times New Roman"/>
                      <w:sz w:val="21"/>
                      <w:szCs w:val="21"/>
                    </w:rPr>
                    <w:t>E</w:t>
                  </w:r>
                  <w:r>
                    <w:rPr>
                      <w:rFonts w:hint="eastAsia" w:ascii="Times New Roman" w:hAnsi="Times New Roman"/>
                      <w:sz w:val="21"/>
                      <w:szCs w:val="21"/>
                      <w:vertAlign w:val="subscript"/>
                    </w:rPr>
                    <w:t>h</w:t>
                  </w:r>
                  <w:r>
                    <w:rPr>
                      <w:rFonts w:hint="eastAsia" w:ascii="Times New Roman" w:hAnsi="Times New Roman"/>
                      <w:sz w:val="21"/>
                      <w:szCs w:val="21"/>
                    </w:rPr>
                    <w:t>（kg/t）</w:t>
                  </w:r>
                </w:p>
              </w:tc>
              <w:tc>
                <w:tcPr>
                  <w:tcW w:w="2189" w:type="dxa"/>
                  <w:tcBorders>
                    <w:tl2br w:val="nil"/>
                    <w:tr2bl w:val="nil"/>
                  </w:tcBorders>
                  <w:vAlign w:val="center"/>
                </w:tcPr>
                <w:p>
                  <w:pPr>
                    <w:adjustRightInd w:val="0"/>
                    <w:snapToGrid w:val="0"/>
                    <w:spacing w:line="280" w:lineRule="exact"/>
                    <w:jc w:val="center"/>
                    <w:rPr>
                      <w:rFonts w:ascii="Times New Roman" w:hAnsi="Times New Roman"/>
                      <w:sz w:val="21"/>
                      <w:szCs w:val="21"/>
                    </w:rPr>
                  </w:pPr>
                  <w:r>
                    <w:rPr>
                      <w:rFonts w:hint="eastAsia" w:ascii="Times New Roman" w:hAnsi="Times New Roman"/>
                      <w:sz w:val="21"/>
                      <w:szCs w:val="21"/>
                    </w:rPr>
                    <w:t>装卸物料量（t/a）</w:t>
                  </w:r>
                </w:p>
              </w:tc>
              <w:tc>
                <w:tcPr>
                  <w:tcW w:w="2186" w:type="dxa"/>
                  <w:tcBorders>
                    <w:tl2br w:val="nil"/>
                    <w:tr2bl w:val="nil"/>
                  </w:tcBorders>
                  <w:vAlign w:val="center"/>
                </w:tcPr>
                <w:p>
                  <w:pPr>
                    <w:adjustRightInd w:val="0"/>
                    <w:snapToGrid w:val="0"/>
                    <w:spacing w:line="280" w:lineRule="exact"/>
                    <w:jc w:val="center"/>
                    <w:rPr>
                      <w:rFonts w:ascii="Times New Roman" w:hAnsi="Times New Roman"/>
                      <w:sz w:val="21"/>
                      <w:szCs w:val="21"/>
                    </w:rPr>
                  </w:pPr>
                  <w:r>
                    <w:rPr>
                      <w:rFonts w:hint="eastAsia" w:ascii="Times New Roman" w:hAnsi="Times New Roman"/>
                      <w:sz w:val="21"/>
                      <w:szCs w:val="21"/>
                    </w:rPr>
                    <w:t>装卸扬尘（t）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156" w:type="dxa"/>
                  <w:tcBorders>
                    <w:tl2br w:val="nil"/>
                    <w:tr2bl w:val="nil"/>
                  </w:tcBorders>
                  <w:vAlign w:val="center"/>
                </w:tcPr>
                <w:p>
                  <w:pPr>
                    <w:adjustRightInd w:val="0"/>
                    <w:snapToGrid w:val="0"/>
                    <w:spacing w:line="280" w:lineRule="exact"/>
                    <w:jc w:val="center"/>
                    <w:rPr>
                      <w:rFonts w:ascii="Times New Roman" w:hAnsi="Times New Roman"/>
                      <w:sz w:val="21"/>
                      <w:szCs w:val="21"/>
                    </w:rPr>
                  </w:pPr>
                  <w:r>
                    <w:rPr>
                      <w:rFonts w:hint="eastAsia" w:ascii="Times New Roman" w:hAnsi="Times New Roman"/>
                      <w:sz w:val="21"/>
                      <w:szCs w:val="21"/>
                    </w:rPr>
                    <w:t>原料</w:t>
                  </w:r>
                </w:p>
              </w:tc>
              <w:tc>
                <w:tcPr>
                  <w:tcW w:w="2198" w:type="dxa"/>
                  <w:tcBorders>
                    <w:tl2br w:val="nil"/>
                    <w:tr2bl w:val="nil"/>
                  </w:tcBorders>
                  <w:vAlign w:val="center"/>
                </w:tcPr>
                <w:p>
                  <w:pPr>
                    <w:adjustRightInd w:val="0"/>
                    <w:snapToGrid w:val="0"/>
                    <w:spacing w:line="280" w:lineRule="exact"/>
                    <w:jc w:val="center"/>
                    <w:rPr>
                      <w:rFonts w:ascii="Times New Roman" w:hAnsi="Times New Roman"/>
                      <w:sz w:val="21"/>
                      <w:szCs w:val="21"/>
                    </w:rPr>
                  </w:pPr>
                  <w:r>
                    <w:rPr>
                      <w:rFonts w:hint="eastAsia" w:ascii="Times New Roman" w:hAnsi="Times New Roman"/>
                      <w:sz w:val="21"/>
                      <w:szCs w:val="21"/>
                    </w:rPr>
                    <w:t>0.0167</w:t>
                  </w:r>
                </w:p>
              </w:tc>
              <w:tc>
                <w:tcPr>
                  <w:tcW w:w="2189" w:type="dxa"/>
                  <w:tcBorders>
                    <w:tl2br w:val="nil"/>
                    <w:tr2bl w:val="nil"/>
                  </w:tcBorders>
                  <w:vAlign w:val="center"/>
                </w:tcPr>
                <w:p>
                  <w:pPr>
                    <w:adjustRightInd w:val="0"/>
                    <w:snapToGrid w:val="0"/>
                    <w:spacing w:line="280" w:lineRule="exact"/>
                    <w:jc w:val="center"/>
                    <w:rPr>
                      <w:rFonts w:ascii="Times New Roman" w:hAnsi="Times New Roman"/>
                      <w:sz w:val="21"/>
                      <w:szCs w:val="21"/>
                    </w:rPr>
                  </w:pPr>
                  <w:r>
                    <w:rPr>
                      <w:rFonts w:hint="eastAsia" w:ascii="Times New Roman" w:hAnsi="Times New Roman"/>
                      <w:sz w:val="21"/>
                      <w:szCs w:val="21"/>
                    </w:rPr>
                    <w:t>100000（卸料）</w:t>
                  </w:r>
                </w:p>
              </w:tc>
              <w:tc>
                <w:tcPr>
                  <w:tcW w:w="2186" w:type="dxa"/>
                  <w:tcBorders>
                    <w:tl2br w:val="nil"/>
                    <w:tr2bl w:val="nil"/>
                  </w:tcBorders>
                  <w:vAlign w:val="center"/>
                </w:tcPr>
                <w:p>
                  <w:pPr>
                    <w:adjustRightInd w:val="0"/>
                    <w:snapToGrid w:val="0"/>
                    <w:spacing w:line="280" w:lineRule="exact"/>
                    <w:jc w:val="center"/>
                    <w:rPr>
                      <w:rFonts w:ascii="Times New Roman" w:hAnsi="Times New Roman"/>
                      <w:sz w:val="21"/>
                      <w:szCs w:val="21"/>
                    </w:rPr>
                  </w:pPr>
                  <w:r>
                    <w:rPr>
                      <w:rFonts w:hint="eastAsia" w:ascii="Times New Roman" w:hAnsi="Times New Roman"/>
                      <w:sz w:val="21"/>
                      <w:szCs w:val="21"/>
                    </w:rPr>
                    <w:t>1.67</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156" w:type="dxa"/>
                  <w:tcBorders>
                    <w:tl2br w:val="nil"/>
                    <w:tr2bl w:val="nil"/>
                  </w:tcBorders>
                  <w:vAlign w:val="center"/>
                </w:tcPr>
                <w:p>
                  <w:pPr>
                    <w:adjustRightInd w:val="0"/>
                    <w:snapToGrid w:val="0"/>
                    <w:spacing w:line="280" w:lineRule="exact"/>
                    <w:jc w:val="center"/>
                    <w:rPr>
                      <w:rFonts w:ascii="Times New Roman" w:hAnsi="Times New Roman"/>
                      <w:sz w:val="21"/>
                      <w:szCs w:val="21"/>
                    </w:rPr>
                  </w:pPr>
                  <w:r>
                    <w:rPr>
                      <w:rFonts w:hint="eastAsia" w:ascii="Times New Roman" w:hAnsi="Times New Roman"/>
                      <w:sz w:val="21"/>
                      <w:szCs w:val="21"/>
                    </w:rPr>
                    <w:t>干选尾渣</w:t>
                  </w:r>
                </w:p>
              </w:tc>
              <w:tc>
                <w:tcPr>
                  <w:tcW w:w="2198" w:type="dxa"/>
                  <w:tcBorders>
                    <w:tl2br w:val="nil"/>
                    <w:tr2bl w:val="nil"/>
                  </w:tcBorders>
                  <w:vAlign w:val="center"/>
                </w:tcPr>
                <w:p>
                  <w:pPr>
                    <w:adjustRightInd w:val="0"/>
                    <w:snapToGrid w:val="0"/>
                    <w:spacing w:line="280" w:lineRule="exact"/>
                    <w:jc w:val="center"/>
                    <w:rPr>
                      <w:rFonts w:ascii="Times New Roman" w:hAnsi="Times New Roman"/>
                      <w:sz w:val="21"/>
                      <w:szCs w:val="21"/>
                    </w:rPr>
                  </w:pPr>
                  <w:r>
                    <w:rPr>
                      <w:rFonts w:hint="eastAsia" w:ascii="Times New Roman" w:hAnsi="Times New Roman"/>
                      <w:sz w:val="21"/>
                      <w:szCs w:val="21"/>
                    </w:rPr>
                    <w:t>0.0167</w:t>
                  </w:r>
                </w:p>
              </w:tc>
              <w:tc>
                <w:tcPr>
                  <w:tcW w:w="2189" w:type="dxa"/>
                  <w:tcBorders>
                    <w:tl2br w:val="nil"/>
                    <w:tr2bl w:val="nil"/>
                  </w:tcBorders>
                  <w:vAlign w:val="center"/>
                </w:tcPr>
                <w:p>
                  <w:pPr>
                    <w:adjustRightInd w:val="0"/>
                    <w:snapToGrid w:val="0"/>
                    <w:spacing w:line="280" w:lineRule="exact"/>
                    <w:jc w:val="center"/>
                    <w:rPr>
                      <w:rFonts w:ascii="Times New Roman" w:hAnsi="Times New Roman"/>
                      <w:sz w:val="21"/>
                      <w:szCs w:val="21"/>
                    </w:rPr>
                  </w:pPr>
                  <w:r>
                    <w:rPr>
                      <w:rFonts w:hint="eastAsia" w:ascii="Times New Roman" w:hAnsi="Times New Roman"/>
                      <w:sz w:val="21"/>
                      <w:szCs w:val="21"/>
                    </w:rPr>
                    <w:t>40000（装料）</w:t>
                  </w:r>
                </w:p>
              </w:tc>
              <w:tc>
                <w:tcPr>
                  <w:tcW w:w="2186" w:type="dxa"/>
                  <w:tcBorders>
                    <w:tl2br w:val="nil"/>
                    <w:tr2bl w:val="nil"/>
                  </w:tcBorders>
                  <w:vAlign w:val="center"/>
                </w:tcPr>
                <w:p>
                  <w:pPr>
                    <w:adjustRightInd w:val="0"/>
                    <w:snapToGrid w:val="0"/>
                    <w:spacing w:line="280" w:lineRule="exact"/>
                    <w:jc w:val="center"/>
                    <w:rPr>
                      <w:rFonts w:ascii="Times New Roman" w:hAnsi="Times New Roman"/>
                      <w:sz w:val="21"/>
                      <w:szCs w:val="21"/>
                    </w:rPr>
                  </w:pPr>
                  <w:r>
                    <w:rPr>
                      <w:rFonts w:hint="eastAsia" w:ascii="Times New Roman" w:hAnsi="Times New Roman"/>
                      <w:sz w:val="21"/>
                      <w:szCs w:val="21"/>
                    </w:rPr>
                    <w:t>0.668</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trHeight w:val="283" w:hRule="atLeast"/>
              </w:trPr>
              <w:tc>
                <w:tcPr>
                  <w:tcW w:w="2156" w:type="dxa"/>
                  <w:tcBorders>
                    <w:tl2br w:val="nil"/>
                    <w:tr2bl w:val="nil"/>
                  </w:tcBorders>
                  <w:vAlign w:val="center"/>
                </w:tcPr>
                <w:p>
                  <w:pPr>
                    <w:adjustRightInd w:val="0"/>
                    <w:snapToGrid w:val="0"/>
                    <w:spacing w:line="280" w:lineRule="exact"/>
                    <w:jc w:val="center"/>
                    <w:rPr>
                      <w:rFonts w:ascii="Times New Roman" w:hAnsi="Times New Roman"/>
                      <w:sz w:val="21"/>
                      <w:szCs w:val="21"/>
                    </w:rPr>
                  </w:pPr>
                  <w:r>
                    <w:rPr>
                      <w:rFonts w:hint="eastAsia" w:ascii="Times New Roman" w:hAnsi="Times New Roman"/>
                      <w:sz w:val="21"/>
                      <w:szCs w:val="21"/>
                    </w:rPr>
                    <w:t>铁粉</w:t>
                  </w:r>
                </w:p>
              </w:tc>
              <w:tc>
                <w:tcPr>
                  <w:tcW w:w="2198" w:type="dxa"/>
                  <w:tcBorders>
                    <w:tl2br w:val="nil"/>
                    <w:tr2bl w:val="nil"/>
                  </w:tcBorders>
                  <w:vAlign w:val="center"/>
                </w:tcPr>
                <w:p>
                  <w:pPr>
                    <w:adjustRightInd w:val="0"/>
                    <w:snapToGrid w:val="0"/>
                    <w:spacing w:line="280" w:lineRule="exact"/>
                    <w:jc w:val="center"/>
                    <w:rPr>
                      <w:rFonts w:ascii="Times New Roman" w:hAnsi="Times New Roman"/>
                      <w:sz w:val="21"/>
                      <w:szCs w:val="21"/>
                    </w:rPr>
                  </w:pPr>
                  <w:r>
                    <w:rPr>
                      <w:rFonts w:hint="eastAsia" w:ascii="Times New Roman" w:hAnsi="Times New Roman"/>
                      <w:sz w:val="21"/>
                      <w:szCs w:val="21"/>
                    </w:rPr>
                    <w:t>0.0046</w:t>
                  </w:r>
                </w:p>
              </w:tc>
              <w:tc>
                <w:tcPr>
                  <w:tcW w:w="2189" w:type="dxa"/>
                  <w:tcBorders>
                    <w:tl2br w:val="nil"/>
                    <w:tr2bl w:val="nil"/>
                  </w:tcBorders>
                  <w:vAlign w:val="center"/>
                </w:tcPr>
                <w:p>
                  <w:pPr>
                    <w:adjustRightInd w:val="0"/>
                    <w:snapToGrid w:val="0"/>
                    <w:spacing w:line="280" w:lineRule="exact"/>
                    <w:jc w:val="center"/>
                    <w:rPr>
                      <w:rFonts w:ascii="Times New Roman" w:hAnsi="Times New Roman"/>
                      <w:sz w:val="21"/>
                      <w:szCs w:val="21"/>
                    </w:rPr>
                  </w:pPr>
                  <w:r>
                    <w:rPr>
                      <w:rFonts w:hint="eastAsia" w:ascii="Times New Roman" w:hAnsi="Times New Roman"/>
                      <w:sz w:val="21"/>
                      <w:szCs w:val="21"/>
                    </w:rPr>
                    <w:t>30000（装料）</w:t>
                  </w:r>
                </w:p>
              </w:tc>
              <w:tc>
                <w:tcPr>
                  <w:tcW w:w="2186" w:type="dxa"/>
                  <w:tcBorders>
                    <w:tl2br w:val="nil"/>
                    <w:tr2bl w:val="nil"/>
                  </w:tcBorders>
                  <w:vAlign w:val="center"/>
                </w:tcPr>
                <w:p>
                  <w:pPr>
                    <w:adjustRightInd w:val="0"/>
                    <w:snapToGrid w:val="0"/>
                    <w:spacing w:line="280" w:lineRule="exact"/>
                    <w:jc w:val="center"/>
                    <w:rPr>
                      <w:rFonts w:ascii="Times New Roman" w:hAnsi="Times New Roman"/>
                      <w:sz w:val="21"/>
                      <w:szCs w:val="21"/>
                    </w:rPr>
                  </w:pPr>
                  <w:r>
                    <w:rPr>
                      <w:rFonts w:hint="eastAsia" w:ascii="Times New Roman" w:hAnsi="Times New Roman"/>
                      <w:sz w:val="21"/>
                      <w:szCs w:val="21"/>
                    </w:rPr>
                    <w:t>0.138</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156" w:type="dxa"/>
                  <w:tcBorders>
                    <w:tl2br w:val="nil"/>
                    <w:tr2bl w:val="nil"/>
                  </w:tcBorders>
                  <w:vAlign w:val="center"/>
                </w:tcPr>
                <w:p>
                  <w:pPr>
                    <w:adjustRightInd w:val="0"/>
                    <w:snapToGrid w:val="0"/>
                    <w:spacing w:line="280" w:lineRule="exact"/>
                    <w:jc w:val="center"/>
                    <w:rPr>
                      <w:rFonts w:ascii="Times New Roman" w:hAnsi="Times New Roman"/>
                      <w:sz w:val="21"/>
                      <w:szCs w:val="21"/>
                    </w:rPr>
                  </w:pPr>
                  <w:r>
                    <w:rPr>
                      <w:rFonts w:hint="eastAsia" w:ascii="Times New Roman" w:hAnsi="Times New Roman"/>
                      <w:sz w:val="21"/>
                      <w:szCs w:val="21"/>
                    </w:rPr>
                    <w:t>粗磁选尾渣</w:t>
                  </w:r>
                </w:p>
              </w:tc>
              <w:tc>
                <w:tcPr>
                  <w:tcW w:w="2198" w:type="dxa"/>
                  <w:tcBorders>
                    <w:tl2br w:val="nil"/>
                    <w:tr2bl w:val="nil"/>
                  </w:tcBorders>
                  <w:vAlign w:val="center"/>
                </w:tcPr>
                <w:p>
                  <w:pPr>
                    <w:adjustRightInd w:val="0"/>
                    <w:snapToGrid w:val="0"/>
                    <w:spacing w:line="280" w:lineRule="exact"/>
                    <w:jc w:val="center"/>
                    <w:rPr>
                      <w:rFonts w:ascii="Times New Roman" w:hAnsi="Times New Roman"/>
                      <w:sz w:val="21"/>
                      <w:szCs w:val="21"/>
                    </w:rPr>
                  </w:pPr>
                  <w:r>
                    <w:rPr>
                      <w:rFonts w:hint="eastAsia" w:ascii="Times New Roman" w:hAnsi="Times New Roman"/>
                      <w:sz w:val="21"/>
                      <w:szCs w:val="21"/>
                    </w:rPr>
                    <w:t>0.0036</w:t>
                  </w:r>
                </w:p>
              </w:tc>
              <w:tc>
                <w:tcPr>
                  <w:tcW w:w="2189" w:type="dxa"/>
                  <w:tcBorders>
                    <w:tl2br w:val="nil"/>
                    <w:tr2bl w:val="nil"/>
                  </w:tcBorders>
                  <w:vAlign w:val="center"/>
                </w:tcPr>
                <w:p>
                  <w:pPr>
                    <w:adjustRightInd w:val="0"/>
                    <w:snapToGrid w:val="0"/>
                    <w:spacing w:line="280" w:lineRule="exact"/>
                    <w:jc w:val="center"/>
                    <w:rPr>
                      <w:rFonts w:ascii="Times New Roman" w:hAnsi="Times New Roman"/>
                      <w:sz w:val="21"/>
                      <w:szCs w:val="21"/>
                    </w:rPr>
                  </w:pPr>
                  <w:r>
                    <w:rPr>
                      <w:rFonts w:hint="eastAsia" w:ascii="Times New Roman" w:hAnsi="Times New Roman"/>
                      <w:sz w:val="21"/>
                      <w:szCs w:val="21"/>
                    </w:rPr>
                    <w:t>15000（装料）</w:t>
                  </w:r>
                </w:p>
              </w:tc>
              <w:tc>
                <w:tcPr>
                  <w:tcW w:w="2186" w:type="dxa"/>
                  <w:tcBorders>
                    <w:tl2br w:val="nil"/>
                    <w:tr2bl w:val="nil"/>
                  </w:tcBorders>
                  <w:vAlign w:val="center"/>
                </w:tcPr>
                <w:p>
                  <w:pPr>
                    <w:adjustRightInd w:val="0"/>
                    <w:snapToGrid w:val="0"/>
                    <w:spacing w:line="280" w:lineRule="exact"/>
                    <w:jc w:val="center"/>
                    <w:rPr>
                      <w:rFonts w:ascii="Times New Roman" w:hAnsi="Times New Roman"/>
                      <w:sz w:val="21"/>
                      <w:szCs w:val="21"/>
                    </w:rPr>
                  </w:pPr>
                  <w:r>
                    <w:rPr>
                      <w:rFonts w:hint="eastAsia" w:ascii="Times New Roman" w:hAnsi="Times New Roman"/>
                      <w:sz w:val="21"/>
                      <w:szCs w:val="21"/>
                    </w:rPr>
                    <w:t>0.054</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156" w:type="dxa"/>
                  <w:tcBorders>
                    <w:tl2br w:val="nil"/>
                    <w:tr2bl w:val="nil"/>
                  </w:tcBorders>
                  <w:vAlign w:val="center"/>
                </w:tcPr>
                <w:p>
                  <w:pPr>
                    <w:adjustRightInd w:val="0"/>
                    <w:snapToGrid w:val="0"/>
                    <w:spacing w:line="280" w:lineRule="exact"/>
                    <w:jc w:val="center"/>
                    <w:rPr>
                      <w:rFonts w:ascii="Times New Roman" w:hAnsi="Times New Roman"/>
                      <w:sz w:val="21"/>
                      <w:szCs w:val="21"/>
                    </w:rPr>
                  </w:pPr>
                  <w:r>
                    <w:rPr>
                      <w:rFonts w:hint="eastAsia" w:ascii="Times New Roman" w:hAnsi="Times New Roman"/>
                      <w:sz w:val="21"/>
                      <w:szCs w:val="21"/>
                    </w:rPr>
                    <w:t>细磁选尾渣</w:t>
                  </w:r>
                </w:p>
              </w:tc>
              <w:tc>
                <w:tcPr>
                  <w:tcW w:w="2198" w:type="dxa"/>
                  <w:tcBorders>
                    <w:tl2br w:val="nil"/>
                    <w:tr2bl w:val="nil"/>
                  </w:tcBorders>
                  <w:vAlign w:val="center"/>
                </w:tcPr>
                <w:p>
                  <w:pPr>
                    <w:adjustRightInd w:val="0"/>
                    <w:snapToGrid w:val="0"/>
                    <w:spacing w:line="280" w:lineRule="exact"/>
                    <w:jc w:val="center"/>
                    <w:rPr>
                      <w:rFonts w:ascii="Times New Roman" w:hAnsi="Times New Roman"/>
                      <w:sz w:val="21"/>
                      <w:szCs w:val="21"/>
                    </w:rPr>
                  </w:pPr>
                  <w:r>
                    <w:rPr>
                      <w:rFonts w:hint="eastAsia" w:ascii="Times New Roman" w:hAnsi="Times New Roman"/>
                      <w:sz w:val="21"/>
                      <w:szCs w:val="21"/>
                    </w:rPr>
                    <w:t>0.0024</w:t>
                  </w:r>
                </w:p>
              </w:tc>
              <w:tc>
                <w:tcPr>
                  <w:tcW w:w="2189" w:type="dxa"/>
                  <w:tcBorders>
                    <w:tl2br w:val="nil"/>
                    <w:tr2bl w:val="nil"/>
                  </w:tcBorders>
                  <w:vAlign w:val="center"/>
                </w:tcPr>
                <w:p>
                  <w:pPr>
                    <w:adjustRightInd w:val="0"/>
                    <w:snapToGrid w:val="0"/>
                    <w:spacing w:line="280" w:lineRule="exact"/>
                    <w:jc w:val="center"/>
                    <w:rPr>
                      <w:rFonts w:ascii="Times New Roman" w:hAnsi="Times New Roman"/>
                      <w:sz w:val="21"/>
                      <w:szCs w:val="21"/>
                    </w:rPr>
                  </w:pPr>
                  <w:r>
                    <w:rPr>
                      <w:rFonts w:hint="eastAsia" w:ascii="Times New Roman" w:hAnsi="Times New Roman"/>
                      <w:sz w:val="21"/>
                      <w:szCs w:val="21"/>
                    </w:rPr>
                    <w:t>17600（装料）</w:t>
                  </w:r>
                </w:p>
              </w:tc>
              <w:tc>
                <w:tcPr>
                  <w:tcW w:w="2186" w:type="dxa"/>
                  <w:tcBorders>
                    <w:tl2br w:val="nil"/>
                    <w:tr2bl w:val="nil"/>
                  </w:tcBorders>
                  <w:vAlign w:val="center"/>
                </w:tcPr>
                <w:p>
                  <w:pPr>
                    <w:adjustRightInd w:val="0"/>
                    <w:snapToGrid w:val="0"/>
                    <w:spacing w:line="280" w:lineRule="exact"/>
                    <w:jc w:val="center"/>
                    <w:rPr>
                      <w:rFonts w:ascii="Times New Roman" w:hAnsi="Times New Roman"/>
                      <w:sz w:val="21"/>
                      <w:szCs w:val="21"/>
                    </w:rPr>
                  </w:pPr>
                  <w:r>
                    <w:rPr>
                      <w:rFonts w:hint="eastAsia" w:ascii="Times New Roman" w:hAnsi="Times New Roman"/>
                      <w:sz w:val="21"/>
                      <w:szCs w:val="21"/>
                    </w:rPr>
                    <w:t>0.0422</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156" w:type="dxa"/>
                  <w:tcBorders>
                    <w:tl2br w:val="nil"/>
                    <w:tr2bl w:val="nil"/>
                  </w:tcBorders>
                  <w:vAlign w:val="center"/>
                </w:tcPr>
                <w:p>
                  <w:pPr>
                    <w:adjustRightInd w:val="0"/>
                    <w:snapToGrid w:val="0"/>
                    <w:spacing w:line="280" w:lineRule="exact"/>
                    <w:jc w:val="center"/>
                    <w:rPr>
                      <w:rFonts w:ascii="Times New Roman" w:hAnsi="Times New Roman"/>
                      <w:sz w:val="21"/>
                      <w:szCs w:val="21"/>
                    </w:rPr>
                  </w:pPr>
                  <w:r>
                    <w:rPr>
                      <w:rFonts w:hint="eastAsia" w:ascii="Times New Roman" w:hAnsi="Times New Roman"/>
                      <w:sz w:val="21"/>
                      <w:szCs w:val="21"/>
                    </w:rPr>
                    <w:t>合计</w:t>
                  </w:r>
                </w:p>
              </w:tc>
              <w:tc>
                <w:tcPr>
                  <w:tcW w:w="2198" w:type="dxa"/>
                  <w:tcBorders>
                    <w:tl2br w:val="nil"/>
                    <w:tr2bl w:val="nil"/>
                  </w:tcBorders>
                  <w:vAlign w:val="center"/>
                </w:tcPr>
                <w:p>
                  <w:pPr>
                    <w:adjustRightInd w:val="0"/>
                    <w:snapToGrid w:val="0"/>
                    <w:spacing w:line="280" w:lineRule="exact"/>
                    <w:jc w:val="center"/>
                    <w:rPr>
                      <w:rFonts w:ascii="Times New Roman" w:hAnsi="Times New Roman"/>
                      <w:sz w:val="21"/>
                      <w:szCs w:val="21"/>
                    </w:rPr>
                  </w:pPr>
                  <w:r>
                    <w:rPr>
                      <w:rFonts w:hint="eastAsia" w:ascii="Times New Roman" w:hAnsi="Times New Roman"/>
                      <w:sz w:val="21"/>
                      <w:szCs w:val="21"/>
                    </w:rPr>
                    <w:t>/</w:t>
                  </w:r>
                </w:p>
              </w:tc>
              <w:tc>
                <w:tcPr>
                  <w:tcW w:w="2189" w:type="dxa"/>
                  <w:tcBorders>
                    <w:tl2br w:val="nil"/>
                    <w:tr2bl w:val="nil"/>
                  </w:tcBorders>
                  <w:vAlign w:val="center"/>
                </w:tcPr>
                <w:p>
                  <w:pPr>
                    <w:adjustRightInd w:val="0"/>
                    <w:snapToGrid w:val="0"/>
                    <w:spacing w:line="280" w:lineRule="exact"/>
                    <w:jc w:val="center"/>
                    <w:rPr>
                      <w:rFonts w:ascii="Times New Roman" w:hAnsi="Times New Roman"/>
                      <w:sz w:val="21"/>
                      <w:szCs w:val="21"/>
                    </w:rPr>
                  </w:pPr>
                  <w:r>
                    <w:rPr>
                      <w:rFonts w:hint="eastAsia" w:ascii="Times New Roman" w:hAnsi="Times New Roman"/>
                      <w:sz w:val="21"/>
                      <w:szCs w:val="21"/>
                    </w:rPr>
                    <w:t>202600</w:t>
                  </w:r>
                </w:p>
              </w:tc>
              <w:tc>
                <w:tcPr>
                  <w:tcW w:w="2186" w:type="dxa"/>
                  <w:tcBorders>
                    <w:tl2br w:val="nil"/>
                    <w:tr2bl w:val="nil"/>
                  </w:tcBorders>
                  <w:vAlign w:val="center"/>
                </w:tcPr>
                <w:p>
                  <w:pPr>
                    <w:adjustRightInd w:val="0"/>
                    <w:snapToGrid w:val="0"/>
                    <w:spacing w:line="280" w:lineRule="exact"/>
                    <w:jc w:val="center"/>
                    <w:rPr>
                      <w:rFonts w:ascii="Times New Roman" w:hAnsi="Times New Roman"/>
                      <w:sz w:val="21"/>
                      <w:szCs w:val="21"/>
                    </w:rPr>
                  </w:pPr>
                  <w:r>
                    <w:rPr>
                      <w:rFonts w:hint="eastAsia" w:ascii="Times New Roman" w:hAnsi="Times New Roman"/>
                      <w:sz w:val="21"/>
                      <w:szCs w:val="21"/>
                    </w:rPr>
                    <w:t>2.5722</w:t>
                  </w:r>
                </w:p>
              </w:tc>
            </w:tr>
          </w:tbl>
          <w:p>
            <w:pPr>
              <w:adjustRightInd w:val="0"/>
              <w:snapToGrid w:val="0"/>
              <w:spacing w:line="440" w:lineRule="exact"/>
              <w:ind w:firstLine="480" w:firstLineChars="200"/>
              <w:rPr>
                <w:rFonts w:ascii="Times New Roman" w:hAnsi="Times New Roman"/>
              </w:rPr>
            </w:pPr>
            <w:r>
              <w:rPr>
                <w:rFonts w:hint="eastAsia" w:ascii="Times New Roman" w:hAnsi="Times New Roman"/>
              </w:rPr>
              <w:t>经计算，堆场装卸产生的扬尘量为W</w:t>
            </w:r>
            <w:r>
              <w:rPr>
                <w:rFonts w:hint="eastAsia" w:ascii="Times New Roman" w:hAnsi="Times New Roman"/>
                <w:vertAlign w:val="subscript"/>
              </w:rPr>
              <w:t>1</w:t>
            </w:r>
            <w:r>
              <w:rPr>
                <w:rFonts w:hint="eastAsia" w:ascii="Times New Roman" w:hAnsi="Times New Roman"/>
              </w:rPr>
              <w:t>=2.5722t/a（0.8574kg/h）。</w:t>
            </w:r>
          </w:p>
          <w:p>
            <w:pPr>
              <w:adjustRightInd w:val="0"/>
              <w:snapToGrid w:val="0"/>
              <w:spacing w:line="440" w:lineRule="exact"/>
              <w:ind w:firstLine="480" w:firstLineChars="200"/>
              <w:rPr>
                <w:rFonts w:ascii="Times New Roman" w:hAnsi="Times New Roman"/>
              </w:rPr>
            </w:pPr>
            <w:r>
              <w:rPr>
                <w:rFonts w:hint="eastAsia" w:ascii="Times New Roman" w:hAnsi="Times New Roman"/>
              </w:rPr>
              <w:t>②风蚀扬尘</w:t>
            </w:r>
          </w:p>
          <w:p>
            <w:pPr>
              <w:adjustRightInd w:val="0"/>
              <w:snapToGrid w:val="0"/>
              <w:spacing w:line="440" w:lineRule="exact"/>
              <w:ind w:firstLine="480" w:firstLineChars="200"/>
              <w:rPr>
                <w:rFonts w:ascii="Times New Roman" w:hAnsi="Times New Roman"/>
              </w:rPr>
            </w:pPr>
            <w:r>
              <w:rPr>
                <w:rFonts w:hint="eastAsia" w:ascii="Times New Roman" w:hAnsi="Times New Roman"/>
              </w:rPr>
              <w:t>经计算，u*=0.26m/s＜</w:t>
            </w:r>
            <w:r>
              <w:rPr>
                <w:rFonts w:ascii="Times New Roman" w:hAnsi="Times New Roman"/>
              </w:rPr>
              <w:t>u</w:t>
            </w:r>
            <w:r>
              <w:rPr>
                <w:rFonts w:hint="eastAsia" w:ascii="Times New Roman" w:hAnsi="Times New Roman"/>
              </w:rPr>
              <w:t>t</w:t>
            </w:r>
            <w:r>
              <w:rPr>
                <w:rFonts w:ascii="Times New Roman" w:hAnsi="Times New Roman"/>
              </w:rPr>
              <w:t>*</w:t>
            </w:r>
            <w:r>
              <w:rPr>
                <w:rFonts w:hint="eastAsia" w:ascii="Times New Roman" w:hAnsi="Times New Roman"/>
              </w:rPr>
              <w:t>，故最大风速潜势pi=0，受到风蚀作用的颗粒物排放系数Ew=0，风蚀扬尘W</w:t>
            </w:r>
            <w:r>
              <w:rPr>
                <w:rFonts w:hint="eastAsia" w:ascii="Times New Roman" w:hAnsi="Times New Roman"/>
                <w:vertAlign w:val="subscript"/>
              </w:rPr>
              <w:t>2</w:t>
            </w:r>
            <w:r>
              <w:rPr>
                <w:rFonts w:hint="eastAsia" w:ascii="Times New Roman" w:hAnsi="Times New Roman"/>
              </w:rPr>
              <w:t>=0。</w:t>
            </w:r>
          </w:p>
          <w:p>
            <w:pPr>
              <w:adjustRightInd w:val="0"/>
              <w:snapToGrid w:val="0"/>
              <w:spacing w:line="440" w:lineRule="exact"/>
              <w:ind w:firstLine="480" w:firstLineChars="200"/>
              <w:rPr>
                <w:rFonts w:ascii="Times New Roman" w:hAnsi="Times New Roman"/>
              </w:rPr>
            </w:pPr>
            <w:r>
              <w:rPr>
                <w:rFonts w:hint="eastAsia" w:ascii="Times New Roman" w:hAnsi="Times New Roman"/>
              </w:rPr>
              <w:t>本项目堆场采取喷雾抑尘，原料为大块状物料，堆场背后靠山，周边设置半围挡，围挡高度约为2m，控制物料堆放高度低于围挡高度可减少风蚀扬尘。查阅大田县气象数据，近二十年静风频率约18.42%，静风频率高，静风条件下不会产生风蚀扬尘；有风条件下，通过原料堆场围挡、顶棚和喷雾抑尘（堆场四周设置10个喷嘴，确保喷雾覆盖整个堆场）等综合措施可有效抑尘，基本不会产生风蚀扬尘。</w:t>
            </w:r>
          </w:p>
          <w:p>
            <w:pPr>
              <w:adjustRightInd w:val="0"/>
              <w:snapToGrid w:val="0"/>
              <w:spacing w:line="440" w:lineRule="exact"/>
              <w:ind w:firstLine="480" w:firstLineChars="200"/>
              <w:rPr>
                <w:rFonts w:ascii="Times New Roman" w:hAnsi="Times New Roman"/>
              </w:rPr>
            </w:pPr>
            <w:r>
              <w:rPr>
                <w:rFonts w:hint="eastAsia" w:ascii="Times New Roman" w:hAnsi="Times New Roman"/>
              </w:rPr>
              <w:t>综上分析，堆场基本不产生风蚀扬尘。</w:t>
            </w:r>
          </w:p>
          <w:p>
            <w:pPr>
              <w:adjustRightInd w:val="0"/>
              <w:snapToGrid w:val="0"/>
              <w:spacing w:line="440" w:lineRule="exact"/>
              <w:ind w:firstLine="480" w:firstLineChars="200"/>
              <w:rPr>
                <w:rFonts w:ascii="Times New Roman" w:hAnsi="Times New Roman"/>
              </w:rPr>
            </w:pPr>
            <w:r>
              <w:rPr>
                <w:rFonts w:hint="eastAsia" w:ascii="宋体" w:hAnsi="宋体"/>
              </w:rPr>
              <w:t>③</w:t>
            </w:r>
            <w:r>
              <w:rPr>
                <w:rFonts w:hint="eastAsia" w:ascii="Times New Roman" w:hAnsi="Times New Roman"/>
              </w:rPr>
              <w:t>小结</w:t>
            </w:r>
          </w:p>
          <w:p>
            <w:pPr>
              <w:adjustRightInd w:val="0"/>
              <w:snapToGrid w:val="0"/>
              <w:spacing w:line="440" w:lineRule="exact"/>
              <w:ind w:firstLine="480" w:firstLineChars="200"/>
              <w:rPr>
                <w:rFonts w:ascii="Times New Roman" w:hAnsi="Times New Roman"/>
              </w:rPr>
            </w:pPr>
            <w:r>
              <w:rPr>
                <w:rFonts w:hint="eastAsia" w:ascii="Times New Roman" w:hAnsi="Times New Roman"/>
              </w:rPr>
              <w:t>堆场扬尘W</w:t>
            </w:r>
            <w:r>
              <w:rPr>
                <w:rFonts w:hint="eastAsia" w:ascii="Times New Roman" w:hAnsi="Times New Roman"/>
                <w:vertAlign w:val="subscript"/>
              </w:rPr>
              <w:t>Y</w:t>
            </w:r>
            <w:r>
              <w:rPr>
                <w:rFonts w:hint="eastAsia" w:ascii="Times New Roman" w:hAnsi="Times New Roman"/>
              </w:rPr>
              <w:t>=W</w:t>
            </w:r>
            <w:r>
              <w:rPr>
                <w:rFonts w:hint="eastAsia" w:ascii="Times New Roman" w:hAnsi="Times New Roman"/>
                <w:vertAlign w:val="subscript"/>
              </w:rPr>
              <w:t>1</w:t>
            </w:r>
            <w:r>
              <w:rPr>
                <w:rFonts w:hint="eastAsia" w:ascii="Times New Roman" w:hAnsi="Times New Roman"/>
              </w:rPr>
              <w:t>+W</w:t>
            </w:r>
            <w:r>
              <w:rPr>
                <w:rFonts w:hint="eastAsia" w:ascii="Times New Roman" w:hAnsi="Times New Roman"/>
                <w:vertAlign w:val="subscript"/>
              </w:rPr>
              <w:t>2</w:t>
            </w:r>
            <w:r>
              <w:rPr>
                <w:rFonts w:hint="eastAsia" w:ascii="Times New Roman" w:hAnsi="Times New Roman"/>
              </w:rPr>
              <w:t>=2.5722t/a。</w:t>
            </w:r>
          </w:p>
          <w:p>
            <w:pPr>
              <w:adjustRightInd w:val="0"/>
              <w:snapToGrid w:val="0"/>
              <w:spacing w:line="440" w:lineRule="exact"/>
              <w:ind w:firstLine="240" w:firstLineChars="100"/>
            </w:pPr>
            <w:r>
              <w:rPr>
                <w:rFonts w:ascii="Times New Roman" w:hAnsi="Times New Roman"/>
              </w:rPr>
              <w:t>（2）</w:t>
            </w:r>
            <w:r>
              <w:rPr>
                <w:rFonts w:hint="eastAsia" w:ascii="Times New Roman" w:hAnsi="Times New Roman"/>
              </w:rPr>
              <w:t>破碎、筛分系统粉尘</w:t>
            </w:r>
          </w:p>
          <w:p>
            <w:pPr>
              <w:pStyle w:val="11"/>
              <w:spacing w:line="440" w:lineRule="exact"/>
              <w:ind w:firstLine="480"/>
              <w:rPr>
                <w:rFonts w:ascii="Times New Roman" w:hAnsi="Times New Roman"/>
              </w:rPr>
            </w:pPr>
            <w:r>
              <w:rPr>
                <w:rFonts w:hint="eastAsia" w:ascii="Times New Roman" w:hAnsi="Times New Roman"/>
              </w:rPr>
              <w:t>本项目物料经过一破、筛分和二破工序处理，会产生粉尘。本项目原料直径较大，粒径大小介于矿渣与砾石（0.2-6cm）之间，</w:t>
            </w:r>
            <w:r>
              <w:rPr>
                <w:rFonts w:ascii="Times New Roman" w:hAnsi="Times New Roman"/>
              </w:rPr>
              <w:t>根据《逸散性工业粉尘控制技术》(中国环境科学出版社，1989.12，J.A.奥里蒙等编著，张良璧等编译)中粒料加工厂逸散尘的排放因子表18-1</w:t>
            </w:r>
            <w:r>
              <w:rPr>
                <w:rFonts w:hint="eastAsia" w:ascii="Times New Roman" w:hAnsi="Times New Roman"/>
              </w:rPr>
              <w:t>，本项目一破、筛分工序粉尘排放因子取0.15kg/t-破碎料。</w:t>
            </w:r>
            <w:r>
              <w:rPr>
                <w:rFonts w:ascii="Times New Roman" w:hAnsi="Times New Roman"/>
              </w:rPr>
              <w:t>本项目原料总量</w:t>
            </w:r>
            <w:r>
              <w:rPr>
                <w:rFonts w:hint="eastAsia" w:ascii="Times New Roman" w:hAnsi="Times New Roman"/>
              </w:rPr>
              <w:t>100000</w:t>
            </w:r>
            <w:r>
              <w:rPr>
                <w:rFonts w:ascii="Times New Roman" w:hAnsi="Times New Roman"/>
              </w:rPr>
              <w:t>t/a</w:t>
            </w:r>
            <w:r>
              <w:rPr>
                <w:rFonts w:hint="eastAsia" w:ascii="Times New Roman" w:hAnsi="Times New Roman"/>
              </w:rPr>
              <w:t>，则一次破碎、筛分的粉尘产生量为15t/a。</w:t>
            </w:r>
          </w:p>
          <w:p>
            <w:pPr>
              <w:pStyle w:val="11"/>
              <w:spacing w:line="440" w:lineRule="exact"/>
              <w:ind w:firstLine="480"/>
              <w:rPr>
                <w:rFonts w:ascii="Times New Roman" w:hAnsi="Times New Roman"/>
              </w:rPr>
            </w:pPr>
            <w:r>
              <w:rPr>
                <w:rFonts w:hint="eastAsia" w:ascii="Times New Roman" w:hAnsi="Times New Roman"/>
              </w:rPr>
              <w:t>本项目一次筛分后的物料进行二破，不经过二次筛选，根据</w:t>
            </w:r>
            <w:r>
              <w:rPr>
                <w:rFonts w:ascii="Times New Roman" w:hAnsi="Times New Roman"/>
              </w:rPr>
              <w:t>《逸散性工业粉尘控制技术》</w:t>
            </w:r>
            <w:r>
              <w:rPr>
                <w:rFonts w:hint="eastAsia" w:ascii="Times New Roman" w:hAnsi="Times New Roman"/>
              </w:rPr>
              <w:t>说明，砾石原</w:t>
            </w:r>
            <w:r>
              <w:rPr>
                <w:rFonts w:hint="eastAsia" w:ascii="Times New Roman" w:hAnsi="Times New Roman"/>
                <w:highlight w:val="none"/>
              </w:rPr>
              <w:t>料本身带水，故粉尘排放量少。进入二破的物料表面带有一破、一筛的喷淋水，粒径</w:t>
            </w:r>
            <w:r>
              <w:rPr>
                <w:rFonts w:hint="eastAsia" w:ascii="宋体" w:hAnsi="宋体"/>
                <w:highlight w:val="none"/>
              </w:rPr>
              <w:t>≥</w:t>
            </w:r>
            <w:r>
              <w:rPr>
                <w:rFonts w:hint="eastAsia" w:ascii="Times New Roman" w:hAnsi="Times New Roman"/>
                <w:highlight w:val="none"/>
              </w:rPr>
              <w:t>3cm（接近砾石粒径），且</w:t>
            </w:r>
            <w:r>
              <w:rPr>
                <w:rFonts w:hint="eastAsia" w:ascii="Times New Roman" w:hAnsi="Times New Roman"/>
              </w:rPr>
              <w:t>二破过程采取喷淋抑尘，故二破的排放因子参照砾石排放因子0.05kg/t破碎料。进入二破的物料料量约为40000t/a，</w:t>
            </w:r>
            <w:r>
              <w:rPr>
                <w:rFonts w:ascii="Times New Roman" w:hAnsi="Times New Roman"/>
              </w:rPr>
              <w:t>则</w:t>
            </w:r>
            <w:r>
              <w:rPr>
                <w:rFonts w:hint="eastAsia" w:ascii="Times New Roman" w:hAnsi="Times New Roman"/>
              </w:rPr>
              <w:t>二</w:t>
            </w:r>
            <w:r>
              <w:rPr>
                <w:rFonts w:ascii="Times New Roman" w:hAnsi="Times New Roman"/>
              </w:rPr>
              <w:t>破粉尘产生量</w:t>
            </w:r>
            <w:r>
              <w:rPr>
                <w:rFonts w:hint="eastAsia" w:ascii="Times New Roman" w:hAnsi="Times New Roman"/>
              </w:rPr>
              <w:t>2</w:t>
            </w:r>
            <w:r>
              <w:rPr>
                <w:rFonts w:ascii="Times New Roman" w:hAnsi="Times New Roman"/>
              </w:rPr>
              <w:t>t/a</w:t>
            </w:r>
            <w:r>
              <w:rPr>
                <w:rFonts w:hint="eastAsia" w:ascii="Times New Roman" w:hAnsi="Times New Roman"/>
              </w:rPr>
              <w:t>。</w:t>
            </w:r>
          </w:p>
          <w:p>
            <w:pPr>
              <w:pStyle w:val="11"/>
              <w:spacing w:line="440" w:lineRule="exact"/>
              <w:ind w:firstLine="480"/>
              <w:rPr>
                <w:rFonts w:ascii="Times New Roman" w:hAnsi="Times New Roman"/>
              </w:rPr>
            </w:pPr>
            <w:r>
              <w:rPr>
                <w:rFonts w:ascii="Times New Roman" w:hAnsi="Times New Roman"/>
              </w:rPr>
              <w:t>抑尘措施：破碎机、</w:t>
            </w:r>
            <w:r>
              <w:rPr>
                <w:rFonts w:hint="eastAsia" w:ascii="Times New Roman" w:hAnsi="Times New Roman"/>
              </w:rPr>
              <w:t>振动筛</w:t>
            </w:r>
            <w:r>
              <w:rPr>
                <w:rFonts w:ascii="Times New Roman" w:hAnsi="Times New Roman"/>
              </w:rPr>
              <w:t>采取围挡及水喷淋措施抑尘，在破碎机进料口上方、设备内和振动筛上方分别设置喷淋水管</w:t>
            </w:r>
            <w:r>
              <w:rPr>
                <w:rFonts w:hint="eastAsia" w:ascii="Times New Roman" w:hAnsi="Times New Roman"/>
              </w:rPr>
              <w:t>。为保证有效抑尘，初破喷淋水量为0.02m</w:t>
            </w:r>
            <w:r>
              <w:rPr>
                <w:rFonts w:hint="eastAsia" w:ascii="Times New Roman" w:hAnsi="Times New Roman"/>
                <w:vertAlign w:val="superscript"/>
              </w:rPr>
              <w:t>3</w:t>
            </w:r>
            <w:r>
              <w:rPr>
                <w:rFonts w:hint="eastAsia" w:ascii="Times New Roman" w:hAnsi="Times New Roman"/>
              </w:rPr>
              <w:t>/t物料，保证物料表层含水率10%以上；后续筛分及二破可减少喷淋水量，喷淋水量为0.002m</w:t>
            </w:r>
            <w:r>
              <w:rPr>
                <w:rFonts w:hint="eastAsia" w:ascii="Times New Roman" w:hAnsi="Times New Roman"/>
                <w:vertAlign w:val="superscript"/>
              </w:rPr>
              <w:t>3</w:t>
            </w:r>
            <w:r>
              <w:rPr>
                <w:rFonts w:hint="eastAsia" w:ascii="Times New Roman" w:hAnsi="Times New Roman"/>
              </w:rPr>
              <w:t>/t物料，0.001m</w:t>
            </w:r>
            <w:r>
              <w:rPr>
                <w:rFonts w:hint="eastAsia" w:ascii="Times New Roman" w:hAnsi="Times New Roman"/>
                <w:vertAlign w:val="superscript"/>
              </w:rPr>
              <w:t>3</w:t>
            </w:r>
            <w:r>
              <w:rPr>
                <w:rFonts w:hint="eastAsia" w:ascii="Times New Roman" w:hAnsi="Times New Roman"/>
              </w:rPr>
              <w:t>/t物料。</w:t>
            </w:r>
            <w:r>
              <w:rPr>
                <w:rFonts w:ascii="Times New Roman" w:hAnsi="Times New Roman"/>
              </w:rPr>
              <w:t>喷淋水管朝向破碎及筛分作业区，并与破碎作业端及筛面保持一定距离，保证喷淋水能覆盖破碎、筛分作业区</w:t>
            </w:r>
            <w:r>
              <w:rPr>
                <w:rFonts w:hint="eastAsia" w:ascii="Times New Roman" w:hAnsi="Times New Roman"/>
              </w:rPr>
              <w:t>。</w:t>
            </w:r>
          </w:p>
          <w:p>
            <w:pPr>
              <w:pStyle w:val="11"/>
              <w:spacing w:line="440" w:lineRule="exact"/>
              <w:ind w:firstLine="480"/>
              <w:rPr>
                <w:rFonts w:ascii="Times New Roman" w:hAnsi="Times New Roman"/>
              </w:rPr>
            </w:pPr>
            <w:r>
              <w:rPr>
                <w:rFonts w:hint="eastAsia" w:ascii="Times New Roman" w:hAnsi="Times New Roman"/>
              </w:rPr>
              <w:t>根据《固体物料堆存颗粒物产排污核算系数手册》，水喷淋抑尘及围挡措施对粉尘的控制效率分别可以达到74%、60%。综合考虑，在破碎、筛分过程采取围挡、水喷淋抑尘的措施下，对粉尘的控制效率可达到90%，</w:t>
            </w:r>
            <w:r>
              <w:rPr>
                <w:rFonts w:ascii="Times New Roman" w:hAnsi="Times New Roman"/>
              </w:rPr>
              <w:t>则破碎、筛分</w:t>
            </w:r>
            <w:r>
              <w:rPr>
                <w:rFonts w:hint="eastAsia" w:ascii="Times New Roman" w:hAnsi="Times New Roman"/>
              </w:rPr>
              <w:t>系统</w:t>
            </w:r>
            <w:r>
              <w:rPr>
                <w:rFonts w:ascii="Times New Roman" w:hAnsi="Times New Roman"/>
              </w:rPr>
              <w:t>的粉尘排放量为</w:t>
            </w:r>
            <w:r>
              <w:rPr>
                <w:rFonts w:hint="eastAsia" w:ascii="Times New Roman" w:hAnsi="Times New Roman"/>
              </w:rPr>
              <w:t>1.7</w:t>
            </w:r>
            <w:r>
              <w:rPr>
                <w:rFonts w:ascii="Times New Roman" w:hAnsi="Times New Roman"/>
              </w:rPr>
              <w:t>t/a</w:t>
            </w:r>
            <w:r>
              <w:rPr>
                <w:rFonts w:hint="eastAsia" w:ascii="Times New Roman" w:hAnsi="Times New Roman"/>
              </w:rPr>
              <w:t>，即0.57kg/h</w:t>
            </w:r>
            <w:r>
              <w:rPr>
                <w:rFonts w:ascii="Times New Roman" w:hAnsi="Times New Roman"/>
              </w:rPr>
              <w:t>。</w:t>
            </w:r>
          </w:p>
          <w:p>
            <w:pPr>
              <w:pStyle w:val="11"/>
              <w:spacing w:line="440" w:lineRule="exact"/>
              <w:ind w:firstLine="480"/>
              <w:rPr>
                <w:rFonts w:ascii="Times New Roman" w:hAnsi="Times New Roman"/>
              </w:rPr>
            </w:pPr>
            <w:r>
              <w:rPr>
                <w:rFonts w:hint="eastAsia" w:ascii="Times New Roman" w:hAnsi="Times New Roman"/>
              </w:rPr>
              <w:t>（3）</w:t>
            </w:r>
            <w:r>
              <w:rPr>
                <w:rFonts w:ascii="Times New Roman" w:hAnsi="Times New Roman"/>
              </w:rPr>
              <w:t>车辆运输行驶扬尘</w:t>
            </w:r>
          </w:p>
          <w:p>
            <w:pPr>
              <w:pStyle w:val="11"/>
              <w:spacing w:line="440" w:lineRule="exact"/>
              <w:ind w:firstLine="480"/>
              <w:rPr>
                <w:rFonts w:ascii="Times New Roman" w:hAnsi="Times New Roman"/>
              </w:rPr>
            </w:pPr>
            <w:r>
              <w:rPr>
                <w:rFonts w:ascii="Times New Roman" w:hAnsi="Times New Roman"/>
              </w:rPr>
              <w:t>项目的主要运输工具有铲车等，在运输过程中不可避免地要产生扬尘，特别是当气候条件不利时，扬尘现象就更严重。项目运输起尘采用下述公式进行计算：</w:t>
            </w:r>
          </w:p>
          <w:p>
            <w:pPr>
              <w:pStyle w:val="11"/>
              <w:ind w:firstLine="480"/>
              <w:rPr>
                <w:rFonts w:ascii="Times New Roman" w:hAnsi="Times New Roman"/>
              </w:rPr>
            </w:pPr>
            <w:r>
              <w:rPr>
                <w:rFonts w:ascii="Times New Roman" w:hAnsi="Times New Roman"/>
              </w:rPr>
              <w:drawing>
                <wp:inline distT="0" distB="0" distL="0" distR="0">
                  <wp:extent cx="2087880" cy="414020"/>
                  <wp:effectExtent l="0" t="0" r="0" b="12700"/>
                  <wp:docPr id="84397627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3976277" name="图片 3"/>
                          <pic:cNvPicPr>
                            <a:picLocks noChangeAspect="1" noChangeArrowheads="1"/>
                          </pic:cNvPicPr>
                        </pic:nvPicPr>
                        <pic:blipFill>
                          <a:blip r:embed="rId19" cstate="print">
                            <a:extLst>
                              <a:ext uri="{28A0092B-C50C-407E-A947-70E740481C1C}">
                                <a14:useLocalDpi xmlns:a14="http://schemas.microsoft.com/office/drawing/2010/main" val="0"/>
                              </a:ext>
                            </a:extLst>
                          </a:blip>
                          <a:srcRect b="51111"/>
                          <a:stretch>
                            <a:fillRect/>
                          </a:stretch>
                        </pic:blipFill>
                        <pic:spPr>
                          <a:xfrm>
                            <a:off x="0" y="0"/>
                            <a:ext cx="2087880" cy="414020"/>
                          </a:xfrm>
                          <a:prstGeom prst="rect">
                            <a:avLst/>
                          </a:prstGeom>
                          <a:noFill/>
                          <a:ln>
                            <a:noFill/>
                          </a:ln>
                        </pic:spPr>
                      </pic:pic>
                    </a:graphicData>
                  </a:graphic>
                </wp:inline>
              </w:drawing>
            </w:r>
          </w:p>
          <w:p>
            <w:pPr>
              <w:pStyle w:val="11"/>
              <w:ind w:firstLine="480"/>
              <w:rPr>
                <w:rFonts w:ascii="Times New Roman" w:hAnsi="Times New Roman"/>
              </w:rPr>
            </w:pPr>
            <w:r>
              <w:rPr>
                <w:rFonts w:ascii="Times New Roman" w:hAnsi="Times New Roman"/>
              </w:rPr>
              <w:drawing>
                <wp:inline distT="0" distB="0" distL="0" distR="0">
                  <wp:extent cx="1975485" cy="379730"/>
                  <wp:effectExtent l="0" t="0" r="0" b="0"/>
                  <wp:docPr id="548182037"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8182037" name="图片 4"/>
                          <pic:cNvPicPr>
                            <a:picLocks noChangeAspect="1" noChangeArrowheads="1"/>
                          </pic:cNvPicPr>
                        </pic:nvPicPr>
                        <pic:blipFill>
                          <a:blip r:embed="rId19" cstate="print">
                            <a:extLst>
                              <a:ext uri="{28A0092B-C50C-407E-A947-70E740481C1C}">
                                <a14:useLocalDpi xmlns:a14="http://schemas.microsoft.com/office/drawing/2010/main" val="0"/>
                              </a:ext>
                            </a:extLst>
                          </a:blip>
                          <a:srcRect t="53055"/>
                          <a:stretch>
                            <a:fillRect/>
                          </a:stretch>
                        </pic:blipFill>
                        <pic:spPr>
                          <a:xfrm>
                            <a:off x="0" y="0"/>
                            <a:ext cx="1975485" cy="379730"/>
                          </a:xfrm>
                          <a:prstGeom prst="rect">
                            <a:avLst/>
                          </a:prstGeom>
                          <a:noFill/>
                          <a:ln>
                            <a:noFill/>
                          </a:ln>
                        </pic:spPr>
                      </pic:pic>
                    </a:graphicData>
                  </a:graphic>
                </wp:inline>
              </w:drawing>
            </w:r>
          </w:p>
          <w:p>
            <w:pPr>
              <w:pStyle w:val="11"/>
              <w:spacing w:line="440" w:lineRule="exact"/>
              <w:ind w:firstLine="480"/>
              <w:rPr>
                <w:rFonts w:ascii="Times New Roman" w:hAnsi="Times New Roman"/>
              </w:rPr>
            </w:pPr>
            <w:r>
              <w:rPr>
                <w:rFonts w:ascii="Times New Roman" w:hAnsi="Times New Roman"/>
              </w:rPr>
              <w:t>式中：Qy ——交通运输起尘量，kg/km·辆；</w:t>
            </w:r>
          </w:p>
          <w:p>
            <w:pPr>
              <w:pStyle w:val="11"/>
              <w:spacing w:line="440" w:lineRule="exact"/>
              <w:ind w:firstLine="1200" w:firstLineChars="500"/>
              <w:rPr>
                <w:rFonts w:ascii="Times New Roman" w:hAnsi="Times New Roman"/>
              </w:rPr>
            </w:pPr>
            <w:r>
              <w:rPr>
                <w:rFonts w:ascii="Times New Roman" w:hAnsi="Times New Roman"/>
              </w:rPr>
              <w:t>Qt ——运输途中起尘量，</w:t>
            </w:r>
            <w:r>
              <w:rPr>
                <w:rFonts w:hint="eastAsia" w:ascii="Times New Roman" w:hAnsi="Times New Roman"/>
              </w:rPr>
              <w:t>kg</w:t>
            </w:r>
            <w:r>
              <w:rPr>
                <w:rFonts w:ascii="Times New Roman" w:hAnsi="Times New Roman"/>
              </w:rPr>
              <w:t>/a；</w:t>
            </w:r>
          </w:p>
          <w:p>
            <w:pPr>
              <w:pStyle w:val="11"/>
              <w:spacing w:line="440" w:lineRule="exact"/>
              <w:ind w:firstLine="1200" w:firstLineChars="500"/>
              <w:rPr>
                <w:rFonts w:ascii="Times New Roman" w:hAnsi="Times New Roman"/>
              </w:rPr>
            </w:pPr>
            <w:r>
              <w:rPr>
                <w:rFonts w:ascii="Times New Roman" w:hAnsi="Times New Roman"/>
              </w:rPr>
              <w:t>V ——车辆行驶速度，km/h；取 15km/h；</w:t>
            </w:r>
          </w:p>
          <w:p>
            <w:pPr>
              <w:pStyle w:val="11"/>
              <w:spacing w:line="440" w:lineRule="exact"/>
              <w:ind w:firstLine="1200" w:firstLineChars="500"/>
              <w:rPr>
                <w:rFonts w:ascii="Times New Roman" w:hAnsi="Times New Roman"/>
              </w:rPr>
            </w:pPr>
            <w:r>
              <w:rPr>
                <w:rFonts w:ascii="Times New Roman" w:hAnsi="Times New Roman"/>
              </w:rPr>
              <w:t>P ——路面状况，以每平方米路面灰尘覆盖率表示，kg/m</w:t>
            </w:r>
            <w:r>
              <w:rPr>
                <w:rFonts w:ascii="Times New Roman" w:hAnsi="Times New Roman"/>
                <w:vertAlign w:val="superscript"/>
              </w:rPr>
              <w:t>2</w:t>
            </w:r>
            <w:r>
              <w:rPr>
                <w:rFonts w:ascii="Times New Roman" w:hAnsi="Times New Roman"/>
              </w:rPr>
              <w:t>；取 0.01 kg/m</w:t>
            </w:r>
            <w:r>
              <w:rPr>
                <w:rFonts w:ascii="Times New Roman" w:hAnsi="Times New Roman"/>
                <w:vertAlign w:val="superscript"/>
              </w:rPr>
              <w:t>2</w:t>
            </w:r>
          </w:p>
          <w:p>
            <w:pPr>
              <w:pStyle w:val="11"/>
              <w:spacing w:line="440" w:lineRule="exact"/>
              <w:ind w:firstLine="1200" w:firstLineChars="500"/>
              <w:rPr>
                <w:rFonts w:ascii="Times New Roman" w:hAnsi="Times New Roman"/>
              </w:rPr>
            </w:pPr>
            <w:r>
              <w:rPr>
                <w:rFonts w:ascii="Times New Roman" w:hAnsi="Times New Roman"/>
              </w:rPr>
              <w:t>M ——车辆载重，t/辆；取30t/辆；</w:t>
            </w:r>
          </w:p>
          <w:p>
            <w:pPr>
              <w:pStyle w:val="11"/>
              <w:spacing w:line="440" w:lineRule="exact"/>
              <w:ind w:firstLine="1200" w:firstLineChars="500"/>
              <w:rPr>
                <w:rFonts w:ascii="Times New Roman" w:hAnsi="Times New Roman"/>
              </w:rPr>
            </w:pPr>
            <w:r>
              <w:rPr>
                <w:rFonts w:ascii="Times New Roman" w:hAnsi="Times New Roman"/>
              </w:rPr>
              <w:t>L ——运输距离，km；单车在厂内的运输距离取；0.2km</w:t>
            </w:r>
          </w:p>
          <w:p>
            <w:pPr>
              <w:pStyle w:val="11"/>
              <w:spacing w:line="440" w:lineRule="exact"/>
              <w:ind w:firstLine="1200" w:firstLineChars="500"/>
              <w:rPr>
                <w:rFonts w:ascii="Times New Roman" w:hAnsi="Times New Roman"/>
              </w:rPr>
            </w:pPr>
            <w:r>
              <w:rPr>
                <w:rFonts w:ascii="Times New Roman" w:hAnsi="Times New Roman"/>
              </w:rPr>
              <w:t>Q ——运输量，t/a。</w:t>
            </w:r>
            <w:r>
              <w:rPr>
                <w:rFonts w:hint="eastAsia" w:ascii="Times New Roman" w:hAnsi="Times New Roman"/>
              </w:rPr>
              <w:t>原料运输通过厂区北侧外道路卸入原料堆场，原料运输车辆不经过厂区道路，运输量仅需考虑产品及尾渣运输，</w:t>
            </w:r>
            <w:r>
              <w:rPr>
                <w:rFonts w:ascii="Times New Roman" w:hAnsi="Times New Roman"/>
              </w:rPr>
              <w:t>产品</w:t>
            </w:r>
            <w:r>
              <w:rPr>
                <w:rFonts w:hint="eastAsia" w:ascii="Times New Roman" w:hAnsi="Times New Roman"/>
              </w:rPr>
              <w:t>及尾渣运输量为10</w:t>
            </w:r>
            <w:r>
              <w:rPr>
                <w:rFonts w:ascii="Times New Roman" w:hAnsi="Times New Roman"/>
              </w:rPr>
              <w:t>万t/a</w:t>
            </w:r>
            <w:r>
              <w:rPr>
                <w:rFonts w:hint="eastAsia" w:ascii="Times New Roman" w:hAnsi="Times New Roman"/>
              </w:rPr>
              <w:t>。</w:t>
            </w:r>
          </w:p>
          <w:p>
            <w:pPr>
              <w:pStyle w:val="11"/>
              <w:spacing w:line="440" w:lineRule="exact"/>
              <w:ind w:firstLine="480"/>
              <w:rPr>
                <w:rFonts w:ascii="Times New Roman" w:hAnsi="Times New Roman"/>
              </w:rPr>
            </w:pPr>
            <w:r>
              <w:rPr>
                <w:rFonts w:ascii="Times New Roman" w:hAnsi="Times New Roman"/>
              </w:rPr>
              <w:t>运输起尘量计算可知，厂区（</w:t>
            </w:r>
            <w:r>
              <w:rPr>
                <w:rFonts w:hint="eastAsia" w:ascii="Times New Roman" w:hAnsi="Times New Roman"/>
              </w:rPr>
              <w:t>往返</w:t>
            </w:r>
            <w:r>
              <w:rPr>
                <w:rFonts w:ascii="Times New Roman" w:hAnsi="Times New Roman"/>
              </w:rPr>
              <w:t>运距</w:t>
            </w:r>
            <w:r>
              <w:rPr>
                <w:rFonts w:hint="eastAsia" w:ascii="Times New Roman" w:hAnsi="Times New Roman"/>
              </w:rPr>
              <w:t>最大</w:t>
            </w:r>
            <w:r>
              <w:rPr>
                <w:rFonts w:ascii="Times New Roman" w:hAnsi="Times New Roman"/>
              </w:rPr>
              <w:t>200m）运输起尘量约为0.1t/a，</w:t>
            </w:r>
            <w:r>
              <w:rPr>
                <w:rFonts w:hint="eastAsia" w:ascii="Times New Roman" w:hAnsi="Times New Roman"/>
              </w:rPr>
              <w:t>运输过程采取洒水抑尘</w:t>
            </w:r>
            <w:r>
              <w:rPr>
                <w:rFonts w:ascii="Times New Roman" w:hAnsi="Times New Roman"/>
              </w:rPr>
              <w:t>，</w:t>
            </w:r>
            <w:r>
              <w:rPr>
                <w:rFonts w:hint="eastAsia" w:ascii="Times New Roman" w:hAnsi="Times New Roman"/>
              </w:rPr>
              <w:t>洒水量为1.5L/m</w:t>
            </w:r>
            <w:r>
              <w:rPr>
                <w:rFonts w:hint="eastAsia" w:ascii="Times New Roman" w:hAnsi="Times New Roman"/>
                <w:vertAlign w:val="superscript"/>
              </w:rPr>
              <w:t>2</w:t>
            </w:r>
            <w:r>
              <w:rPr>
                <w:rFonts w:hint="eastAsia" w:ascii="Times New Roman" w:hAnsi="Times New Roman"/>
              </w:rPr>
              <w:t>·次，每天洒水三次。通过洒水抑尘，</w:t>
            </w:r>
            <w:r>
              <w:rPr>
                <w:rFonts w:ascii="Times New Roman" w:hAnsi="Times New Roman"/>
              </w:rPr>
              <w:t>可减少70%以上的粉尘，则车辆运输行驶扬尘产生量约0.03t/a</w:t>
            </w:r>
            <w:r>
              <w:rPr>
                <w:rFonts w:hint="eastAsia" w:ascii="Times New Roman" w:hAnsi="Times New Roman"/>
              </w:rPr>
              <w:t>，即0.01kg/h。</w:t>
            </w:r>
          </w:p>
          <w:p>
            <w:pPr>
              <w:pStyle w:val="11"/>
              <w:spacing w:line="440" w:lineRule="exact"/>
              <w:ind w:firstLine="480"/>
              <w:rPr>
                <w:rFonts w:ascii="Times New Roman" w:hAnsi="Times New Roman"/>
              </w:rPr>
            </w:pPr>
            <w:r>
              <w:rPr>
                <w:rFonts w:hint="eastAsia" w:ascii="Times New Roman" w:hAnsi="Times New Roman"/>
              </w:rPr>
              <w:t>（4）粉尘</w:t>
            </w:r>
            <w:r>
              <w:rPr>
                <w:rFonts w:ascii="Times New Roman" w:hAnsi="Times New Roman"/>
              </w:rPr>
              <w:t>排放汇总</w:t>
            </w:r>
          </w:p>
          <w:p>
            <w:pPr>
              <w:pStyle w:val="11"/>
              <w:spacing w:line="440" w:lineRule="exact"/>
              <w:ind w:firstLine="480"/>
              <w:rPr>
                <w:rFonts w:ascii="Times New Roman" w:hAnsi="Times New Roman"/>
              </w:rPr>
            </w:pPr>
            <w:r>
              <w:rPr>
                <w:rFonts w:hint="eastAsia" w:ascii="Times New Roman" w:hAnsi="Times New Roman"/>
              </w:rPr>
              <w:t>本项目粉尘无组织排放汇总见下表：</w:t>
            </w:r>
          </w:p>
          <w:p>
            <w:pPr>
              <w:pStyle w:val="34"/>
              <w:spacing w:before="120" w:line="440" w:lineRule="exact"/>
              <w:ind w:firstLine="422"/>
              <w:rPr>
                <w:rFonts w:ascii="Times New Roman" w:hAnsi="Times New Roman"/>
                <w:b/>
                <w:bCs/>
                <w:sz w:val="21"/>
                <w:szCs w:val="21"/>
              </w:rPr>
            </w:pPr>
            <w:bookmarkStart w:id="13" w:name="_Ref85128790"/>
          </w:p>
          <w:p>
            <w:pPr>
              <w:pStyle w:val="34"/>
              <w:spacing w:before="120" w:line="440" w:lineRule="exact"/>
              <w:ind w:firstLine="422"/>
              <w:rPr>
                <w:rFonts w:ascii="Times New Roman" w:hAnsi="Times New Roman"/>
                <w:b/>
                <w:bCs/>
                <w:sz w:val="21"/>
                <w:szCs w:val="21"/>
              </w:rPr>
            </w:pPr>
            <w:r>
              <w:rPr>
                <w:rFonts w:ascii="Times New Roman" w:hAnsi="Times New Roman"/>
                <w:b/>
                <w:bCs/>
                <w:sz w:val="21"/>
                <w:szCs w:val="21"/>
              </w:rPr>
              <w:t>表4.2-</w:t>
            </w:r>
            <w:r>
              <w:rPr>
                <w:rFonts w:hint="eastAsia" w:ascii="Times New Roman" w:hAnsi="Times New Roman"/>
                <w:b/>
                <w:bCs/>
                <w:sz w:val="21"/>
                <w:szCs w:val="21"/>
              </w:rPr>
              <w:t>3</w:t>
            </w:r>
            <w:r>
              <w:rPr>
                <w:rFonts w:ascii="Times New Roman" w:hAnsi="Times New Roman"/>
                <w:b/>
                <w:bCs/>
                <w:sz w:val="21"/>
                <w:szCs w:val="21"/>
              </w:rPr>
              <w:t xml:space="preserve">  项目无组织</w:t>
            </w:r>
            <w:bookmarkEnd w:id="13"/>
            <w:r>
              <w:rPr>
                <w:rFonts w:ascii="Times New Roman" w:hAnsi="Times New Roman"/>
                <w:b/>
                <w:bCs/>
                <w:sz w:val="21"/>
                <w:szCs w:val="21"/>
              </w:rPr>
              <w:t>粉尘排放情况汇总表</w:t>
            </w:r>
          </w:p>
          <w:tbl>
            <w:tblPr>
              <w:tblStyle w:val="25"/>
              <w:tblW w:w="0" w:type="auto"/>
              <w:jc w:val="center"/>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Layout w:type="autofit"/>
              <w:tblCellMar>
                <w:top w:w="0" w:type="dxa"/>
                <w:left w:w="0" w:type="dxa"/>
                <w:bottom w:w="0" w:type="dxa"/>
                <w:right w:w="0" w:type="dxa"/>
              </w:tblCellMar>
            </w:tblPr>
            <w:tblGrid>
              <w:gridCol w:w="1679"/>
              <w:gridCol w:w="1232"/>
              <w:gridCol w:w="747"/>
              <w:gridCol w:w="1040"/>
              <w:gridCol w:w="980"/>
              <w:gridCol w:w="3056"/>
            </w:tblGrid>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0" w:type="dxa"/>
                  <w:bottom w:w="0" w:type="dxa"/>
                  <w:right w:w="0" w:type="dxa"/>
                </w:tblCellMar>
              </w:tblPrEx>
              <w:trPr>
                <w:trHeight w:val="340" w:hRule="atLeast"/>
                <w:jc w:val="center"/>
              </w:trPr>
              <w:tc>
                <w:tcPr>
                  <w:tcW w:w="0" w:type="auto"/>
                  <w:vAlign w:val="center"/>
                </w:tcPr>
                <w:p>
                  <w:pPr>
                    <w:pStyle w:val="72"/>
                    <w:jc w:val="center"/>
                    <w:rPr>
                      <w:sz w:val="21"/>
                      <w:szCs w:val="21"/>
                    </w:rPr>
                  </w:pPr>
                  <w:r>
                    <w:rPr>
                      <w:rFonts w:hint="eastAsia"/>
                      <w:sz w:val="21"/>
                      <w:szCs w:val="21"/>
                    </w:rPr>
                    <w:t>污染源</w:t>
                  </w:r>
                </w:p>
              </w:tc>
              <w:tc>
                <w:tcPr>
                  <w:tcW w:w="0" w:type="auto"/>
                  <w:vAlign w:val="center"/>
                </w:tcPr>
                <w:p>
                  <w:pPr>
                    <w:pStyle w:val="72"/>
                    <w:jc w:val="center"/>
                    <w:rPr>
                      <w:sz w:val="21"/>
                      <w:szCs w:val="21"/>
                    </w:rPr>
                  </w:pPr>
                  <w:r>
                    <w:rPr>
                      <w:rFonts w:hint="eastAsia"/>
                      <w:sz w:val="21"/>
                      <w:szCs w:val="21"/>
                    </w:rPr>
                    <w:t>产污环节</w:t>
                  </w:r>
                </w:p>
              </w:tc>
              <w:tc>
                <w:tcPr>
                  <w:tcW w:w="747" w:type="dxa"/>
                  <w:vAlign w:val="center"/>
                </w:tcPr>
                <w:p>
                  <w:pPr>
                    <w:pStyle w:val="72"/>
                    <w:jc w:val="center"/>
                    <w:rPr>
                      <w:sz w:val="21"/>
                      <w:szCs w:val="21"/>
                    </w:rPr>
                  </w:pPr>
                  <w:r>
                    <w:rPr>
                      <w:sz w:val="21"/>
                      <w:szCs w:val="21"/>
                    </w:rPr>
                    <w:t>污染物</w:t>
                  </w:r>
                </w:p>
              </w:tc>
              <w:tc>
                <w:tcPr>
                  <w:tcW w:w="1040" w:type="dxa"/>
                  <w:vAlign w:val="center"/>
                </w:tcPr>
                <w:p>
                  <w:pPr>
                    <w:pStyle w:val="72"/>
                    <w:jc w:val="center"/>
                    <w:rPr>
                      <w:sz w:val="21"/>
                      <w:szCs w:val="21"/>
                    </w:rPr>
                  </w:pPr>
                  <w:r>
                    <w:rPr>
                      <w:rFonts w:hint="eastAsia"/>
                      <w:spacing w:val="-1"/>
                      <w:sz w:val="21"/>
                      <w:szCs w:val="21"/>
                    </w:rPr>
                    <w:t>排放速率</w:t>
                  </w:r>
                  <w:r>
                    <w:rPr>
                      <w:spacing w:val="-1"/>
                      <w:sz w:val="21"/>
                      <w:szCs w:val="21"/>
                    </w:rPr>
                    <w:t>(</w:t>
                  </w:r>
                  <w:r>
                    <w:rPr>
                      <w:rFonts w:hint="eastAsia"/>
                      <w:spacing w:val="-1"/>
                      <w:sz w:val="21"/>
                      <w:szCs w:val="21"/>
                    </w:rPr>
                    <w:t>kg/h</w:t>
                  </w:r>
                  <w:r>
                    <w:rPr>
                      <w:spacing w:val="-1"/>
                      <w:sz w:val="21"/>
                      <w:szCs w:val="21"/>
                    </w:rPr>
                    <w:t>)</w:t>
                  </w:r>
                </w:p>
              </w:tc>
              <w:tc>
                <w:tcPr>
                  <w:tcW w:w="4036" w:type="dxa"/>
                  <w:gridSpan w:val="2"/>
                  <w:vAlign w:val="center"/>
                </w:tcPr>
                <w:p>
                  <w:pPr>
                    <w:pStyle w:val="72"/>
                    <w:jc w:val="center"/>
                    <w:rPr>
                      <w:sz w:val="21"/>
                      <w:szCs w:val="21"/>
                    </w:rPr>
                  </w:pPr>
                  <w:r>
                    <w:rPr>
                      <w:rFonts w:hint="eastAsia"/>
                      <w:spacing w:val="-1"/>
                      <w:sz w:val="21"/>
                      <w:szCs w:val="21"/>
                    </w:rPr>
                    <w:t>面源信息</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0" w:type="dxa"/>
                  <w:bottom w:w="0" w:type="dxa"/>
                  <w:right w:w="0" w:type="dxa"/>
                </w:tblCellMar>
              </w:tblPrEx>
              <w:trPr>
                <w:trHeight w:val="267" w:hRule="atLeast"/>
                <w:jc w:val="center"/>
              </w:trPr>
              <w:tc>
                <w:tcPr>
                  <w:tcW w:w="0" w:type="auto"/>
                  <w:vMerge w:val="restart"/>
                  <w:vAlign w:val="center"/>
                </w:tcPr>
                <w:p>
                  <w:pPr>
                    <w:pStyle w:val="72"/>
                    <w:jc w:val="center"/>
                    <w:rPr>
                      <w:sz w:val="21"/>
                      <w:szCs w:val="21"/>
                    </w:rPr>
                  </w:pPr>
                  <w:r>
                    <w:rPr>
                      <w:rFonts w:hint="eastAsia"/>
                      <w:sz w:val="21"/>
                      <w:szCs w:val="21"/>
                    </w:rPr>
                    <w:t>原料堆场、尾渣堆场、铁粉仓</w:t>
                  </w:r>
                </w:p>
              </w:tc>
              <w:tc>
                <w:tcPr>
                  <w:tcW w:w="0" w:type="auto"/>
                  <w:vMerge w:val="restart"/>
                  <w:vAlign w:val="center"/>
                </w:tcPr>
                <w:p>
                  <w:pPr>
                    <w:pStyle w:val="72"/>
                    <w:jc w:val="center"/>
                    <w:rPr>
                      <w:sz w:val="21"/>
                      <w:szCs w:val="21"/>
                    </w:rPr>
                  </w:pPr>
                  <w:r>
                    <w:rPr>
                      <w:rFonts w:hint="eastAsia"/>
                      <w:sz w:val="21"/>
                      <w:szCs w:val="21"/>
                    </w:rPr>
                    <w:t>装卸扬尘</w:t>
                  </w:r>
                </w:p>
              </w:tc>
              <w:tc>
                <w:tcPr>
                  <w:tcW w:w="747" w:type="dxa"/>
                  <w:vMerge w:val="restart"/>
                  <w:vAlign w:val="center"/>
                </w:tcPr>
                <w:p>
                  <w:pPr>
                    <w:pStyle w:val="72"/>
                    <w:jc w:val="center"/>
                    <w:rPr>
                      <w:sz w:val="21"/>
                      <w:szCs w:val="21"/>
                    </w:rPr>
                  </w:pPr>
                  <w:r>
                    <w:rPr>
                      <w:rFonts w:hint="eastAsia"/>
                      <w:sz w:val="21"/>
                      <w:szCs w:val="21"/>
                    </w:rPr>
                    <w:t>颗粒物</w:t>
                  </w:r>
                </w:p>
              </w:tc>
              <w:tc>
                <w:tcPr>
                  <w:tcW w:w="1040" w:type="dxa"/>
                  <w:vMerge w:val="restart"/>
                  <w:vAlign w:val="center"/>
                </w:tcPr>
                <w:p>
                  <w:pPr>
                    <w:pStyle w:val="72"/>
                    <w:jc w:val="center"/>
                    <w:rPr>
                      <w:spacing w:val="-1"/>
                      <w:sz w:val="21"/>
                      <w:szCs w:val="21"/>
                    </w:rPr>
                  </w:pPr>
                  <w:r>
                    <w:rPr>
                      <w:rFonts w:hint="eastAsia"/>
                      <w:sz w:val="21"/>
                      <w:szCs w:val="21"/>
                    </w:rPr>
                    <w:t>0.8574</w:t>
                  </w:r>
                </w:p>
              </w:tc>
              <w:tc>
                <w:tcPr>
                  <w:tcW w:w="980" w:type="dxa"/>
                </w:tcPr>
                <w:p>
                  <w:pPr>
                    <w:pStyle w:val="72"/>
                    <w:jc w:val="both"/>
                    <w:rPr>
                      <w:sz w:val="21"/>
                      <w:szCs w:val="21"/>
                    </w:rPr>
                  </w:pPr>
                  <w:r>
                    <w:rPr>
                      <w:rFonts w:hint="eastAsia"/>
                      <w:sz w:val="21"/>
                      <w:szCs w:val="21"/>
                    </w:rPr>
                    <w:t>原料堆场</w:t>
                  </w:r>
                </w:p>
              </w:tc>
              <w:tc>
                <w:tcPr>
                  <w:tcW w:w="3056" w:type="dxa"/>
                </w:tcPr>
                <w:p>
                  <w:pPr>
                    <w:pStyle w:val="72"/>
                    <w:jc w:val="both"/>
                    <w:rPr>
                      <w:sz w:val="21"/>
                      <w:szCs w:val="21"/>
                    </w:rPr>
                  </w:pPr>
                  <w:r>
                    <w:rPr>
                      <w:rFonts w:hint="eastAsia"/>
                      <w:sz w:val="21"/>
                      <w:szCs w:val="21"/>
                    </w:rPr>
                    <w:t>等效半径：14.93m，堆高2m</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0" w:type="dxa"/>
                  <w:bottom w:w="0" w:type="dxa"/>
                  <w:right w:w="0" w:type="dxa"/>
                </w:tblCellMar>
              </w:tblPrEx>
              <w:trPr>
                <w:trHeight w:val="267" w:hRule="atLeast"/>
                <w:jc w:val="center"/>
              </w:trPr>
              <w:tc>
                <w:tcPr>
                  <w:tcW w:w="0" w:type="auto"/>
                  <w:vMerge w:val="continue"/>
                  <w:vAlign w:val="center"/>
                </w:tcPr>
                <w:p>
                  <w:pPr>
                    <w:pStyle w:val="72"/>
                    <w:jc w:val="both"/>
                  </w:pPr>
                </w:p>
              </w:tc>
              <w:tc>
                <w:tcPr>
                  <w:tcW w:w="0" w:type="auto"/>
                  <w:vMerge w:val="continue"/>
                  <w:vAlign w:val="center"/>
                </w:tcPr>
                <w:p>
                  <w:pPr>
                    <w:pStyle w:val="72"/>
                    <w:jc w:val="both"/>
                  </w:pPr>
                </w:p>
              </w:tc>
              <w:tc>
                <w:tcPr>
                  <w:tcW w:w="747" w:type="dxa"/>
                  <w:vMerge w:val="continue"/>
                  <w:vAlign w:val="center"/>
                </w:tcPr>
                <w:p>
                  <w:pPr>
                    <w:pStyle w:val="72"/>
                    <w:jc w:val="both"/>
                  </w:pPr>
                </w:p>
              </w:tc>
              <w:tc>
                <w:tcPr>
                  <w:tcW w:w="1040" w:type="dxa"/>
                  <w:vMerge w:val="continue"/>
                  <w:vAlign w:val="center"/>
                </w:tcPr>
                <w:p>
                  <w:pPr>
                    <w:pStyle w:val="72"/>
                    <w:jc w:val="both"/>
                  </w:pPr>
                </w:p>
              </w:tc>
              <w:tc>
                <w:tcPr>
                  <w:tcW w:w="980" w:type="dxa"/>
                </w:tcPr>
                <w:p>
                  <w:pPr>
                    <w:pStyle w:val="72"/>
                    <w:jc w:val="both"/>
                  </w:pPr>
                  <w:r>
                    <w:rPr>
                      <w:rFonts w:hint="eastAsia"/>
                    </w:rPr>
                    <w:t>尾渣堆场</w:t>
                  </w:r>
                </w:p>
              </w:tc>
              <w:tc>
                <w:tcPr>
                  <w:tcW w:w="3056" w:type="dxa"/>
                </w:tcPr>
                <w:p>
                  <w:pPr>
                    <w:pStyle w:val="72"/>
                    <w:jc w:val="both"/>
                    <w:rPr>
                      <w:sz w:val="21"/>
                      <w:szCs w:val="21"/>
                    </w:rPr>
                  </w:pPr>
                  <w:r>
                    <w:rPr>
                      <w:rFonts w:hint="eastAsia"/>
                      <w:sz w:val="21"/>
                      <w:szCs w:val="21"/>
                    </w:rPr>
                    <w:t>等效半径：10.56m，堆高2m</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0" w:type="dxa"/>
                  <w:bottom w:w="0" w:type="dxa"/>
                  <w:right w:w="0" w:type="dxa"/>
                </w:tblCellMar>
              </w:tblPrEx>
              <w:trPr>
                <w:trHeight w:val="267" w:hRule="atLeast"/>
                <w:jc w:val="center"/>
              </w:trPr>
              <w:tc>
                <w:tcPr>
                  <w:tcW w:w="0" w:type="auto"/>
                  <w:vMerge w:val="continue"/>
                  <w:vAlign w:val="center"/>
                </w:tcPr>
                <w:p>
                  <w:pPr>
                    <w:pStyle w:val="72"/>
                    <w:jc w:val="both"/>
                  </w:pPr>
                </w:p>
              </w:tc>
              <w:tc>
                <w:tcPr>
                  <w:tcW w:w="0" w:type="auto"/>
                  <w:vMerge w:val="continue"/>
                  <w:vAlign w:val="center"/>
                </w:tcPr>
                <w:p>
                  <w:pPr>
                    <w:pStyle w:val="72"/>
                    <w:jc w:val="both"/>
                  </w:pPr>
                </w:p>
              </w:tc>
              <w:tc>
                <w:tcPr>
                  <w:tcW w:w="747" w:type="dxa"/>
                  <w:vMerge w:val="continue"/>
                  <w:vAlign w:val="center"/>
                </w:tcPr>
                <w:p>
                  <w:pPr>
                    <w:pStyle w:val="72"/>
                    <w:jc w:val="both"/>
                  </w:pPr>
                </w:p>
              </w:tc>
              <w:tc>
                <w:tcPr>
                  <w:tcW w:w="1040" w:type="dxa"/>
                  <w:vMerge w:val="continue"/>
                  <w:vAlign w:val="center"/>
                </w:tcPr>
                <w:p>
                  <w:pPr>
                    <w:pStyle w:val="72"/>
                    <w:jc w:val="both"/>
                  </w:pPr>
                </w:p>
              </w:tc>
              <w:tc>
                <w:tcPr>
                  <w:tcW w:w="980" w:type="dxa"/>
                </w:tcPr>
                <w:p>
                  <w:pPr>
                    <w:pStyle w:val="72"/>
                    <w:jc w:val="both"/>
                  </w:pPr>
                  <w:r>
                    <w:rPr>
                      <w:rFonts w:hint="eastAsia"/>
                    </w:rPr>
                    <w:t>铁粉仓</w:t>
                  </w:r>
                </w:p>
              </w:tc>
              <w:tc>
                <w:tcPr>
                  <w:tcW w:w="3056" w:type="dxa"/>
                </w:tcPr>
                <w:p>
                  <w:pPr>
                    <w:pStyle w:val="72"/>
                    <w:jc w:val="both"/>
                  </w:pPr>
                  <w:r>
                    <w:rPr>
                      <w:rFonts w:hint="eastAsia"/>
                    </w:rPr>
                    <w:t>长：12.5m，宽：8m，堆高：2m</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0" w:type="dxa"/>
                  <w:bottom w:w="0" w:type="dxa"/>
                  <w:right w:w="0" w:type="dxa"/>
                </w:tblCellMar>
              </w:tblPrEx>
              <w:trPr>
                <w:trHeight w:val="499" w:hRule="atLeast"/>
                <w:jc w:val="center"/>
              </w:trPr>
              <w:tc>
                <w:tcPr>
                  <w:tcW w:w="0" w:type="auto"/>
                  <w:vAlign w:val="center"/>
                </w:tcPr>
                <w:p>
                  <w:pPr>
                    <w:pStyle w:val="72"/>
                    <w:jc w:val="center"/>
                    <w:rPr>
                      <w:sz w:val="21"/>
                      <w:szCs w:val="21"/>
                    </w:rPr>
                  </w:pPr>
                  <w:r>
                    <w:rPr>
                      <w:rFonts w:hint="eastAsia"/>
                      <w:sz w:val="21"/>
                      <w:szCs w:val="21"/>
                    </w:rPr>
                    <w:t>破碎、筛分车间</w:t>
                  </w:r>
                </w:p>
              </w:tc>
              <w:tc>
                <w:tcPr>
                  <w:tcW w:w="0" w:type="auto"/>
                  <w:vAlign w:val="center"/>
                </w:tcPr>
                <w:p>
                  <w:pPr>
                    <w:pStyle w:val="72"/>
                    <w:jc w:val="center"/>
                    <w:rPr>
                      <w:sz w:val="21"/>
                      <w:szCs w:val="21"/>
                    </w:rPr>
                  </w:pPr>
                  <w:r>
                    <w:rPr>
                      <w:sz w:val="21"/>
                      <w:szCs w:val="21"/>
                    </w:rPr>
                    <w:t>破碎、筛分系统粉尘</w:t>
                  </w:r>
                </w:p>
              </w:tc>
              <w:tc>
                <w:tcPr>
                  <w:tcW w:w="747" w:type="dxa"/>
                  <w:vMerge w:val="continue"/>
                  <w:vAlign w:val="center"/>
                </w:tcPr>
                <w:p>
                  <w:pPr>
                    <w:pStyle w:val="72"/>
                    <w:jc w:val="center"/>
                    <w:rPr>
                      <w:sz w:val="21"/>
                      <w:szCs w:val="21"/>
                    </w:rPr>
                  </w:pPr>
                </w:p>
              </w:tc>
              <w:tc>
                <w:tcPr>
                  <w:tcW w:w="1040" w:type="dxa"/>
                  <w:vAlign w:val="center"/>
                </w:tcPr>
                <w:p>
                  <w:pPr>
                    <w:pStyle w:val="72"/>
                    <w:jc w:val="center"/>
                    <w:rPr>
                      <w:sz w:val="21"/>
                      <w:szCs w:val="21"/>
                    </w:rPr>
                  </w:pPr>
                  <w:r>
                    <w:rPr>
                      <w:rFonts w:hint="eastAsia"/>
                      <w:sz w:val="21"/>
                      <w:szCs w:val="21"/>
                    </w:rPr>
                    <w:t>0.57</w:t>
                  </w:r>
                </w:p>
              </w:tc>
              <w:tc>
                <w:tcPr>
                  <w:tcW w:w="4036" w:type="dxa"/>
                  <w:gridSpan w:val="2"/>
                </w:tcPr>
                <w:p>
                  <w:pPr>
                    <w:pStyle w:val="72"/>
                    <w:jc w:val="both"/>
                    <w:rPr>
                      <w:sz w:val="21"/>
                      <w:szCs w:val="21"/>
                    </w:rPr>
                  </w:pPr>
                  <w:r>
                    <w:rPr>
                      <w:rFonts w:hint="eastAsia"/>
                      <w:sz w:val="21"/>
                      <w:szCs w:val="21"/>
                    </w:rPr>
                    <w:t>破碎、筛分车间等效半径：23.94m，破碎、振动筛距离地面高度约4-5m</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0" w:type="dxa"/>
                  <w:bottom w:w="0" w:type="dxa"/>
                  <w:right w:w="0" w:type="dxa"/>
                </w:tblCellMar>
              </w:tblPrEx>
              <w:trPr>
                <w:trHeight w:val="340" w:hRule="atLeast"/>
                <w:jc w:val="center"/>
              </w:trPr>
              <w:tc>
                <w:tcPr>
                  <w:tcW w:w="0" w:type="auto"/>
                  <w:vAlign w:val="center"/>
                </w:tcPr>
                <w:p>
                  <w:pPr>
                    <w:pStyle w:val="72"/>
                    <w:jc w:val="center"/>
                    <w:rPr>
                      <w:sz w:val="21"/>
                      <w:szCs w:val="21"/>
                    </w:rPr>
                  </w:pPr>
                  <w:r>
                    <w:rPr>
                      <w:rFonts w:hint="eastAsia"/>
                      <w:sz w:val="21"/>
                      <w:szCs w:val="21"/>
                    </w:rPr>
                    <w:t>厂区内道路</w:t>
                  </w:r>
                </w:p>
              </w:tc>
              <w:tc>
                <w:tcPr>
                  <w:tcW w:w="0" w:type="auto"/>
                  <w:vAlign w:val="center"/>
                </w:tcPr>
                <w:p>
                  <w:pPr>
                    <w:pStyle w:val="72"/>
                    <w:jc w:val="center"/>
                    <w:rPr>
                      <w:sz w:val="21"/>
                      <w:szCs w:val="21"/>
                    </w:rPr>
                  </w:pPr>
                  <w:r>
                    <w:rPr>
                      <w:rFonts w:hint="eastAsia"/>
                      <w:sz w:val="21"/>
                      <w:szCs w:val="21"/>
                    </w:rPr>
                    <w:t>车辆运输行驶扬尘</w:t>
                  </w:r>
                </w:p>
              </w:tc>
              <w:tc>
                <w:tcPr>
                  <w:tcW w:w="747" w:type="dxa"/>
                  <w:vMerge w:val="continue"/>
                  <w:vAlign w:val="center"/>
                </w:tcPr>
                <w:p>
                  <w:pPr>
                    <w:pStyle w:val="72"/>
                    <w:jc w:val="center"/>
                    <w:rPr>
                      <w:sz w:val="21"/>
                      <w:szCs w:val="21"/>
                    </w:rPr>
                  </w:pPr>
                </w:p>
              </w:tc>
              <w:tc>
                <w:tcPr>
                  <w:tcW w:w="1040" w:type="dxa"/>
                  <w:vAlign w:val="center"/>
                </w:tcPr>
                <w:p>
                  <w:pPr>
                    <w:pStyle w:val="72"/>
                    <w:jc w:val="center"/>
                    <w:rPr>
                      <w:sz w:val="21"/>
                      <w:szCs w:val="21"/>
                    </w:rPr>
                  </w:pPr>
                  <w:r>
                    <w:rPr>
                      <w:rFonts w:hint="eastAsia"/>
                      <w:sz w:val="21"/>
                      <w:szCs w:val="21"/>
                    </w:rPr>
                    <w:t>0.01</w:t>
                  </w:r>
                </w:p>
              </w:tc>
              <w:tc>
                <w:tcPr>
                  <w:tcW w:w="4036" w:type="dxa"/>
                  <w:gridSpan w:val="2"/>
                  <w:vAlign w:val="center"/>
                </w:tcPr>
                <w:p>
                  <w:pPr>
                    <w:pStyle w:val="72"/>
                    <w:rPr>
                      <w:sz w:val="21"/>
                      <w:szCs w:val="21"/>
                    </w:rPr>
                  </w:pPr>
                  <w:r>
                    <w:rPr>
                      <w:rFonts w:hint="eastAsia"/>
                      <w:sz w:val="21"/>
                      <w:szCs w:val="21"/>
                    </w:rPr>
                    <w:t>道路长度100m</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0" w:type="dxa"/>
                  <w:bottom w:w="0" w:type="dxa"/>
                  <w:right w:w="0" w:type="dxa"/>
                </w:tblCellMar>
              </w:tblPrEx>
              <w:trPr>
                <w:trHeight w:val="340" w:hRule="atLeast"/>
                <w:jc w:val="center"/>
              </w:trPr>
              <w:tc>
                <w:tcPr>
                  <w:tcW w:w="3658" w:type="dxa"/>
                  <w:gridSpan w:val="3"/>
                  <w:vAlign w:val="center"/>
                </w:tcPr>
                <w:p>
                  <w:pPr>
                    <w:pStyle w:val="72"/>
                    <w:jc w:val="center"/>
                    <w:rPr>
                      <w:sz w:val="21"/>
                      <w:szCs w:val="21"/>
                    </w:rPr>
                  </w:pPr>
                  <w:r>
                    <w:rPr>
                      <w:sz w:val="21"/>
                      <w:szCs w:val="21"/>
                    </w:rPr>
                    <w:t>合计</w:t>
                  </w:r>
                </w:p>
              </w:tc>
              <w:tc>
                <w:tcPr>
                  <w:tcW w:w="1040" w:type="dxa"/>
                  <w:vAlign w:val="center"/>
                </w:tcPr>
                <w:p>
                  <w:pPr>
                    <w:pStyle w:val="72"/>
                    <w:jc w:val="center"/>
                    <w:rPr>
                      <w:sz w:val="21"/>
                      <w:szCs w:val="21"/>
                    </w:rPr>
                  </w:pPr>
                  <w:r>
                    <w:rPr>
                      <w:rFonts w:hint="eastAsia"/>
                      <w:sz w:val="21"/>
                      <w:szCs w:val="21"/>
                    </w:rPr>
                    <w:t>1.4374</w:t>
                  </w:r>
                </w:p>
              </w:tc>
              <w:tc>
                <w:tcPr>
                  <w:tcW w:w="4036" w:type="dxa"/>
                  <w:gridSpan w:val="2"/>
                  <w:vAlign w:val="center"/>
                </w:tcPr>
                <w:p>
                  <w:pPr>
                    <w:pStyle w:val="72"/>
                    <w:jc w:val="center"/>
                    <w:rPr>
                      <w:sz w:val="21"/>
                      <w:szCs w:val="21"/>
                    </w:rPr>
                  </w:pPr>
                  <w:r>
                    <w:rPr>
                      <w:rFonts w:hint="eastAsia"/>
                      <w:sz w:val="21"/>
                      <w:szCs w:val="21"/>
                    </w:rPr>
                    <w:t>/</w:t>
                  </w:r>
                </w:p>
              </w:tc>
            </w:tr>
          </w:tbl>
          <w:p>
            <w:pPr>
              <w:pStyle w:val="11"/>
              <w:spacing w:line="440" w:lineRule="exact"/>
              <w:ind w:firstLine="480"/>
              <w:rPr>
                <w:rFonts w:ascii="Times New Roman" w:hAnsi="Times New Roman"/>
              </w:rPr>
            </w:pPr>
            <w:r>
              <w:rPr>
                <w:rFonts w:ascii="Times New Roman" w:hAnsi="Times New Roman"/>
              </w:rPr>
              <w:t>由上表可知，项目年无组织</w:t>
            </w:r>
            <w:r>
              <w:rPr>
                <w:rFonts w:hint="eastAsia" w:ascii="Times New Roman" w:hAnsi="Times New Roman"/>
              </w:rPr>
              <w:t>粉尘排放</w:t>
            </w:r>
            <w:r>
              <w:rPr>
                <w:rFonts w:ascii="Times New Roman" w:hAnsi="Times New Roman"/>
              </w:rPr>
              <w:t>速率为</w:t>
            </w:r>
            <w:r>
              <w:rPr>
                <w:rFonts w:hint="eastAsia" w:ascii="Times New Roman" w:hAnsi="Times New Roman"/>
              </w:rPr>
              <w:t>1.4374</w:t>
            </w:r>
            <w:r>
              <w:rPr>
                <w:rFonts w:ascii="Times New Roman" w:hAnsi="Times New Roman"/>
              </w:rPr>
              <w:t>kg/h</w:t>
            </w:r>
            <w:r>
              <w:rPr>
                <w:rFonts w:hint="eastAsia" w:ascii="Times New Roman" w:hAnsi="Times New Roman"/>
              </w:rPr>
              <w:t>，项目年生产300天，每日生产时间为10h，即年排放量为4.3122t。</w:t>
            </w:r>
          </w:p>
          <w:p>
            <w:pPr>
              <w:adjustRightInd w:val="0"/>
              <w:snapToGrid w:val="0"/>
              <w:spacing w:line="440" w:lineRule="exact"/>
              <w:rPr>
                <w:rFonts w:ascii="Times New Roman" w:hAnsi="Times New Roman" w:eastAsia="黑体"/>
                <w:b/>
                <w:bCs/>
              </w:rPr>
            </w:pPr>
            <w:r>
              <w:rPr>
                <w:rFonts w:ascii="Times New Roman" w:hAnsi="Times New Roman" w:eastAsia="黑体"/>
                <w:b/>
                <w:bCs/>
              </w:rPr>
              <w:t>4.2.</w:t>
            </w:r>
            <w:r>
              <w:rPr>
                <w:rFonts w:hint="eastAsia" w:ascii="Times New Roman" w:hAnsi="Times New Roman" w:eastAsia="黑体"/>
                <w:b/>
                <w:bCs/>
              </w:rPr>
              <w:t>2</w:t>
            </w:r>
            <w:r>
              <w:rPr>
                <w:rFonts w:ascii="Times New Roman" w:hAnsi="Times New Roman" w:eastAsia="黑体"/>
                <w:b/>
                <w:bCs/>
              </w:rPr>
              <w:t>.2废气污染防治措施及可行性分析</w:t>
            </w:r>
          </w:p>
          <w:p>
            <w:pPr>
              <w:pStyle w:val="11"/>
              <w:spacing w:line="440" w:lineRule="exact"/>
              <w:ind w:firstLine="480"/>
              <w:rPr>
                <w:rFonts w:ascii="Times New Roman" w:hAnsi="Times New Roman"/>
              </w:rPr>
            </w:pPr>
            <w:r>
              <w:rPr>
                <w:rFonts w:hint="eastAsia" w:ascii="Times New Roman" w:hAnsi="Times New Roman"/>
              </w:rPr>
              <w:t>（1）堆场抑尘</w:t>
            </w:r>
          </w:p>
          <w:p>
            <w:pPr>
              <w:pStyle w:val="11"/>
              <w:spacing w:line="440" w:lineRule="exact"/>
              <w:ind w:firstLine="480"/>
              <w:rPr>
                <w:rFonts w:ascii="Times New Roman" w:hAnsi="Times New Roman"/>
              </w:rPr>
            </w:pPr>
            <w:r>
              <w:rPr>
                <w:rFonts w:hint="eastAsia" w:ascii="Times New Roman" w:hAnsi="Times New Roman"/>
              </w:rPr>
              <w:t>①原料堆场</w:t>
            </w:r>
          </w:p>
          <w:p>
            <w:pPr>
              <w:pStyle w:val="11"/>
              <w:spacing w:line="440" w:lineRule="exact"/>
              <w:ind w:firstLine="480"/>
              <w:rPr>
                <w:rFonts w:ascii="Times New Roman" w:hAnsi="Times New Roman"/>
              </w:rPr>
            </w:pPr>
            <w:r>
              <w:rPr>
                <w:rFonts w:hint="eastAsia" w:ascii="Times New Roman" w:hAnsi="Times New Roman"/>
              </w:rPr>
              <w:t>一、</w:t>
            </w:r>
            <w:r>
              <w:rPr>
                <w:rFonts w:ascii="Times New Roman" w:hAnsi="Times New Roman"/>
              </w:rPr>
              <w:t>本项目使用的原料主要为</w:t>
            </w:r>
            <w:r>
              <w:rPr>
                <w:rFonts w:hint="eastAsia" w:ascii="Times New Roman" w:hAnsi="Times New Roman"/>
              </w:rPr>
              <w:t>铸铁渣、铸造砂、转炉渣及钢渣等</w:t>
            </w:r>
            <w:r>
              <w:rPr>
                <w:rFonts w:ascii="Times New Roman" w:hAnsi="Times New Roman"/>
              </w:rPr>
              <w:t>，</w:t>
            </w:r>
            <w:r>
              <w:rPr>
                <w:rFonts w:hint="eastAsia" w:ascii="Times New Roman" w:hAnsi="Times New Roman"/>
              </w:rPr>
              <w:t>物料主要为大块状物料，含水率约8%，</w:t>
            </w:r>
            <w:r>
              <w:rPr>
                <w:rFonts w:ascii="Times New Roman" w:hAnsi="Times New Roman"/>
              </w:rPr>
              <w:t>不易产生粉尘</w:t>
            </w:r>
            <w:r>
              <w:rPr>
                <w:rFonts w:hint="eastAsia" w:ascii="Times New Roman" w:hAnsi="Times New Roman"/>
              </w:rPr>
              <w:t>；</w:t>
            </w:r>
          </w:p>
          <w:p>
            <w:pPr>
              <w:pStyle w:val="11"/>
              <w:spacing w:line="440" w:lineRule="exact"/>
              <w:ind w:firstLine="480"/>
              <w:rPr>
                <w:rFonts w:ascii="Times New Roman" w:hAnsi="Times New Roman"/>
              </w:rPr>
            </w:pPr>
            <w:r>
              <w:rPr>
                <w:rFonts w:hint="eastAsia" w:ascii="Times New Roman" w:hAnsi="Times New Roman"/>
              </w:rPr>
              <w:t>二、原料堆场设置顶棚，</w:t>
            </w:r>
            <w:r>
              <w:rPr>
                <w:rFonts w:ascii="Times New Roman" w:hAnsi="Times New Roman"/>
              </w:rPr>
              <w:t>采取</w:t>
            </w:r>
            <w:r>
              <w:rPr>
                <w:rFonts w:hint="eastAsia" w:ascii="Times New Roman" w:hAnsi="Times New Roman"/>
              </w:rPr>
              <w:t>半围挡</w:t>
            </w:r>
            <w:r>
              <w:rPr>
                <w:rFonts w:ascii="Times New Roman" w:hAnsi="Times New Roman"/>
              </w:rPr>
              <w:t>控制措施，</w:t>
            </w:r>
            <w:r>
              <w:rPr>
                <w:rFonts w:hint="eastAsia" w:ascii="Times New Roman" w:hAnsi="Times New Roman"/>
              </w:rPr>
              <w:t>且采取喷雾降尘，</w:t>
            </w:r>
            <w:r>
              <w:rPr>
                <w:rFonts w:hint="eastAsia"/>
              </w:rPr>
              <w:t>在堆场四周设置10个喷嘴，喷水</w:t>
            </w:r>
            <w:r>
              <w:rPr>
                <w:rFonts w:hint="eastAsia" w:ascii="Times New Roman" w:hAnsi="Times New Roman"/>
              </w:rPr>
              <w:t>强度为</w:t>
            </w:r>
            <w:r>
              <w:rPr>
                <w:rFonts w:ascii="Times New Roman" w:hAnsi="Times New Roman"/>
              </w:rPr>
              <w:t>0.5L/min</w:t>
            </w:r>
            <w:r>
              <w:rPr>
                <w:rFonts w:hint="eastAsia" w:ascii="Times New Roman" w:hAnsi="Times New Roman"/>
              </w:rPr>
              <w:t>·</w:t>
            </w:r>
            <w:r>
              <w:rPr>
                <w:rFonts w:ascii="Times New Roman" w:hAnsi="Times New Roman"/>
              </w:rPr>
              <w:t>个</w:t>
            </w:r>
            <w:r>
              <w:rPr>
                <w:rFonts w:hint="eastAsia" w:ascii="Times New Roman" w:hAnsi="Times New Roman"/>
              </w:rPr>
              <w:t>；</w:t>
            </w:r>
          </w:p>
          <w:p>
            <w:pPr>
              <w:pStyle w:val="11"/>
              <w:spacing w:line="440" w:lineRule="exact"/>
              <w:ind w:firstLine="480"/>
              <w:rPr>
                <w:rFonts w:ascii="Times New Roman" w:hAnsi="Times New Roman"/>
              </w:rPr>
            </w:pPr>
            <w:r>
              <w:rPr>
                <w:rFonts w:hint="eastAsia" w:ascii="Times New Roman" w:hAnsi="Times New Roman"/>
              </w:rPr>
              <w:t>三、原料卸料过程中洒水抑尘，减少粉尘排放。</w:t>
            </w:r>
          </w:p>
          <w:p>
            <w:pPr>
              <w:pStyle w:val="11"/>
              <w:spacing w:line="440" w:lineRule="exact"/>
              <w:ind w:firstLine="480"/>
              <w:rPr>
                <w:rFonts w:ascii="Times New Roman" w:hAnsi="Times New Roman"/>
              </w:rPr>
            </w:pPr>
            <w:r>
              <w:rPr>
                <w:rFonts w:hint="eastAsia" w:ascii="Times New Roman" w:hAnsi="Times New Roman"/>
              </w:rPr>
              <w:t>②尾渣堆场</w:t>
            </w:r>
          </w:p>
          <w:p>
            <w:pPr>
              <w:pStyle w:val="11"/>
              <w:numPr>
                <w:ilvl w:val="0"/>
                <w:numId w:val="11"/>
              </w:numPr>
              <w:spacing w:line="440" w:lineRule="exact"/>
              <w:ind w:firstLine="480"/>
              <w:rPr>
                <w:rFonts w:ascii="Times New Roman" w:hAnsi="Times New Roman"/>
              </w:rPr>
            </w:pPr>
            <w:r>
              <w:rPr>
                <w:rFonts w:hint="eastAsia" w:ascii="Times New Roman" w:hAnsi="Times New Roman"/>
              </w:rPr>
              <w:t>本项目尾渣含水率在12-17%，含水率较高，不易产生粉尘；</w:t>
            </w:r>
          </w:p>
          <w:p>
            <w:pPr>
              <w:pStyle w:val="11"/>
              <w:numPr>
                <w:ilvl w:val="0"/>
                <w:numId w:val="11"/>
              </w:numPr>
              <w:spacing w:line="440" w:lineRule="exact"/>
              <w:ind w:firstLine="480"/>
            </w:pPr>
            <w:r>
              <w:rPr>
                <w:rFonts w:hint="eastAsia" w:ascii="Times New Roman" w:hAnsi="Times New Roman"/>
              </w:rPr>
              <w:t>尾渣堆场设置顶棚，采取半围挡控制措施；</w:t>
            </w:r>
          </w:p>
          <w:p>
            <w:pPr>
              <w:pStyle w:val="11"/>
              <w:numPr>
                <w:ilvl w:val="0"/>
                <w:numId w:val="11"/>
              </w:numPr>
              <w:spacing w:line="440" w:lineRule="exact"/>
              <w:ind w:firstLine="480"/>
            </w:pPr>
            <w:r>
              <w:rPr>
                <w:rFonts w:hint="eastAsia" w:ascii="Times New Roman" w:hAnsi="Times New Roman"/>
              </w:rPr>
              <w:t>尾渣装卸过程中降低高差，减少粉尘排放。</w:t>
            </w:r>
          </w:p>
          <w:p>
            <w:pPr>
              <w:pStyle w:val="11"/>
              <w:spacing w:line="440" w:lineRule="exact"/>
              <w:ind w:firstLine="480"/>
              <w:rPr>
                <w:rFonts w:ascii="Times New Roman" w:hAnsi="Times New Roman"/>
              </w:rPr>
            </w:pPr>
            <w:r>
              <w:rPr>
                <w:rFonts w:hint="eastAsia" w:ascii="Times New Roman" w:hAnsi="Times New Roman"/>
              </w:rPr>
              <w:t>③铁粉仓</w:t>
            </w:r>
          </w:p>
          <w:p>
            <w:pPr>
              <w:pStyle w:val="11"/>
              <w:numPr>
                <w:ilvl w:val="0"/>
                <w:numId w:val="12"/>
              </w:numPr>
              <w:spacing w:line="440" w:lineRule="exact"/>
              <w:ind w:firstLine="480"/>
              <w:rPr>
                <w:rFonts w:hint="eastAsia" w:ascii="Times New Roman" w:hAnsi="Times New Roman"/>
              </w:rPr>
            </w:pPr>
            <w:r>
              <w:rPr>
                <w:rFonts w:hint="eastAsia" w:ascii="Times New Roman" w:hAnsi="Times New Roman"/>
              </w:rPr>
              <w:t>铁粉仓四周围挡，铁粉仓位于车间内，设有顶棚；</w:t>
            </w:r>
          </w:p>
          <w:p>
            <w:pPr>
              <w:pStyle w:val="11"/>
              <w:numPr>
                <w:ilvl w:val="0"/>
                <w:numId w:val="12"/>
              </w:numPr>
              <w:spacing w:line="440" w:lineRule="exact"/>
              <w:ind w:firstLine="480"/>
              <w:rPr>
                <w:rFonts w:hint="eastAsia" w:ascii="Times New Roman" w:hAnsi="Times New Roman"/>
              </w:rPr>
            </w:pPr>
            <w:r>
              <w:rPr>
                <w:rFonts w:hint="eastAsia" w:ascii="Times New Roman" w:hAnsi="Times New Roman"/>
              </w:rPr>
              <w:t>铁粉出售外运装料过程中降低高差，减少粉尘排放；</w:t>
            </w:r>
          </w:p>
          <w:p>
            <w:pPr>
              <w:pStyle w:val="11"/>
              <w:numPr>
                <w:ilvl w:val="0"/>
                <w:numId w:val="12"/>
              </w:numPr>
              <w:spacing w:line="440" w:lineRule="exact"/>
              <w:ind w:firstLine="480"/>
              <w:rPr>
                <w:rFonts w:hint="eastAsia" w:ascii="Times New Roman" w:hAnsi="Times New Roman"/>
              </w:rPr>
            </w:pPr>
            <w:r>
              <w:rPr>
                <w:rFonts w:hint="eastAsia" w:ascii="Times New Roman" w:hAnsi="Times New Roman"/>
              </w:rPr>
              <w:t>铁粉含水率为10%，不易起尘。</w:t>
            </w:r>
          </w:p>
          <w:p>
            <w:pPr>
              <w:pStyle w:val="11"/>
              <w:spacing w:line="440" w:lineRule="exact"/>
              <w:ind w:firstLine="480"/>
              <w:rPr>
                <w:rFonts w:ascii="Times New Roman" w:hAnsi="Times New Roman"/>
              </w:rPr>
            </w:pPr>
            <w:r>
              <w:rPr>
                <w:rFonts w:hint="eastAsia" w:ascii="Times New Roman" w:hAnsi="Times New Roman"/>
              </w:rPr>
              <w:t>（2）生产过程抑尘措施</w:t>
            </w:r>
          </w:p>
          <w:p>
            <w:pPr>
              <w:pStyle w:val="11"/>
              <w:spacing w:line="440" w:lineRule="exact"/>
              <w:ind w:firstLine="480"/>
            </w:pPr>
            <w:r>
              <w:t>生产过程中</w:t>
            </w:r>
            <w:r>
              <w:rPr>
                <w:rFonts w:hint="eastAsia"/>
              </w:rPr>
              <w:t>粉尘主要来源于</w:t>
            </w:r>
            <w:r>
              <w:t>破碎、筛分</w:t>
            </w:r>
            <w:r>
              <w:rPr>
                <w:rFonts w:hint="eastAsia"/>
              </w:rPr>
              <w:t>系统产生的粉尘。</w:t>
            </w:r>
            <w:r>
              <w:rPr>
                <w:rFonts w:hint="eastAsia" w:ascii="Times New Roman" w:hAnsi="Times New Roman"/>
              </w:rPr>
              <w:t>破碎、筛分过程中采取围挡及水喷淋抑尘措施：①在破碎机的进料口及振动筛筛面周边围挡；②</w:t>
            </w:r>
            <w:r>
              <w:rPr>
                <w:rFonts w:ascii="Times New Roman" w:hAnsi="Times New Roman"/>
              </w:rPr>
              <w:t>破碎</w:t>
            </w:r>
            <w:r>
              <w:rPr>
                <w:rFonts w:hint="eastAsia" w:ascii="Times New Roman" w:hAnsi="Times New Roman"/>
              </w:rPr>
              <w:t>机、振动筛</w:t>
            </w:r>
            <w:r>
              <w:rPr>
                <w:rFonts w:ascii="Times New Roman" w:hAnsi="Times New Roman"/>
              </w:rPr>
              <w:t>采取围挡及水喷淋措施抑尘，在破碎机进料口上方、设备内和振动筛上方分别设置喷淋水管，</w:t>
            </w:r>
            <w:r>
              <w:rPr>
                <w:rFonts w:hint="eastAsia" w:ascii="Times New Roman" w:hAnsi="Times New Roman"/>
              </w:rPr>
              <w:t>为保证有效抑尘，初破喷淋水量为0.02m</w:t>
            </w:r>
            <w:r>
              <w:rPr>
                <w:rFonts w:hint="eastAsia" w:ascii="Times New Roman" w:hAnsi="Times New Roman"/>
                <w:vertAlign w:val="superscript"/>
              </w:rPr>
              <w:t>3</w:t>
            </w:r>
            <w:r>
              <w:rPr>
                <w:rFonts w:hint="eastAsia" w:ascii="Times New Roman" w:hAnsi="Times New Roman"/>
              </w:rPr>
              <w:t>/t物料，保证物料表层含水率10%以上，后续筛分及二破可减少喷淋水量。</w:t>
            </w:r>
            <w:r>
              <w:rPr>
                <w:rFonts w:ascii="Times New Roman" w:hAnsi="Times New Roman"/>
              </w:rPr>
              <w:t>喷淋水管朝向破碎及筛分作业区，并与破碎作业端及筛面保持一定距离，保证喷淋水能覆盖破碎、筛分作业区</w:t>
            </w:r>
            <w:r>
              <w:rPr>
                <w:rFonts w:hint="eastAsia" w:ascii="Times New Roman" w:hAnsi="Times New Roman"/>
              </w:rPr>
              <w:t>。</w:t>
            </w:r>
          </w:p>
          <w:p>
            <w:pPr>
              <w:pStyle w:val="11"/>
              <w:spacing w:line="440" w:lineRule="exact"/>
              <w:ind w:firstLine="480"/>
              <w:rPr>
                <w:rFonts w:ascii="Times New Roman" w:hAnsi="Times New Roman"/>
              </w:rPr>
            </w:pPr>
            <w:r>
              <w:rPr>
                <w:rFonts w:hint="eastAsia" w:ascii="Times New Roman" w:hAnsi="Times New Roman"/>
              </w:rPr>
              <w:t>（3）道路扬尘。对道路采取洒水抑尘</w:t>
            </w:r>
            <w:r>
              <w:rPr>
                <w:rFonts w:ascii="Times New Roman" w:hAnsi="Times New Roman"/>
              </w:rPr>
              <w:t>，</w:t>
            </w:r>
            <w:r>
              <w:rPr>
                <w:rFonts w:hint="eastAsia" w:ascii="Times New Roman" w:hAnsi="Times New Roman"/>
              </w:rPr>
              <w:t>洒水量为1.5L/m</w:t>
            </w:r>
            <w:r>
              <w:rPr>
                <w:rFonts w:hint="eastAsia" w:ascii="Times New Roman" w:hAnsi="Times New Roman"/>
                <w:vertAlign w:val="superscript"/>
              </w:rPr>
              <w:t>2</w:t>
            </w:r>
            <w:r>
              <w:rPr>
                <w:rFonts w:hint="eastAsia" w:ascii="Times New Roman" w:hAnsi="Times New Roman"/>
              </w:rPr>
              <w:t>·次，每天洒水3次。</w:t>
            </w:r>
          </w:p>
          <w:p>
            <w:pPr>
              <w:pStyle w:val="11"/>
              <w:spacing w:line="440" w:lineRule="exact"/>
              <w:ind w:firstLine="480"/>
            </w:pPr>
            <w:r>
              <w:t>根据《</w:t>
            </w:r>
            <w:r>
              <w:rPr>
                <w:rFonts w:hint="eastAsia"/>
              </w:rPr>
              <w:t>排污许可证申请与核发技术规范 废弃资源加工工业</w:t>
            </w:r>
            <w:r>
              <w:t>》（</w:t>
            </w:r>
            <w:r>
              <w:rPr>
                <w:rFonts w:hint="eastAsia"/>
              </w:rPr>
              <w:t>HJ 1034-2019</w:t>
            </w:r>
            <w:r>
              <w:t>），湿式除尘为颗粒物污染防治的可行技术</w:t>
            </w:r>
            <w:r>
              <w:rPr>
                <w:rFonts w:hint="eastAsia"/>
              </w:rPr>
              <w:t>，本项目原料堆场、尾渣堆场、破碎、筛分、运输过程均采用洒水抑尘，可有效抑制运输扬尘。</w:t>
            </w:r>
          </w:p>
          <w:p>
            <w:pPr>
              <w:pStyle w:val="11"/>
              <w:spacing w:line="440" w:lineRule="exact"/>
              <w:ind w:firstLine="480"/>
              <w:rPr>
                <w:rFonts w:ascii="Times New Roman" w:hAnsi="Times New Roman"/>
              </w:rPr>
            </w:pPr>
            <w:r>
              <w:rPr>
                <w:rFonts w:ascii="Times New Roman" w:hAnsi="Times New Roman"/>
              </w:rPr>
              <w:t>综上，采取上述措施后，粉尘</w:t>
            </w:r>
            <w:r>
              <w:rPr>
                <w:rFonts w:hint="eastAsia" w:ascii="Times New Roman" w:hAnsi="Times New Roman"/>
              </w:rPr>
              <w:t>排放可达到</w:t>
            </w:r>
            <w:r>
              <w:rPr>
                <w:rFonts w:ascii="Times New Roman" w:hAnsi="Times New Roman"/>
              </w:rPr>
              <w:t>《大气污染物综合排放标准》（GB16297-1996）表2标准，措施可行。</w:t>
            </w:r>
          </w:p>
          <w:p>
            <w:pPr>
              <w:adjustRightInd w:val="0"/>
              <w:snapToGrid w:val="0"/>
              <w:spacing w:line="440" w:lineRule="exact"/>
              <w:rPr>
                <w:rFonts w:ascii="Times New Roman" w:hAnsi="Times New Roman" w:eastAsia="黑体"/>
                <w:b/>
                <w:bCs/>
              </w:rPr>
            </w:pPr>
            <w:r>
              <w:rPr>
                <w:rFonts w:ascii="Times New Roman" w:hAnsi="Times New Roman" w:eastAsia="黑体"/>
                <w:b/>
                <w:bCs/>
              </w:rPr>
              <w:t>4.2.</w:t>
            </w:r>
            <w:r>
              <w:rPr>
                <w:rFonts w:hint="eastAsia" w:ascii="Times New Roman" w:hAnsi="Times New Roman" w:eastAsia="黑体"/>
                <w:b/>
                <w:bCs/>
              </w:rPr>
              <w:t>2</w:t>
            </w:r>
            <w:r>
              <w:rPr>
                <w:rFonts w:ascii="Times New Roman" w:hAnsi="Times New Roman" w:eastAsia="黑体"/>
                <w:b/>
                <w:bCs/>
              </w:rPr>
              <w:t>.3环境防护距离</w:t>
            </w:r>
          </w:p>
          <w:p>
            <w:pPr>
              <w:pStyle w:val="11"/>
              <w:spacing w:line="440" w:lineRule="exact"/>
              <w:ind w:firstLine="480"/>
              <w:rPr>
                <w:rFonts w:ascii="Times New Roman" w:hAnsi="Times New Roman"/>
              </w:rPr>
            </w:pPr>
            <w:r>
              <w:rPr>
                <w:rFonts w:hint="eastAsia" w:ascii="Times New Roman" w:hAnsi="Times New Roman"/>
              </w:rPr>
              <w:t>（1）大气环境防护距离</w:t>
            </w:r>
          </w:p>
          <w:p>
            <w:pPr>
              <w:pStyle w:val="11"/>
              <w:spacing w:line="440" w:lineRule="exact"/>
              <w:ind w:firstLine="480"/>
              <w:rPr>
                <w:rFonts w:ascii="Times New Roman" w:hAnsi="Times New Roman"/>
              </w:rPr>
            </w:pPr>
            <w:r>
              <w:rPr>
                <w:rFonts w:hint="eastAsia" w:ascii="Times New Roman" w:hAnsi="Times New Roman"/>
              </w:rPr>
              <w:t>大气环境防护距离是为保护人群健康，减少正常排放条件下大气污染物对居住区的环境影响，在项目厂界以外设置的环境防护距离。本评价根据《环境影响评价导则大气环境》(HJ2.2-2018)推荐的 AERSCREEN模型的估算结果项目各废气污染源正常排放时，废气排放源中污染因子的最大地面浓度占标率小于10%，厂界外大气污染物短期贡献浓度均没有超过环境质量浓度限值，不需要设置大气环境防护距离。</w:t>
            </w:r>
          </w:p>
          <w:p>
            <w:pPr>
              <w:pStyle w:val="11"/>
              <w:spacing w:line="440" w:lineRule="exact"/>
              <w:ind w:firstLine="480"/>
              <w:rPr>
                <w:rFonts w:ascii="Times New Roman" w:hAnsi="Times New Roman"/>
              </w:rPr>
            </w:pPr>
            <w:r>
              <w:rPr>
                <w:rFonts w:hint="eastAsia" w:ascii="Times New Roman" w:hAnsi="Times New Roman"/>
              </w:rPr>
              <w:t>（2）卫生防护距离</w:t>
            </w:r>
          </w:p>
          <w:p>
            <w:pPr>
              <w:pStyle w:val="11"/>
              <w:spacing w:line="440" w:lineRule="exact"/>
              <w:ind w:firstLine="480"/>
              <w:rPr>
                <w:rFonts w:ascii="Times New Roman" w:hAnsi="Times New Roman"/>
              </w:rPr>
            </w:pPr>
            <w:r>
              <w:rPr>
                <w:rFonts w:hint="eastAsia" w:ascii="Times New Roman" w:hAnsi="Times New Roman"/>
              </w:rPr>
              <w:t>①卫生防护距离初值计算</w:t>
            </w:r>
          </w:p>
          <w:p>
            <w:pPr>
              <w:pStyle w:val="11"/>
              <w:spacing w:line="440" w:lineRule="exact"/>
              <w:ind w:firstLine="480"/>
              <w:rPr>
                <w:rFonts w:ascii="Times New Roman" w:hAnsi="Times New Roman"/>
              </w:rPr>
            </w:pPr>
            <w:r>
              <w:rPr>
                <w:rFonts w:hint="eastAsia" w:ascii="Times New Roman" w:hAnsi="Times New Roman"/>
              </w:rPr>
              <w:t>本评价依据《大气有害物质无组织排放卫生防护距离推导技术导则》（GB/T39499-2020）中规定的方法及当地的污染物气象条件来计算卫生防护距离初值，其计算公式如下：</w:t>
            </w:r>
          </w:p>
          <w:p>
            <w:pPr>
              <w:widowControl/>
              <w:ind w:firstLine="480"/>
              <w:jc w:val="center"/>
              <w:rPr>
                <w:rFonts w:ascii="Times New Roman" w:hAnsi="Times New Roman"/>
              </w:rPr>
            </w:pPr>
            <w:r>
              <w:rPr>
                <w:rFonts w:ascii="Times New Roman" w:hAnsi="Times New Roman"/>
                <w:position w:val="-30"/>
              </w:rPr>
              <w:drawing>
                <wp:inline distT="0" distB="0" distL="0" distR="0">
                  <wp:extent cx="1813560" cy="449580"/>
                  <wp:effectExtent l="0" t="0" r="0" b="698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813560" cy="449580"/>
                          </a:xfrm>
                          <a:prstGeom prst="rect">
                            <a:avLst/>
                          </a:prstGeom>
                          <a:noFill/>
                          <a:ln>
                            <a:noFill/>
                          </a:ln>
                        </pic:spPr>
                      </pic:pic>
                    </a:graphicData>
                  </a:graphic>
                </wp:inline>
              </w:drawing>
            </w:r>
          </w:p>
          <w:p>
            <w:pPr>
              <w:widowControl/>
              <w:spacing w:line="440" w:lineRule="exact"/>
              <w:ind w:firstLine="480"/>
              <w:jc w:val="left"/>
              <w:rPr>
                <w:rFonts w:ascii="Times New Roman" w:hAnsi="Times New Roman"/>
              </w:rPr>
            </w:pPr>
            <w:r>
              <w:rPr>
                <w:rFonts w:ascii="Times New Roman" w:hAnsi="Times New Roman"/>
              </w:rPr>
              <w:t>式中：Q</w:t>
            </w:r>
            <w:r>
              <w:rPr>
                <w:rFonts w:ascii="Times New Roman" w:hAnsi="Times New Roman"/>
                <w:vertAlign w:val="subscript"/>
              </w:rPr>
              <w:t>c</w:t>
            </w:r>
            <w:r>
              <w:rPr>
                <w:rFonts w:ascii="Times New Roman" w:hAnsi="Times New Roman"/>
              </w:rPr>
              <w:t>—</w:t>
            </w:r>
            <w:r>
              <w:rPr>
                <w:rFonts w:hint="eastAsia" w:ascii="Times New Roman" w:hAnsi="Times New Roman"/>
              </w:rPr>
              <w:t>大气</w:t>
            </w:r>
            <w:r>
              <w:rPr>
                <w:rFonts w:ascii="Times New Roman" w:hAnsi="Times New Roman"/>
              </w:rPr>
              <w:t>有害</w:t>
            </w:r>
            <w:r>
              <w:rPr>
                <w:rFonts w:hint="eastAsia" w:ascii="Times New Roman" w:hAnsi="Times New Roman"/>
              </w:rPr>
              <w:t>物质的</w:t>
            </w:r>
            <w:r>
              <w:rPr>
                <w:rFonts w:ascii="Times New Roman" w:hAnsi="Times New Roman"/>
              </w:rPr>
              <w:t>无组织排放量，</w:t>
            </w:r>
            <w:r>
              <w:rPr>
                <w:rFonts w:hint="eastAsia" w:ascii="Times New Roman" w:hAnsi="Times New Roman"/>
              </w:rPr>
              <w:t>单位为</w:t>
            </w:r>
            <w:r>
              <w:rPr>
                <w:rFonts w:ascii="Times New Roman" w:hAnsi="Times New Roman"/>
              </w:rPr>
              <w:t>kg/h。</w:t>
            </w:r>
          </w:p>
          <w:p>
            <w:pPr>
              <w:widowControl/>
              <w:spacing w:line="440" w:lineRule="exact"/>
              <w:ind w:firstLine="1200" w:firstLineChars="500"/>
              <w:jc w:val="left"/>
              <w:rPr>
                <w:rFonts w:ascii="Times New Roman" w:hAnsi="Times New Roman"/>
              </w:rPr>
            </w:pPr>
            <w:r>
              <w:rPr>
                <w:rFonts w:ascii="Times New Roman" w:hAnsi="Times New Roman"/>
              </w:rPr>
              <w:t>C</w:t>
            </w:r>
            <w:r>
              <w:rPr>
                <w:rFonts w:ascii="Times New Roman" w:hAnsi="Times New Roman"/>
                <w:vertAlign w:val="subscript"/>
              </w:rPr>
              <w:t>m</w:t>
            </w:r>
            <w:r>
              <w:rPr>
                <w:rFonts w:ascii="Times New Roman" w:hAnsi="Times New Roman"/>
              </w:rPr>
              <w:t>—</w:t>
            </w:r>
            <w:r>
              <w:rPr>
                <w:rFonts w:hint="eastAsia" w:ascii="Times New Roman" w:hAnsi="Times New Roman"/>
              </w:rPr>
              <w:t>大气</w:t>
            </w:r>
            <w:r>
              <w:rPr>
                <w:rFonts w:ascii="Times New Roman" w:hAnsi="Times New Roman"/>
              </w:rPr>
              <w:t>有害</w:t>
            </w:r>
            <w:r>
              <w:rPr>
                <w:rFonts w:hint="eastAsia" w:ascii="Times New Roman" w:hAnsi="Times New Roman"/>
              </w:rPr>
              <w:t>物质环境空气质量的</w:t>
            </w:r>
            <w:r>
              <w:rPr>
                <w:rFonts w:ascii="Times New Roman" w:hAnsi="Times New Roman"/>
              </w:rPr>
              <w:t>标准限值，</w:t>
            </w:r>
            <w:r>
              <w:rPr>
                <w:rFonts w:hint="eastAsia" w:ascii="Times New Roman" w:hAnsi="Times New Roman"/>
              </w:rPr>
              <w:t>单位为</w:t>
            </w:r>
            <w:r>
              <w:rPr>
                <w:rFonts w:ascii="Times New Roman" w:hAnsi="Times New Roman"/>
              </w:rPr>
              <w:t>mg/m</w:t>
            </w:r>
            <w:r>
              <w:rPr>
                <w:rFonts w:ascii="Times New Roman" w:hAnsi="Times New Roman"/>
                <w:vertAlign w:val="superscript"/>
              </w:rPr>
              <w:t>3</w:t>
            </w:r>
            <w:r>
              <w:rPr>
                <w:rFonts w:ascii="Times New Roman" w:hAnsi="Times New Roman"/>
              </w:rPr>
              <w:t>。</w:t>
            </w:r>
          </w:p>
          <w:p>
            <w:pPr>
              <w:widowControl/>
              <w:spacing w:line="440" w:lineRule="exact"/>
              <w:ind w:firstLine="1200" w:firstLineChars="500"/>
              <w:jc w:val="left"/>
              <w:rPr>
                <w:rFonts w:ascii="Times New Roman" w:hAnsi="Times New Roman"/>
              </w:rPr>
            </w:pPr>
            <w:r>
              <w:rPr>
                <w:rFonts w:ascii="Times New Roman" w:hAnsi="Times New Roman"/>
              </w:rPr>
              <w:t>L—</w:t>
            </w:r>
            <w:r>
              <w:rPr>
                <w:rFonts w:hint="eastAsia" w:ascii="Times New Roman" w:hAnsi="Times New Roman"/>
              </w:rPr>
              <w:t>大气</w:t>
            </w:r>
            <w:r>
              <w:rPr>
                <w:rFonts w:ascii="Times New Roman" w:hAnsi="Times New Roman"/>
              </w:rPr>
              <w:t>有害</w:t>
            </w:r>
            <w:r>
              <w:rPr>
                <w:rFonts w:hint="eastAsia" w:ascii="Times New Roman" w:hAnsi="Times New Roman"/>
              </w:rPr>
              <w:t>物质卫生防护距离初值，单位为</w:t>
            </w:r>
            <w:r>
              <w:rPr>
                <w:rFonts w:ascii="Times New Roman" w:hAnsi="Times New Roman"/>
              </w:rPr>
              <w:t>m。</w:t>
            </w:r>
          </w:p>
          <w:p>
            <w:pPr>
              <w:widowControl/>
              <w:spacing w:line="440" w:lineRule="exact"/>
              <w:ind w:firstLine="1200" w:firstLineChars="500"/>
              <w:jc w:val="left"/>
              <w:rPr>
                <w:rFonts w:ascii="Times New Roman" w:hAnsi="Times New Roman"/>
              </w:rPr>
            </w:pPr>
            <w:r>
              <w:rPr>
                <w:rFonts w:ascii="Times New Roman" w:hAnsi="Times New Roman"/>
              </w:rPr>
              <w:t>r—</w:t>
            </w:r>
            <w:r>
              <w:rPr>
                <w:rFonts w:hint="eastAsia" w:ascii="Times New Roman" w:hAnsi="Times New Roman"/>
              </w:rPr>
              <w:t>大气</w:t>
            </w:r>
            <w:r>
              <w:rPr>
                <w:rFonts w:ascii="Times New Roman" w:hAnsi="Times New Roman"/>
              </w:rPr>
              <w:t>有害</w:t>
            </w:r>
            <w:r>
              <w:rPr>
                <w:rFonts w:hint="eastAsia" w:ascii="Times New Roman" w:hAnsi="Times New Roman"/>
              </w:rPr>
              <w:t>物质</w:t>
            </w:r>
            <w:r>
              <w:rPr>
                <w:rFonts w:ascii="Times New Roman" w:hAnsi="Times New Roman"/>
              </w:rPr>
              <w:t>无组织排放源所在生产单元的等效半径，</w:t>
            </w:r>
            <w:r>
              <w:rPr>
                <w:rFonts w:hint="eastAsia" w:ascii="Times New Roman" w:hAnsi="Times New Roman"/>
              </w:rPr>
              <w:t>单位为</w:t>
            </w:r>
            <w:r>
              <w:rPr>
                <w:rFonts w:ascii="Times New Roman" w:hAnsi="Times New Roman"/>
              </w:rPr>
              <w:t>m。</w:t>
            </w:r>
          </w:p>
          <w:p>
            <w:pPr>
              <w:widowControl/>
              <w:spacing w:line="440" w:lineRule="exact"/>
              <w:ind w:firstLine="1200" w:firstLineChars="500"/>
              <w:jc w:val="left"/>
              <w:rPr>
                <w:rFonts w:ascii="Times New Roman" w:hAnsi="Times New Roman"/>
              </w:rPr>
            </w:pPr>
            <w:r>
              <w:rPr>
                <w:rFonts w:ascii="Times New Roman" w:hAnsi="Times New Roman"/>
              </w:rPr>
              <w:t>A、B、C、D—</w:t>
            </w:r>
            <w:r>
              <w:rPr>
                <w:rFonts w:hint="eastAsia" w:ascii="Times New Roman" w:hAnsi="Times New Roman"/>
              </w:rPr>
              <w:t>卫生</w:t>
            </w:r>
            <w:r>
              <w:rPr>
                <w:rFonts w:ascii="Times New Roman" w:hAnsi="Times New Roman"/>
              </w:rPr>
              <w:t>防护距离</w:t>
            </w:r>
            <w:r>
              <w:rPr>
                <w:rFonts w:hint="eastAsia" w:ascii="Times New Roman" w:hAnsi="Times New Roman"/>
              </w:rPr>
              <w:t>初值</w:t>
            </w:r>
            <w:r>
              <w:rPr>
                <w:rFonts w:ascii="Times New Roman" w:hAnsi="Times New Roman"/>
              </w:rPr>
              <w:t>计算系数</w:t>
            </w:r>
            <w:r>
              <w:rPr>
                <w:rFonts w:hint="eastAsia" w:ascii="Times New Roman" w:hAnsi="Times New Roman"/>
              </w:rPr>
              <w:t>，无因次，根据工业企业所在地区近5年平均风速及大气污染源构成类别从</w:t>
            </w:r>
            <w:r>
              <w:rPr>
                <w:rFonts w:ascii="Times New Roman" w:hAnsi="Times New Roman"/>
              </w:rPr>
              <w:t>GB/T39499-2020《</w:t>
            </w:r>
            <w:r>
              <w:rPr>
                <w:rFonts w:hint="eastAsia" w:ascii="Times New Roman" w:hAnsi="Times New Roman"/>
              </w:rPr>
              <w:t>大气有害物质无组织排放卫生防护距离推导技术导则</w:t>
            </w:r>
            <w:r>
              <w:rPr>
                <w:rFonts w:ascii="Times New Roman" w:hAnsi="Times New Roman"/>
              </w:rPr>
              <w:t>》</w:t>
            </w:r>
            <w:r>
              <w:rPr>
                <w:rFonts w:hint="eastAsia" w:ascii="Times New Roman" w:hAnsi="Times New Roman"/>
              </w:rPr>
              <w:t>中表1查取。</w:t>
            </w:r>
          </w:p>
          <w:p>
            <w:pPr>
              <w:widowControl/>
              <w:spacing w:line="420" w:lineRule="exact"/>
              <w:ind w:firstLine="480"/>
              <w:jc w:val="left"/>
              <w:rPr>
                <w:rFonts w:ascii="Times New Roman" w:hAnsi="Times New Roman"/>
              </w:rPr>
            </w:pPr>
            <w:r>
              <w:rPr>
                <w:rFonts w:hint="eastAsia" w:ascii="Times New Roman" w:hAnsi="Times New Roman"/>
              </w:rPr>
              <w:t>本项目卫生防护距离初值计算</w:t>
            </w:r>
            <w:r>
              <w:rPr>
                <w:rFonts w:ascii="Times New Roman" w:hAnsi="Times New Roman"/>
              </w:rPr>
              <w:t>参数选取及计算结果见下表。</w:t>
            </w:r>
          </w:p>
          <w:p>
            <w:pPr>
              <w:pStyle w:val="34"/>
              <w:spacing w:before="120" w:line="440" w:lineRule="exact"/>
              <w:ind w:firstLine="422"/>
              <w:rPr>
                <w:rFonts w:ascii="Times New Roman" w:hAnsi="Times New Roman"/>
                <w:b/>
                <w:bCs/>
                <w:sz w:val="21"/>
                <w:szCs w:val="21"/>
              </w:rPr>
            </w:pPr>
            <w:r>
              <w:rPr>
                <w:rFonts w:hint="eastAsia" w:ascii="Times New Roman" w:hAnsi="Times New Roman"/>
                <w:b/>
                <w:bCs/>
                <w:sz w:val="21"/>
                <w:szCs w:val="21"/>
              </w:rPr>
              <w:t>表4.2-4卫生</w:t>
            </w:r>
            <w:r>
              <w:rPr>
                <w:rFonts w:ascii="Times New Roman" w:hAnsi="Times New Roman"/>
                <w:b/>
                <w:bCs/>
                <w:sz w:val="21"/>
                <w:szCs w:val="21"/>
              </w:rPr>
              <w:t>防护距离计算参数及计算结果一览表</w:t>
            </w:r>
          </w:p>
          <w:tbl>
            <w:tblPr>
              <w:tblStyle w:val="25"/>
              <w:tblW w:w="8734" w:type="dxa"/>
              <w:jc w:val="center"/>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autofit"/>
              <w:tblCellMar>
                <w:top w:w="0" w:type="dxa"/>
                <w:left w:w="108" w:type="dxa"/>
                <w:bottom w:w="0" w:type="dxa"/>
                <w:right w:w="108" w:type="dxa"/>
              </w:tblCellMar>
            </w:tblPr>
            <w:tblGrid>
              <w:gridCol w:w="1364"/>
              <w:gridCol w:w="911"/>
              <w:gridCol w:w="1215"/>
              <w:gridCol w:w="1053"/>
              <w:gridCol w:w="761"/>
              <w:gridCol w:w="586"/>
              <w:gridCol w:w="761"/>
              <w:gridCol w:w="642"/>
              <w:gridCol w:w="642"/>
              <w:gridCol w:w="799"/>
            </w:tblGrid>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60" w:hRule="atLeast"/>
                <w:jc w:val="center"/>
              </w:trPr>
              <w:tc>
                <w:tcPr>
                  <w:tcW w:w="1364" w:type="dxa"/>
                  <w:vAlign w:val="center"/>
                </w:tcPr>
                <w:p>
                  <w:pPr>
                    <w:widowControl/>
                    <w:spacing w:line="240" w:lineRule="atLeast"/>
                    <w:jc w:val="center"/>
                    <w:rPr>
                      <w:rFonts w:ascii="Times New Roman" w:hAnsi="Times New Roman"/>
                      <w:sz w:val="18"/>
                      <w:szCs w:val="18"/>
                    </w:rPr>
                  </w:pPr>
                  <w:r>
                    <w:rPr>
                      <w:rFonts w:ascii="Times New Roman" w:hAnsi="Times New Roman"/>
                      <w:sz w:val="18"/>
                      <w:szCs w:val="18"/>
                    </w:rPr>
                    <w:t>面源</w:t>
                  </w:r>
                </w:p>
              </w:tc>
              <w:tc>
                <w:tcPr>
                  <w:tcW w:w="911" w:type="dxa"/>
                  <w:vAlign w:val="center"/>
                </w:tcPr>
                <w:p>
                  <w:pPr>
                    <w:keepNext/>
                    <w:widowControl/>
                    <w:spacing w:line="240" w:lineRule="atLeast"/>
                    <w:jc w:val="center"/>
                    <w:rPr>
                      <w:rFonts w:ascii="Times New Roman" w:hAnsi="Times New Roman"/>
                      <w:sz w:val="18"/>
                      <w:szCs w:val="18"/>
                    </w:rPr>
                  </w:pPr>
                  <w:r>
                    <w:rPr>
                      <w:rFonts w:ascii="Times New Roman" w:hAnsi="Times New Roman"/>
                      <w:sz w:val="18"/>
                      <w:szCs w:val="18"/>
                    </w:rPr>
                    <w:t>污染物</w:t>
                  </w:r>
                </w:p>
              </w:tc>
              <w:tc>
                <w:tcPr>
                  <w:tcW w:w="1215" w:type="dxa"/>
                  <w:shd w:val="clear" w:color="auto" w:fill="auto"/>
                  <w:vAlign w:val="center"/>
                </w:tcPr>
                <w:p>
                  <w:pPr>
                    <w:keepNext/>
                    <w:widowControl/>
                    <w:spacing w:line="240" w:lineRule="atLeast"/>
                    <w:jc w:val="center"/>
                    <w:rPr>
                      <w:rFonts w:ascii="Times New Roman" w:hAnsi="Times New Roman"/>
                      <w:sz w:val="18"/>
                      <w:szCs w:val="18"/>
                    </w:rPr>
                  </w:pPr>
                  <w:r>
                    <w:rPr>
                      <w:rFonts w:ascii="Times New Roman" w:hAnsi="Times New Roman"/>
                      <w:sz w:val="18"/>
                      <w:szCs w:val="18"/>
                    </w:rPr>
                    <w:t>C</w:t>
                  </w:r>
                  <w:r>
                    <w:rPr>
                      <w:rFonts w:ascii="Times New Roman" w:hAnsi="Times New Roman"/>
                      <w:sz w:val="18"/>
                      <w:szCs w:val="18"/>
                      <w:vertAlign w:val="subscript"/>
                    </w:rPr>
                    <w:t>m</w:t>
                  </w:r>
                  <w:r>
                    <w:rPr>
                      <w:rFonts w:ascii="Times New Roman" w:hAnsi="Times New Roman"/>
                      <w:sz w:val="18"/>
                      <w:szCs w:val="18"/>
                    </w:rPr>
                    <w:t>(mg/m</w:t>
                  </w:r>
                  <w:r>
                    <w:rPr>
                      <w:rFonts w:ascii="Times New Roman" w:hAnsi="Times New Roman"/>
                      <w:sz w:val="18"/>
                      <w:szCs w:val="18"/>
                      <w:vertAlign w:val="superscript"/>
                    </w:rPr>
                    <w:t>3</w:t>
                  </w:r>
                  <w:r>
                    <w:rPr>
                      <w:rFonts w:ascii="Times New Roman" w:hAnsi="Times New Roman"/>
                      <w:sz w:val="18"/>
                      <w:szCs w:val="18"/>
                    </w:rPr>
                    <w:t>)</w:t>
                  </w:r>
                </w:p>
              </w:tc>
              <w:tc>
                <w:tcPr>
                  <w:tcW w:w="1053" w:type="dxa"/>
                  <w:shd w:val="clear" w:color="auto" w:fill="auto"/>
                  <w:vAlign w:val="center"/>
                </w:tcPr>
                <w:p>
                  <w:pPr>
                    <w:keepNext/>
                    <w:widowControl/>
                    <w:spacing w:line="240" w:lineRule="atLeast"/>
                    <w:jc w:val="center"/>
                    <w:rPr>
                      <w:rFonts w:ascii="Times New Roman" w:hAnsi="Times New Roman"/>
                      <w:sz w:val="18"/>
                      <w:szCs w:val="18"/>
                    </w:rPr>
                  </w:pPr>
                  <w:r>
                    <w:rPr>
                      <w:rFonts w:ascii="Times New Roman" w:hAnsi="Times New Roman"/>
                      <w:sz w:val="18"/>
                      <w:szCs w:val="18"/>
                    </w:rPr>
                    <w:t>Q</w:t>
                  </w:r>
                  <w:r>
                    <w:rPr>
                      <w:rFonts w:ascii="Times New Roman" w:hAnsi="Times New Roman"/>
                      <w:sz w:val="18"/>
                      <w:szCs w:val="18"/>
                      <w:vertAlign w:val="subscript"/>
                    </w:rPr>
                    <w:t>c</w:t>
                  </w:r>
                  <w:r>
                    <w:rPr>
                      <w:rFonts w:ascii="Times New Roman" w:hAnsi="Times New Roman"/>
                      <w:sz w:val="18"/>
                      <w:szCs w:val="18"/>
                    </w:rPr>
                    <w:t>(kg/h)</w:t>
                  </w:r>
                </w:p>
              </w:tc>
              <w:tc>
                <w:tcPr>
                  <w:tcW w:w="761" w:type="dxa"/>
                  <w:shd w:val="clear" w:color="auto" w:fill="auto"/>
                  <w:vAlign w:val="center"/>
                </w:tcPr>
                <w:p>
                  <w:pPr>
                    <w:keepNext/>
                    <w:widowControl/>
                    <w:spacing w:line="240" w:lineRule="atLeast"/>
                    <w:jc w:val="center"/>
                    <w:rPr>
                      <w:rFonts w:ascii="Times New Roman" w:hAnsi="Times New Roman"/>
                      <w:sz w:val="18"/>
                      <w:szCs w:val="18"/>
                    </w:rPr>
                  </w:pPr>
                  <w:r>
                    <w:rPr>
                      <w:rFonts w:ascii="Times New Roman" w:hAnsi="Times New Roman"/>
                      <w:sz w:val="18"/>
                      <w:szCs w:val="18"/>
                    </w:rPr>
                    <w:t>r(m)</w:t>
                  </w:r>
                </w:p>
              </w:tc>
              <w:tc>
                <w:tcPr>
                  <w:tcW w:w="586" w:type="dxa"/>
                  <w:shd w:val="clear" w:color="auto" w:fill="auto"/>
                  <w:vAlign w:val="center"/>
                </w:tcPr>
                <w:p>
                  <w:pPr>
                    <w:keepNext/>
                    <w:widowControl/>
                    <w:spacing w:line="240" w:lineRule="atLeast"/>
                    <w:jc w:val="center"/>
                    <w:rPr>
                      <w:rFonts w:ascii="Times New Roman" w:hAnsi="Times New Roman"/>
                      <w:sz w:val="18"/>
                      <w:szCs w:val="18"/>
                    </w:rPr>
                  </w:pPr>
                  <w:r>
                    <w:rPr>
                      <w:rFonts w:ascii="Times New Roman" w:hAnsi="Times New Roman"/>
                      <w:sz w:val="18"/>
                      <w:szCs w:val="18"/>
                    </w:rPr>
                    <w:t>A</w:t>
                  </w:r>
                </w:p>
              </w:tc>
              <w:tc>
                <w:tcPr>
                  <w:tcW w:w="761" w:type="dxa"/>
                  <w:shd w:val="clear" w:color="auto" w:fill="auto"/>
                  <w:vAlign w:val="center"/>
                </w:tcPr>
                <w:p>
                  <w:pPr>
                    <w:keepNext/>
                    <w:widowControl/>
                    <w:spacing w:line="240" w:lineRule="atLeast"/>
                    <w:jc w:val="center"/>
                    <w:rPr>
                      <w:rFonts w:ascii="Times New Roman" w:hAnsi="Times New Roman"/>
                      <w:sz w:val="18"/>
                      <w:szCs w:val="18"/>
                    </w:rPr>
                  </w:pPr>
                  <w:r>
                    <w:rPr>
                      <w:rFonts w:ascii="Times New Roman" w:hAnsi="Times New Roman"/>
                      <w:sz w:val="18"/>
                      <w:szCs w:val="18"/>
                    </w:rPr>
                    <w:t>B</w:t>
                  </w:r>
                </w:p>
              </w:tc>
              <w:tc>
                <w:tcPr>
                  <w:tcW w:w="642" w:type="dxa"/>
                  <w:shd w:val="clear" w:color="auto" w:fill="auto"/>
                  <w:vAlign w:val="center"/>
                </w:tcPr>
                <w:p>
                  <w:pPr>
                    <w:keepNext/>
                    <w:widowControl/>
                    <w:spacing w:line="240" w:lineRule="atLeast"/>
                    <w:jc w:val="center"/>
                    <w:rPr>
                      <w:rFonts w:ascii="Times New Roman" w:hAnsi="Times New Roman"/>
                      <w:sz w:val="18"/>
                      <w:szCs w:val="18"/>
                    </w:rPr>
                  </w:pPr>
                  <w:r>
                    <w:rPr>
                      <w:rFonts w:ascii="Times New Roman" w:hAnsi="Times New Roman"/>
                      <w:sz w:val="18"/>
                      <w:szCs w:val="18"/>
                    </w:rPr>
                    <w:t>C</w:t>
                  </w:r>
                </w:p>
              </w:tc>
              <w:tc>
                <w:tcPr>
                  <w:tcW w:w="642" w:type="dxa"/>
                  <w:shd w:val="clear" w:color="auto" w:fill="auto"/>
                  <w:vAlign w:val="center"/>
                </w:tcPr>
                <w:p>
                  <w:pPr>
                    <w:keepNext/>
                    <w:widowControl/>
                    <w:spacing w:line="240" w:lineRule="atLeast"/>
                    <w:jc w:val="center"/>
                    <w:rPr>
                      <w:rFonts w:ascii="Times New Roman" w:hAnsi="Times New Roman"/>
                      <w:sz w:val="18"/>
                      <w:szCs w:val="18"/>
                    </w:rPr>
                  </w:pPr>
                  <w:r>
                    <w:rPr>
                      <w:rFonts w:ascii="Times New Roman" w:hAnsi="Times New Roman"/>
                      <w:sz w:val="18"/>
                      <w:szCs w:val="18"/>
                    </w:rPr>
                    <w:t>D</w:t>
                  </w:r>
                </w:p>
              </w:tc>
              <w:tc>
                <w:tcPr>
                  <w:tcW w:w="799" w:type="dxa"/>
                  <w:shd w:val="clear" w:color="auto" w:fill="auto"/>
                  <w:vAlign w:val="center"/>
                </w:tcPr>
                <w:p>
                  <w:pPr>
                    <w:keepNext/>
                    <w:widowControl/>
                    <w:spacing w:line="240" w:lineRule="atLeast"/>
                    <w:jc w:val="center"/>
                    <w:rPr>
                      <w:rFonts w:ascii="Times New Roman" w:hAnsi="Times New Roman"/>
                      <w:sz w:val="18"/>
                      <w:szCs w:val="18"/>
                    </w:rPr>
                  </w:pPr>
                  <w:r>
                    <w:rPr>
                      <w:rFonts w:ascii="Times New Roman" w:hAnsi="Times New Roman"/>
                      <w:sz w:val="18"/>
                      <w:szCs w:val="18"/>
                    </w:rPr>
                    <w:t>L(m)</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60" w:hRule="atLeast"/>
                <w:jc w:val="center"/>
              </w:trPr>
              <w:tc>
                <w:tcPr>
                  <w:tcW w:w="1364" w:type="dxa"/>
                  <w:vAlign w:val="center"/>
                </w:tcPr>
                <w:p>
                  <w:pPr>
                    <w:spacing w:line="240" w:lineRule="atLeast"/>
                    <w:jc w:val="center"/>
                    <w:textAlignment w:val="center"/>
                    <w:rPr>
                      <w:rFonts w:ascii="Times New Roman" w:hAnsi="Times New Roman"/>
                      <w:sz w:val="18"/>
                      <w:szCs w:val="18"/>
                    </w:rPr>
                  </w:pPr>
                  <w:r>
                    <w:rPr>
                      <w:rFonts w:hint="eastAsia" w:ascii="Times New Roman" w:hAnsi="Times New Roman"/>
                      <w:sz w:val="18"/>
                      <w:szCs w:val="18"/>
                    </w:rPr>
                    <w:t>原料堆场</w:t>
                  </w:r>
                </w:p>
              </w:tc>
              <w:tc>
                <w:tcPr>
                  <w:tcW w:w="911" w:type="dxa"/>
                  <w:vAlign w:val="center"/>
                </w:tcPr>
                <w:p>
                  <w:pPr>
                    <w:keepNext/>
                    <w:widowControl/>
                    <w:spacing w:line="240" w:lineRule="atLeast"/>
                    <w:jc w:val="center"/>
                    <w:rPr>
                      <w:rFonts w:ascii="Times New Roman" w:hAnsi="Times New Roman"/>
                      <w:sz w:val="18"/>
                      <w:szCs w:val="18"/>
                    </w:rPr>
                  </w:pPr>
                  <w:r>
                    <w:rPr>
                      <w:rFonts w:hint="eastAsia" w:ascii="Times New Roman" w:hAnsi="Times New Roman"/>
                      <w:sz w:val="18"/>
                      <w:szCs w:val="18"/>
                    </w:rPr>
                    <w:t>颗粒物</w:t>
                  </w:r>
                </w:p>
              </w:tc>
              <w:tc>
                <w:tcPr>
                  <w:tcW w:w="1215" w:type="dxa"/>
                  <w:shd w:val="clear" w:color="auto" w:fill="auto"/>
                  <w:vAlign w:val="center"/>
                </w:tcPr>
                <w:p>
                  <w:pPr>
                    <w:keepNext/>
                    <w:widowControl/>
                    <w:spacing w:line="240" w:lineRule="atLeast"/>
                    <w:jc w:val="center"/>
                    <w:rPr>
                      <w:rFonts w:ascii="Times New Roman" w:hAnsi="Times New Roman"/>
                      <w:sz w:val="18"/>
                      <w:szCs w:val="18"/>
                    </w:rPr>
                  </w:pPr>
                  <w:r>
                    <w:rPr>
                      <w:rFonts w:hint="eastAsia" w:ascii="Times New Roman" w:hAnsi="Times New Roman"/>
                      <w:sz w:val="18"/>
                      <w:szCs w:val="18"/>
                    </w:rPr>
                    <w:t>0.9</w:t>
                  </w:r>
                </w:p>
              </w:tc>
              <w:tc>
                <w:tcPr>
                  <w:tcW w:w="1053" w:type="dxa"/>
                  <w:shd w:val="clear" w:color="auto" w:fill="auto"/>
                  <w:vAlign w:val="center"/>
                </w:tcPr>
                <w:p>
                  <w:pPr>
                    <w:keepNext/>
                    <w:widowControl/>
                    <w:spacing w:line="240" w:lineRule="atLeast"/>
                    <w:jc w:val="center"/>
                    <w:rPr>
                      <w:rFonts w:ascii="Times New Roman" w:hAnsi="Times New Roman"/>
                      <w:sz w:val="18"/>
                      <w:szCs w:val="18"/>
                    </w:rPr>
                  </w:pPr>
                  <w:r>
                    <w:rPr>
                      <w:rFonts w:hint="eastAsia" w:ascii="Times New Roman" w:hAnsi="Times New Roman"/>
                      <w:sz w:val="18"/>
                      <w:szCs w:val="18"/>
                    </w:rPr>
                    <w:t>0.56</w:t>
                  </w:r>
                </w:p>
              </w:tc>
              <w:tc>
                <w:tcPr>
                  <w:tcW w:w="761" w:type="dxa"/>
                  <w:shd w:val="clear" w:color="auto" w:fill="auto"/>
                  <w:vAlign w:val="center"/>
                </w:tcPr>
                <w:p>
                  <w:pPr>
                    <w:keepNext/>
                    <w:widowControl/>
                    <w:spacing w:line="240" w:lineRule="atLeast"/>
                    <w:jc w:val="center"/>
                    <w:rPr>
                      <w:rFonts w:ascii="Times New Roman" w:hAnsi="Times New Roman"/>
                      <w:sz w:val="18"/>
                      <w:szCs w:val="18"/>
                    </w:rPr>
                  </w:pPr>
                  <w:r>
                    <w:rPr>
                      <w:rFonts w:hint="eastAsia" w:ascii="Times New Roman" w:hAnsi="Times New Roman"/>
                      <w:sz w:val="18"/>
                      <w:szCs w:val="18"/>
                    </w:rPr>
                    <w:t>14.9</w:t>
                  </w:r>
                </w:p>
              </w:tc>
              <w:tc>
                <w:tcPr>
                  <w:tcW w:w="586" w:type="dxa"/>
                  <w:shd w:val="clear" w:color="auto" w:fill="auto"/>
                  <w:vAlign w:val="center"/>
                </w:tcPr>
                <w:p>
                  <w:pPr>
                    <w:keepNext/>
                    <w:widowControl/>
                    <w:spacing w:line="240" w:lineRule="atLeast"/>
                    <w:jc w:val="center"/>
                    <w:rPr>
                      <w:rFonts w:ascii="Times New Roman" w:hAnsi="Times New Roman"/>
                      <w:sz w:val="18"/>
                      <w:szCs w:val="18"/>
                    </w:rPr>
                  </w:pPr>
                  <w:r>
                    <w:rPr>
                      <w:rFonts w:hint="eastAsia" w:ascii="Times New Roman" w:hAnsi="Times New Roman"/>
                      <w:sz w:val="18"/>
                      <w:szCs w:val="18"/>
                    </w:rPr>
                    <w:t>4</w:t>
                  </w:r>
                  <w:r>
                    <w:rPr>
                      <w:rFonts w:ascii="Times New Roman" w:hAnsi="Times New Roman"/>
                      <w:sz w:val="18"/>
                      <w:szCs w:val="18"/>
                    </w:rPr>
                    <w:t>00</w:t>
                  </w:r>
                </w:p>
              </w:tc>
              <w:tc>
                <w:tcPr>
                  <w:tcW w:w="761" w:type="dxa"/>
                  <w:shd w:val="clear" w:color="auto" w:fill="auto"/>
                  <w:vAlign w:val="center"/>
                </w:tcPr>
                <w:p>
                  <w:pPr>
                    <w:keepNext/>
                    <w:widowControl/>
                    <w:spacing w:line="240" w:lineRule="atLeast"/>
                    <w:jc w:val="center"/>
                    <w:rPr>
                      <w:rFonts w:ascii="Times New Roman" w:hAnsi="Times New Roman"/>
                      <w:sz w:val="18"/>
                      <w:szCs w:val="18"/>
                    </w:rPr>
                  </w:pPr>
                  <w:r>
                    <w:rPr>
                      <w:rFonts w:hint="eastAsia" w:ascii="Times New Roman" w:hAnsi="Times New Roman"/>
                      <w:sz w:val="18"/>
                      <w:szCs w:val="18"/>
                    </w:rPr>
                    <w:t>0</w:t>
                  </w:r>
                  <w:r>
                    <w:rPr>
                      <w:rFonts w:ascii="Times New Roman" w:hAnsi="Times New Roman"/>
                      <w:sz w:val="18"/>
                      <w:szCs w:val="18"/>
                    </w:rPr>
                    <w:t>.010</w:t>
                  </w:r>
                </w:p>
              </w:tc>
              <w:tc>
                <w:tcPr>
                  <w:tcW w:w="642" w:type="dxa"/>
                  <w:shd w:val="clear" w:color="auto" w:fill="auto"/>
                  <w:vAlign w:val="center"/>
                </w:tcPr>
                <w:p>
                  <w:pPr>
                    <w:keepNext/>
                    <w:widowControl/>
                    <w:spacing w:line="240" w:lineRule="atLeast"/>
                    <w:jc w:val="center"/>
                    <w:rPr>
                      <w:rFonts w:ascii="Times New Roman" w:hAnsi="Times New Roman"/>
                      <w:sz w:val="18"/>
                      <w:szCs w:val="18"/>
                    </w:rPr>
                  </w:pPr>
                  <w:r>
                    <w:rPr>
                      <w:rFonts w:hint="eastAsia" w:ascii="Times New Roman" w:hAnsi="Times New Roman"/>
                      <w:sz w:val="18"/>
                      <w:szCs w:val="18"/>
                    </w:rPr>
                    <w:t>1</w:t>
                  </w:r>
                  <w:r>
                    <w:rPr>
                      <w:rFonts w:ascii="Times New Roman" w:hAnsi="Times New Roman"/>
                      <w:sz w:val="18"/>
                      <w:szCs w:val="18"/>
                    </w:rPr>
                    <w:t>.85</w:t>
                  </w:r>
                </w:p>
              </w:tc>
              <w:tc>
                <w:tcPr>
                  <w:tcW w:w="642" w:type="dxa"/>
                  <w:shd w:val="clear" w:color="auto" w:fill="auto"/>
                  <w:vAlign w:val="center"/>
                </w:tcPr>
                <w:p>
                  <w:pPr>
                    <w:keepNext/>
                    <w:widowControl/>
                    <w:spacing w:line="240" w:lineRule="atLeast"/>
                    <w:jc w:val="center"/>
                    <w:rPr>
                      <w:rFonts w:ascii="Times New Roman" w:hAnsi="Times New Roman"/>
                      <w:sz w:val="18"/>
                      <w:szCs w:val="18"/>
                    </w:rPr>
                  </w:pPr>
                  <w:r>
                    <w:rPr>
                      <w:rFonts w:hint="eastAsia" w:ascii="Times New Roman" w:hAnsi="Times New Roman"/>
                      <w:sz w:val="18"/>
                      <w:szCs w:val="18"/>
                    </w:rPr>
                    <w:t>0</w:t>
                  </w:r>
                  <w:r>
                    <w:rPr>
                      <w:rFonts w:ascii="Times New Roman" w:hAnsi="Times New Roman"/>
                      <w:sz w:val="18"/>
                      <w:szCs w:val="18"/>
                    </w:rPr>
                    <w:t>.78</w:t>
                  </w:r>
                </w:p>
              </w:tc>
              <w:tc>
                <w:tcPr>
                  <w:tcW w:w="799" w:type="dxa"/>
                  <w:shd w:val="clear" w:color="auto" w:fill="auto"/>
                  <w:vAlign w:val="center"/>
                </w:tcPr>
                <w:p>
                  <w:pPr>
                    <w:keepNext/>
                    <w:widowControl/>
                    <w:spacing w:line="240" w:lineRule="atLeast"/>
                    <w:jc w:val="center"/>
                    <w:rPr>
                      <w:rFonts w:ascii="Times New Roman" w:hAnsi="Times New Roman"/>
                      <w:sz w:val="18"/>
                      <w:szCs w:val="18"/>
                    </w:rPr>
                  </w:pPr>
                  <w:r>
                    <w:rPr>
                      <w:rFonts w:hint="eastAsia" w:ascii="Times New Roman" w:hAnsi="Times New Roman"/>
                      <w:sz w:val="18"/>
                      <w:szCs w:val="18"/>
                    </w:rPr>
                    <w:t>70.13</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60" w:hRule="atLeast"/>
                <w:jc w:val="center"/>
              </w:trPr>
              <w:tc>
                <w:tcPr>
                  <w:tcW w:w="1364" w:type="dxa"/>
                  <w:vAlign w:val="center"/>
                </w:tcPr>
                <w:p>
                  <w:pPr>
                    <w:spacing w:line="240" w:lineRule="atLeast"/>
                    <w:jc w:val="center"/>
                    <w:textAlignment w:val="center"/>
                    <w:rPr>
                      <w:rFonts w:ascii="Times New Roman" w:hAnsi="Times New Roman"/>
                      <w:sz w:val="18"/>
                      <w:szCs w:val="18"/>
                    </w:rPr>
                  </w:pPr>
                  <w:r>
                    <w:rPr>
                      <w:rFonts w:hint="eastAsia" w:ascii="Times New Roman" w:hAnsi="Times New Roman"/>
                      <w:sz w:val="18"/>
                      <w:szCs w:val="18"/>
                    </w:rPr>
                    <w:t>尾渣堆场</w:t>
                  </w:r>
                </w:p>
              </w:tc>
              <w:tc>
                <w:tcPr>
                  <w:tcW w:w="911" w:type="dxa"/>
                  <w:vAlign w:val="center"/>
                </w:tcPr>
                <w:p>
                  <w:pPr>
                    <w:keepNext/>
                    <w:widowControl/>
                    <w:spacing w:line="240" w:lineRule="atLeast"/>
                    <w:jc w:val="center"/>
                    <w:rPr>
                      <w:rFonts w:ascii="Times New Roman" w:hAnsi="Times New Roman"/>
                      <w:sz w:val="18"/>
                      <w:szCs w:val="18"/>
                    </w:rPr>
                  </w:pPr>
                  <w:r>
                    <w:rPr>
                      <w:rFonts w:hint="eastAsia" w:ascii="Times New Roman" w:hAnsi="Times New Roman"/>
                      <w:sz w:val="18"/>
                      <w:szCs w:val="18"/>
                    </w:rPr>
                    <w:t>颗粒物</w:t>
                  </w:r>
                </w:p>
              </w:tc>
              <w:tc>
                <w:tcPr>
                  <w:tcW w:w="1215" w:type="dxa"/>
                  <w:shd w:val="clear" w:color="auto" w:fill="auto"/>
                  <w:vAlign w:val="center"/>
                </w:tcPr>
                <w:p>
                  <w:pPr>
                    <w:keepNext/>
                    <w:widowControl/>
                    <w:spacing w:line="240" w:lineRule="atLeast"/>
                    <w:jc w:val="center"/>
                    <w:rPr>
                      <w:rFonts w:ascii="Times New Roman" w:hAnsi="Times New Roman"/>
                      <w:sz w:val="18"/>
                      <w:szCs w:val="18"/>
                    </w:rPr>
                  </w:pPr>
                  <w:r>
                    <w:rPr>
                      <w:rFonts w:hint="eastAsia" w:ascii="Times New Roman" w:hAnsi="Times New Roman"/>
                      <w:sz w:val="18"/>
                      <w:szCs w:val="18"/>
                    </w:rPr>
                    <w:t>0.9</w:t>
                  </w:r>
                </w:p>
              </w:tc>
              <w:tc>
                <w:tcPr>
                  <w:tcW w:w="1053" w:type="dxa"/>
                  <w:shd w:val="clear" w:color="auto" w:fill="auto"/>
                  <w:vAlign w:val="center"/>
                </w:tcPr>
                <w:p>
                  <w:pPr>
                    <w:keepNext/>
                    <w:widowControl/>
                    <w:spacing w:line="240" w:lineRule="atLeast"/>
                    <w:jc w:val="center"/>
                    <w:rPr>
                      <w:rFonts w:ascii="Times New Roman" w:hAnsi="Times New Roman"/>
                      <w:sz w:val="18"/>
                      <w:szCs w:val="18"/>
                    </w:rPr>
                  </w:pPr>
                  <w:r>
                    <w:rPr>
                      <w:rFonts w:hint="eastAsia" w:ascii="Times New Roman" w:hAnsi="Times New Roman"/>
                      <w:sz w:val="18"/>
                      <w:szCs w:val="18"/>
                    </w:rPr>
                    <w:t>0.25</w:t>
                  </w:r>
                </w:p>
              </w:tc>
              <w:tc>
                <w:tcPr>
                  <w:tcW w:w="761" w:type="dxa"/>
                  <w:shd w:val="clear" w:color="auto" w:fill="auto"/>
                  <w:vAlign w:val="center"/>
                </w:tcPr>
                <w:p>
                  <w:pPr>
                    <w:keepNext/>
                    <w:widowControl/>
                    <w:spacing w:line="240" w:lineRule="atLeast"/>
                    <w:jc w:val="center"/>
                    <w:rPr>
                      <w:rFonts w:ascii="Times New Roman" w:hAnsi="Times New Roman"/>
                      <w:sz w:val="18"/>
                      <w:szCs w:val="18"/>
                    </w:rPr>
                  </w:pPr>
                  <w:r>
                    <w:rPr>
                      <w:rFonts w:hint="eastAsia" w:ascii="Times New Roman" w:hAnsi="Times New Roman"/>
                      <w:sz w:val="18"/>
                      <w:szCs w:val="18"/>
                    </w:rPr>
                    <w:t>10.56</w:t>
                  </w:r>
                </w:p>
              </w:tc>
              <w:tc>
                <w:tcPr>
                  <w:tcW w:w="586" w:type="dxa"/>
                  <w:shd w:val="clear" w:color="auto" w:fill="auto"/>
                  <w:vAlign w:val="center"/>
                </w:tcPr>
                <w:p>
                  <w:pPr>
                    <w:keepNext/>
                    <w:widowControl/>
                    <w:spacing w:line="240" w:lineRule="atLeast"/>
                    <w:jc w:val="center"/>
                    <w:rPr>
                      <w:rFonts w:ascii="Times New Roman" w:hAnsi="Times New Roman"/>
                      <w:sz w:val="18"/>
                      <w:szCs w:val="18"/>
                    </w:rPr>
                  </w:pPr>
                  <w:r>
                    <w:rPr>
                      <w:rFonts w:hint="eastAsia" w:ascii="Times New Roman" w:hAnsi="Times New Roman"/>
                      <w:sz w:val="18"/>
                      <w:szCs w:val="18"/>
                    </w:rPr>
                    <w:t>4</w:t>
                  </w:r>
                  <w:r>
                    <w:rPr>
                      <w:rFonts w:ascii="Times New Roman" w:hAnsi="Times New Roman"/>
                      <w:sz w:val="18"/>
                      <w:szCs w:val="18"/>
                    </w:rPr>
                    <w:t>00</w:t>
                  </w:r>
                </w:p>
              </w:tc>
              <w:tc>
                <w:tcPr>
                  <w:tcW w:w="761" w:type="dxa"/>
                  <w:shd w:val="clear" w:color="auto" w:fill="auto"/>
                  <w:vAlign w:val="center"/>
                </w:tcPr>
                <w:p>
                  <w:pPr>
                    <w:keepNext/>
                    <w:widowControl/>
                    <w:spacing w:line="240" w:lineRule="atLeast"/>
                    <w:jc w:val="center"/>
                    <w:rPr>
                      <w:rFonts w:ascii="Times New Roman" w:hAnsi="Times New Roman"/>
                      <w:sz w:val="18"/>
                      <w:szCs w:val="18"/>
                    </w:rPr>
                  </w:pPr>
                  <w:r>
                    <w:rPr>
                      <w:rFonts w:hint="eastAsia" w:ascii="Times New Roman" w:hAnsi="Times New Roman"/>
                      <w:sz w:val="18"/>
                      <w:szCs w:val="18"/>
                    </w:rPr>
                    <w:t>0</w:t>
                  </w:r>
                  <w:r>
                    <w:rPr>
                      <w:rFonts w:ascii="Times New Roman" w:hAnsi="Times New Roman"/>
                      <w:sz w:val="18"/>
                      <w:szCs w:val="18"/>
                    </w:rPr>
                    <w:t>.010</w:t>
                  </w:r>
                </w:p>
              </w:tc>
              <w:tc>
                <w:tcPr>
                  <w:tcW w:w="642" w:type="dxa"/>
                  <w:shd w:val="clear" w:color="auto" w:fill="auto"/>
                  <w:vAlign w:val="center"/>
                </w:tcPr>
                <w:p>
                  <w:pPr>
                    <w:keepNext/>
                    <w:widowControl/>
                    <w:spacing w:line="240" w:lineRule="atLeast"/>
                    <w:jc w:val="center"/>
                    <w:rPr>
                      <w:rFonts w:ascii="Times New Roman" w:hAnsi="Times New Roman"/>
                      <w:sz w:val="18"/>
                      <w:szCs w:val="18"/>
                    </w:rPr>
                  </w:pPr>
                  <w:r>
                    <w:rPr>
                      <w:rFonts w:hint="eastAsia" w:ascii="Times New Roman" w:hAnsi="Times New Roman"/>
                      <w:sz w:val="18"/>
                      <w:szCs w:val="18"/>
                    </w:rPr>
                    <w:t>1</w:t>
                  </w:r>
                  <w:r>
                    <w:rPr>
                      <w:rFonts w:ascii="Times New Roman" w:hAnsi="Times New Roman"/>
                      <w:sz w:val="18"/>
                      <w:szCs w:val="18"/>
                    </w:rPr>
                    <w:t>.85</w:t>
                  </w:r>
                </w:p>
              </w:tc>
              <w:tc>
                <w:tcPr>
                  <w:tcW w:w="642" w:type="dxa"/>
                  <w:shd w:val="clear" w:color="auto" w:fill="auto"/>
                  <w:vAlign w:val="center"/>
                </w:tcPr>
                <w:p>
                  <w:pPr>
                    <w:keepNext/>
                    <w:widowControl/>
                    <w:spacing w:line="240" w:lineRule="atLeast"/>
                    <w:jc w:val="center"/>
                    <w:rPr>
                      <w:rFonts w:ascii="Times New Roman" w:hAnsi="Times New Roman"/>
                      <w:sz w:val="18"/>
                      <w:szCs w:val="18"/>
                    </w:rPr>
                  </w:pPr>
                  <w:r>
                    <w:rPr>
                      <w:rFonts w:hint="eastAsia" w:ascii="Times New Roman" w:hAnsi="Times New Roman"/>
                      <w:sz w:val="18"/>
                      <w:szCs w:val="18"/>
                    </w:rPr>
                    <w:t>0</w:t>
                  </w:r>
                  <w:r>
                    <w:rPr>
                      <w:rFonts w:ascii="Times New Roman" w:hAnsi="Times New Roman"/>
                      <w:sz w:val="18"/>
                      <w:szCs w:val="18"/>
                    </w:rPr>
                    <w:t>.78</w:t>
                  </w:r>
                </w:p>
              </w:tc>
              <w:tc>
                <w:tcPr>
                  <w:tcW w:w="799" w:type="dxa"/>
                  <w:shd w:val="clear" w:color="auto" w:fill="auto"/>
                  <w:vAlign w:val="center"/>
                </w:tcPr>
                <w:p>
                  <w:pPr>
                    <w:keepNext/>
                    <w:widowControl/>
                    <w:spacing w:line="240" w:lineRule="atLeast"/>
                    <w:jc w:val="center"/>
                    <w:rPr>
                      <w:rFonts w:ascii="Times New Roman" w:hAnsi="Times New Roman"/>
                      <w:sz w:val="18"/>
                      <w:szCs w:val="18"/>
                    </w:rPr>
                  </w:pPr>
                  <w:r>
                    <w:rPr>
                      <w:rFonts w:hint="eastAsia" w:ascii="Times New Roman" w:hAnsi="Times New Roman"/>
                      <w:sz w:val="18"/>
                      <w:szCs w:val="18"/>
                    </w:rPr>
                    <w:t>41.08</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60" w:hRule="atLeast"/>
                <w:jc w:val="center"/>
              </w:trPr>
              <w:tc>
                <w:tcPr>
                  <w:tcW w:w="1364" w:type="dxa"/>
                  <w:vAlign w:val="center"/>
                </w:tcPr>
                <w:p>
                  <w:pPr>
                    <w:spacing w:line="240" w:lineRule="atLeast"/>
                    <w:jc w:val="center"/>
                    <w:textAlignment w:val="center"/>
                    <w:rPr>
                      <w:rFonts w:ascii="Times New Roman" w:hAnsi="Times New Roman"/>
                      <w:sz w:val="18"/>
                      <w:szCs w:val="18"/>
                    </w:rPr>
                  </w:pPr>
                  <w:r>
                    <w:rPr>
                      <w:rFonts w:hint="eastAsia" w:ascii="Times New Roman" w:hAnsi="Times New Roman"/>
                      <w:sz w:val="18"/>
                      <w:szCs w:val="18"/>
                    </w:rPr>
                    <w:t>破碎、筛分区（含铁粉仓）</w:t>
                  </w:r>
                </w:p>
              </w:tc>
              <w:tc>
                <w:tcPr>
                  <w:tcW w:w="911" w:type="dxa"/>
                  <w:vAlign w:val="center"/>
                </w:tcPr>
                <w:p>
                  <w:pPr>
                    <w:keepNext/>
                    <w:widowControl/>
                    <w:spacing w:line="240" w:lineRule="atLeast"/>
                    <w:jc w:val="center"/>
                    <w:rPr>
                      <w:rFonts w:ascii="Times New Roman" w:hAnsi="Times New Roman"/>
                      <w:sz w:val="18"/>
                      <w:szCs w:val="18"/>
                    </w:rPr>
                  </w:pPr>
                  <w:r>
                    <w:rPr>
                      <w:rFonts w:hint="eastAsia" w:ascii="Times New Roman" w:hAnsi="Times New Roman"/>
                      <w:sz w:val="18"/>
                      <w:szCs w:val="18"/>
                    </w:rPr>
                    <w:t>颗粒物</w:t>
                  </w:r>
                </w:p>
              </w:tc>
              <w:tc>
                <w:tcPr>
                  <w:tcW w:w="1215" w:type="dxa"/>
                  <w:shd w:val="clear" w:color="auto" w:fill="auto"/>
                  <w:vAlign w:val="center"/>
                </w:tcPr>
                <w:p>
                  <w:pPr>
                    <w:keepNext/>
                    <w:widowControl/>
                    <w:spacing w:line="240" w:lineRule="atLeast"/>
                    <w:jc w:val="center"/>
                    <w:rPr>
                      <w:rFonts w:ascii="Times New Roman" w:hAnsi="Times New Roman"/>
                      <w:sz w:val="18"/>
                      <w:szCs w:val="18"/>
                    </w:rPr>
                  </w:pPr>
                  <w:r>
                    <w:rPr>
                      <w:rFonts w:hint="eastAsia" w:ascii="Times New Roman" w:hAnsi="Times New Roman"/>
                      <w:sz w:val="18"/>
                      <w:szCs w:val="18"/>
                    </w:rPr>
                    <w:t>0.9</w:t>
                  </w:r>
                </w:p>
              </w:tc>
              <w:tc>
                <w:tcPr>
                  <w:tcW w:w="1053" w:type="dxa"/>
                  <w:shd w:val="clear" w:color="auto" w:fill="auto"/>
                  <w:vAlign w:val="center"/>
                </w:tcPr>
                <w:p>
                  <w:pPr>
                    <w:keepNext/>
                    <w:widowControl/>
                    <w:spacing w:line="240" w:lineRule="atLeast"/>
                    <w:jc w:val="center"/>
                    <w:rPr>
                      <w:rFonts w:ascii="Times New Roman" w:hAnsi="Times New Roman"/>
                      <w:sz w:val="18"/>
                      <w:szCs w:val="18"/>
                    </w:rPr>
                  </w:pPr>
                  <w:r>
                    <w:rPr>
                      <w:rFonts w:hint="eastAsia" w:ascii="Times New Roman" w:hAnsi="Times New Roman"/>
                      <w:sz w:val="18"/>
                      <w:szCs w:val="18"/>
                    </w:rPr>
                    <w:t>0.57</w:t>
                  </w:r>
                </w:p>
              </w:tc>
              <w:tc>
                <w:tcPr>
                  <w:tcW w:w="761" w:type="dxa"/>
                  <w:shd w:val="clear" w:color="auto" w:fill="auto"/>
                  <w:vAlign w:val="center"/>
                </w:tcPr>
                <w:p>
                  <w:pPr>
                    <w:keepNext/>
                    <w:widowControl/>
                    <w:spacing w:line="240" w:lineRule="atLeast"/>
                    <w:jc w:val="center"/>
                    <w:rPr>
                      <w:rFonts w:ascii="Times New Roman" w:hAnsi="Times New Roman"/>
                      <w:sz w:val="18"/>
                      <w:szCs w:val="18"/>
                    </w:rPr>
                  </w:pPr>
                  <w:r>
                    <w:rPr>
                      <w:rFonts w:hint="eastAsia" w:ascii="Times New Roman" w:hAnsi="Times New Roman"/>
                      <w:sz w:val="18"/>
                      <w:szCs w:val="18"/>
                    </w:rPr>
                    <w:t>23.94</w:t>
                  </w:r>
                </w:p>
              </w:tc>
              <w:tc>
                <w:tcPr>
                  <w:tcW w:w="586" w:type="dxa"/>
                  <w:shd w:val="clear" w:color="auto" w:fill="auto"/>
                  <w:vAlign w:val="center"/>
                </w:tcPr>
                <w:p>
                  <w:pPr>
                    <w:keepNext/>
                    <w:widowControl/>
                    <w:spacing w:line="240" w:lineRule="atLeast"/>
                    <w:jc w:val="center"/>
                    <w:rPr>
                      <w:rFonts w:ascii="Times New Roman" w:hAnsi="Times New Roman"/>
                      <w:sz w:val="18"/>
                      <w:szCs w:val="18"/>
                    </w:rPr>
                  </w:pPr>
                  <w:r>
                    <w:rPr>
                      <w:rFonts w:hint="eastAsia" w:ascii="Times New Roman" w:hAnsi="Times New Roman"/>
                      <w:sz w:val="18"/>
                      <w:szCs w:val="18"/>
                    </w:rPr>
                    <w:t>4</w:t>
                  </w:r>
                  <w:r>
                    <w:rPr>
                      <w:rFonts w:ascii="Times New Roman" w:hAnsi="Times New Roman"/>
                      <w:sz w:val="18"/>
                      <w:szCs w:val="18"/>
                    </w:rPr>
                    <w:t>00</w:t>
                  </w:r>
                </w:p>
              </w:tc>
              <w:tc>
                <w:tcPr>
                  <w:tcW w:w="761" w:type="dxa"/>
                  <w:shd w:val="clear" w:color="auto" w:fill="auto"/>
                  <w:vAlign w:val="center"/>
                </w:tcPr>
                <w:p>
                  <w:pPr>
                    <w:keepNext/>
                    <w:widowControl/>
                    <w:spacing w:line="240" w:lineRule="atLeast"/>
                    <w:jc w:val="center"/>
                    <w:rPr>
                      <w:rFonts w:ascii="Times New Roman" w:hAnsi="Times New Roman"/>
                      <w:sz w:val="18"/>
                      <w:szCs w:val="18"/>
                    </w:rPr>
                  </w:pPr>
                  <w:r>
                    <w:rPr>
                      <w:rFonts w:hint="eastAsia" w:ascii="Times New Roman" w:hAnsi="Times New Roman"/>
                      <w:sz w:val="18"/>
                      <w:szCs w:val="18"/>
                    </w:rPr>
                    <w:t>0</w:t>
                  </w:r>
                  <w:r>
                    <w:rPr>
                      <w:rFonts w:ascii="Times New Roman" w:hAnsi="Times New Roman"/>
                      <w:sz w:val="18"/>
                      <w:szCs w:val="18"/>
                    </w:rPr>
                    <w:t>.010</w:t>
                  </w:r>
                </w:p>
              </w:tc>
              <w:tc>
                <w:tcPr>
                  <w:tcW w:w="642" w:type="dxa"/>
                  <w:shd w:val="clear" w:color="auto" w:fill="auto"/>
                  <w:vAlign w:val="center"/>
                </w:tcPr>
                <w:p>
                  <w:pPr>
                    <w:keepNext/>
                    <w:widowControl/>
                    <w:spacing w:line="240" w:lineRule="atLeast"/>
                    <w:jc w:val="center"/>
                    <w:rPr>
                      <w:rFonts w:ascii="Times New Roman" w:hAnsi="Times New Roman"/>
                      <w:sz w:val="18"/>
                      <w:szCs w:val="18"/>
                    </w:rPr>
                  </w:pPr>
                  <w:r>
                    <w:rPr>
                      <w:rFonts w:hint="eastAsia" w:ascii="Times New Roman" w:hAnsi="Times New Roman"/>
                      <w:sz w:val="18"/>
                      <w:szCs w:val="18"/>
                    </w:rPr>
                    <w:t>1</w:t>
                  </w:r>
                  <w:r>
                    <w:rPr>
                      <w:rFonts w:ascii="Times New Roman" w:hAnsi="Times New Roman"/>
                      <w:sz w:val="18"/>
                      <w:szCs w:val="18"/>
                    </w:rPr>
                    <w:t>.85</w:t>
                  </w:r>
                </w:p>
              </w:tc>
              <w:tc>
                <w:tcPr>
                  <w:tcW w:w="642" w:type="dxa"/>
                  <w:shd w:val="clear" w:color="auto" w:fill="auto"/>
                  <w:vAlign w:val="center"/>
                </w:tcPr>
                <w:p>
                  <w:pPr>
                    <w:keepNext/>
                    <w:widowControl/>
                    <w:spacing w:line="240" w:lineRule="atLeast"/>
                    <w:jc w:val="center"/>
                    <w:rPr>
                      <w:rFonts w:ascii="Times New Roman" w:hAnsi="Times New Roman"/>
                      <w:sz w:val="18"/>
                      <w:szCs w:val="18"/>
                    </w:rPr>
                  </w:pPr>
                  <w:r>
                    <w:rPr>
                      <w:rFonts w:hint="eastAsia" w:ascii="Times New Roman" w:hAnsi="Times New Roman"/>
                      <w:sz w:val="18"/>
                      <w:szCs w:val="18"/>
                    </w:rPr>
                    <w:t>0</w:t>
                  </w:r>
                  <w:r>
                    <w:rPr>
                      <w:rFonts w:ascii="Times New Roman" w:hAnsi="Times New Roman"/>
                      <w:sz w:val="18"/>
                      <w:szCs w:val="18"/>
                    </w:rPr>
                    <w:t>.78</w:t>
                  </w:r>
                </w:p>
              </w:tc>
              <w:tc>
                <w:tcPr>
                  <w:tcW w:w="799" w:type="dxa"/>
                  <w:shd w:val="clear" w:color="auto" w:fill="auto"/>
                  <w:vAlign w:val="center"/>
                </w:tcPr>
                <w:p>
                  <w:pPr>
                    <w:keepNext/>
                    <w:widowControl/>
                    <w:spacing w:line="240" w:lineRule="atLeast"/>
                    <w:jc w:val="center"/>
                    <w:rPr>
                      <w:rFonts w:ascii="Times New Roman" w:hAnsi="Times New Roman"/>
                      <w:sz w:val="18"/>
                      <w:szCs w:val="18"/>
                    </w:rPr>
                  </w:pPr>
                  <w:r>
                    <w:rPr>
                      <w:rFonts w:hint="eastAsia" w:ascii="Times New Roman" w:hAnsi="Times New Roman"/>
                      <w:sz w:val="18"/>
                      <w:szCs w:val="18"/>
                    </w:rPr>
                    <w:t>47.42</w:t>
                  </w:r>
                </w:p>
              </w:tc>
            </w:tr>
          </w:tbl>
          <w:p>
            <w:pPr>
              <w:widowControl/>
              <w:spacing w:line="440" w:lineRule="exact"/>
              <w:ind w:firstLine="480" w:firstLineChars="200"/>
              <w:jc w:val="left"/>
              <w:rPr>
                <w:rFonts w:ascii="Times New Roman" w:hAnsi="Times New Roman"/>
              </w:rPr>
            </w:pPr>
            <w:r>
              <w:rPr>
                <w:rFonts w:hint="eastAsia" w:ascii="Times New Roman" w:hAnsi="Times New Roman"/>
              </w:rPr>
              <w:t>②卫生防护距离终值确定</w:t>
            </w:r>
          </w:p>
          <w:p>
            <w:pPr>
              <w:widowControl/>
              <w:spacing w:line="400" w:lineRule="exact"/>
              <w:ind w:firstLine="480" w:firstLineChars="200"/>
              <w:jc w:val="left"/>
              <w:rPr>
                <w:rFonts w:ascii="Times New Roman" w:hAnsi="Times New Roman"/>
              </w:rPr>
            </w:pPr>
            <w:r>
              <w:rPr>
                <w:rFonts w:hint="eastAsia" w:ascii="Times New Roman" w:hAnsi="Times New Roman"/>
              </w:rPr>
              <w:t>根据</w:t>
            </w:r>
            <w:r>
              <w:rPr>
                <w:rFonts w:ascii="Times New Roman" w:hAnsi="Times New Roman"/>
              </w:rPr>
              <w:t>《</w:t>
            </w:r>
            <w:r>
              <w:rPr>
                <w:rFonts w:hint="eastAsia" w:ascii="Times New Roman" w:hAnsi="Times New Roman"/>
              </w:rPr>
              <w:t>大气有害物质无组织排放卫生防护距离推导技术导则</w:t>
            </w:r>
            <w:r>
              <w:rPr>
                <w:rFonts w:ascii="Times New Roman" w:hAnsi="Times New Roman"/>
              </w:rPr>
              <w:t>》</w:t>
            </w:r>
            <w:r>
              <w:rPr>
                <w:rFonts w:hint="eastAsia" w:ascii="Times New Roman" w:hAnsi="Times New Roman"/>
              </w:rPr>
              <w:t>（</w:t>
            </w:r>
            <w:r>
              <w:rPr>
                <w:rFonts w:ascii="Times New Roman" w:hAnsi="Times New Roman"/>
              </w:rPr>
              <w:t>GB/T39499-2020</w:t>
            </w:r>
            <w:r>
              <w:rPr>
                <w:rFonts w:hint="eastAsia" w:ascii="Times New Roman" w:hAnsi="Times New Roman"/>
              </w:rPr>
              <w:t>），卫生防护距离初值小于50m时，级差为50m。如计算初值小于50m，卫生防护距离终值取50 m。卫生防护距离初值大于或等于50m，但小于100m时，级差为50m。如计算初值大于或等于50m并小于100m时，卫生防护距离终值取 100m。</w:t>
            </w:r>
          </w:p>
          <w:p>
            <w:pPr>
              <w:widowControl/>
              <w:spacing w:line="400" w:lineRule="exact"/>
              <w:ind w:firstLine="480" w:firstLineChars="200"/>
              <w:jc w:val="left"/>
              <w:rPr>
                <w:rFonts w:ascii="Times New Roman" w:hAnsi="Times New Roman"/>
              </w:rPr>
            </w:pPr>
            <w:r>
              <w:rPr>
                <w:rFonts w:hint="eastAsia" w:ascii="Times New Roman" w:hAnsi="Times New Roman"/>
              </w:rPr>
              <w:t>本项目面源为原料堆场、尾渣堆场、破碎筛分区（含铁粉仓），根据卫生防护距离计算，本项目原料堆场、尾渣堆场、破碎筛分区卫生防护距离分别取100m、50m、50m。</w:t>
            </w:r>
          </w:p>
          <w:p>
            <w:pPr>
              <w:spacing w:line="420" w:lineRule="atLeast"/>
              <w:ind w:left="480" w:leftChars="200"/>
              <w:rPr>
                <w:shd w:val="clear" w:color="auto" w:fill="FFFFFF"/>
              </w:rPr>
            </w:pPr>
            <w:r>
              <w:rPr>
                <w:rFonts w:hint="eastAsia"/>
                <w:shd w:val="clear" w:color="auto" w:fill="FFFFFF"/>
              </w:rPr>
              <w:t>（3）</w:t>
            </w:r>
            <w:r>
              <w:rPr>
                <w:shd w:val="clear" w:color="auto" w:fill="FFFFFF"/>
              </w:rPr>
              <w:t>环境防护距离确定</w:t>
            </w:r>
          </w:p>
          <w:p>
            <w:pPr>
              <w:widowControl/>
              <w:spacing w:line="400" w:lineRule="exact"/>
              <w:ind w:firstLine="480" w:firstLineChars="200"/>
              <w:jc w:val="left"/>
              <w:rPr>
                <w:rFonts w:ascii="宋体" w:hAnsi="宋体"/>
              </w:rPr>
            </w:pPr>
            <w:r>
              <w:rPr>
                <w:shd w:val="clear" w:color="auto" w:fill="FFFFFF"/>
              </w:rPr>
              <w:t>综合考虑项目大气环境防护距离和卫生防护距离的核算结果，确定</w:t>
            </w:r>
            <w:r>
              <w:rPr>
                <w:kern w:val="0"/>
                <w:shd w:val="clear" w:color="auto" w:fill="FFFFFF"/>
              </w:rPr>
              <w:t>项目环境防护距离</w:t>
            </w:r>
            <w:r>
              <w:rPr>
                <w:rFonts w:hint="eastAsia"/>
                <w:kern w:val="0"/>
                <w:shd w:val="clear" w:color="auto" w:fill="FFFFFF"/>
              </w:rPr>
              <w:t>为</w:t>
            </w:r>
            <w:r>
              <w:rPr>
                <w:rFonts w:hint="eastAsia" w:ascii="Times New Roman" w:hAnsi="Times New Roman"/>
              </w:rPr>
              <w:t>原料堆场、尾渣堆场、破碎筛分区外100m、50m、50m</w:t>
            </w:r>
            <w:r>
              <w:rPr>
                <w:rFonts w:hint="eastAsia"/>
                <w:kern w:val="0"/>
                <w:shd w:val="clear" w:color="auto" w:fill="FFFFFF"/>
              </w:rPr>
              <w:t>。</w:t>
            </w:r>
          </w:p>
          <w:p>
            <w:pPr>
              <w:adjustRightInd w:val="0"/>
              <w:snapToGrid w:val="0"/>
              <w:spacing w:line="440" w:lineRule="exact"/>
              <w:rPr>
                <w:rFonts w:ascii="Times New Roman" w:hAnsi="Times New Roman" w:eastAsia="黑体"/>
                <w:b/>
                <w:bCs/>
              </w:rPr>
            </w:pPr>
            <w:r>
              <w:rPr>
                <w:rFonts w:ascii="Times New Roman" w:hAnsi="Times New Roman" w:eastAsia="黑体"/>
                <w:b/>
                <w:bCs/>
              </w:rPr>
              <w:t>4.2.</w:t>
            </w:r>
            <w:r>
              <w:rPr>
                <w:rFonts w:hint="eastAsia" w:ascii="Times New Roman" w:hAnsi="Times New Roman" w:eastAsia="黑体"/>
                <w:b/>
                <w:bCs/>
              </w:rPr>
              <w:t>2</w:t>
            </w:r>
            <w:r>
              <w:rPr>
                <w:rFonts w:ascii="Times New Roman" w:hAnsi="Times New Roman" w:eastAsia="黑体"/>
                <w:b/>
                <w:bCs/>
              </w:rPr>
              <w:t>.4影响分析</w:t>
            </w:r>
          </w:p>
          <w:p>
            <w:pPr>
              <w:spacing w:line="420" w:lineRule="atLeast"/>
              <w:ind w:firstLine="480" w:firstLineChars="200"/>
            </w:pPr>
            <w:r>
              <w:t>项目周边主要为山林地，</w:t>
            </w:r>
            <w:r>
              <w:rPr>
                <w:rFonts w:hint="eastAsia"/>
              </w:rPr>
              <w:t>植被主要为杉木等当地常见植被。</w:t>
            </w:r>
            <w:r>
              <w:rPr>
                <w:rFonts w:hint="eastAsia" w:ascii="Times New Roman" w:hAnsi="Times New Roman" w:cs="宋体"/>
                <w:shd w:val="clear" w:color="auto" w:fill="FFFFFF"/>
                <w:lang w:bidi="ar"/>
              </w:rPr>
              <w:t>预测结果表明，本项目采取相应污染防治措施后，废气正常排放时，最大地面浓度占标率小于</w:t>
            </w:r>
            <w:r>
              <w:rPr>
                <w:rFonts w:ascii="Times New Roman" w:hAnsi="Times New Roman"/>
                <w:shd w:val="clear" w:color="auto" w:fill="FFFFFF"/>
                <w:lang w:bidi="ar"/>
              </w:rPr>
              <w:t>10%</w:t>
            </w:r>
            <w:r>
              <w:rPr>
                <w:rFonts w:hint="eastAsia" w:ascii="Times New Roman" w:hAnsi="Times New Roman" w:cs="宋体"/>
                <w:shd w:val="clear" w:color="auto" w:fill="FFFFFF"/>
                <w:lang w:bidi="ar"/>
              </w:rPr>
              <w:t>，对周边大气环境影响不大。</w:t>
            </w:r>
            <w:r>
              <w:rPr>
                <w:rFonts w:hint="eastAsia" w:ascii="Times New Roman" w:hAnsi="Times New Roman"/>
                <w:shd w:val="clear" w:color="auto" w:fill="FFFFFF"/>
                <w:lang w:bidi="ar"/>
              </w:rPr>
              <w:t>根据项目周边用地现状及规划用地类型，项目环境防护距离范围内不涉及居民住宅、学校、医院等敏感目标</w:t>
            </w:r>
            <w:r>
              <w:t>。距离项目最近的敏感点为</w:t>
            </w:r>
            <w:r>
              <w:rPr>
                <w:rFonts w:hint="eastAsia"/>
              </w:rPr>
              <w:t>西北</w:t>
            </w:r>
            <w:r>
              <w:t>侧距离约</w:t>
            </w:r>
            <w:r>
              <w:rPr>
                <w:rFonts w:hint="eastAsia"/>
              </w:rPr>
              <w:t>240m</w:t>
            </w:r>
            <w:r>
              <w:t>的</w:t>
            </w:r>
            <w:r>
              <w:rPr>
                <w:rFonts w:hint="eastAsia"/>
              </w:rPr>
              <w:t>大石村零散居民点</w:t>
            </w:r>
            <w:r>
              <w:t>，</w:t>
            </w:r>
            <w:r>
              <w:rPr>
                <w:rFonts w:hint="eastAsia"/>
              </w:rPr>
              <w:t>大石村</w:t>
            </w:r>
            <w:r>
              <w:t>与本项目所在厂房之间有山体及植被阻隔。项目废气主要为堆场和生产过程中产生的粉尘，采取本环评提出的相应控制措施后对周围环境的影响较小。</w:t>
            </w:r>
          </w:p>
          <w:p>
            <w:pPr>
              <w:pStyle w:val="17"/>
              <w:spacing w:line="420" w:lineRule="exact"/>
              <w:ind w:left="480"/>
              <w:rPr>
                <w:rFonts w:ascii="Times New Roman" w:hAnsi="Times New Roman"/>
              </w:rPr>
            </w:pPr>
            <w:r>
              <w:rPr>
                <w:rFonts w:ascii="Times New Roman" w:hAnsi="Times New Roman"/>
              </w:rPr>
              <w:t>综上，项目对周围大气环境影响较小。</w:t>
            </w:r>
          </w:p>
          <w:p>
            <w:pPr>
              <w:pStyle w:val="17"/>
              <w:spacing w:line="420" w:lineRule="exact"/>
              <w:ind w:left="480"/>
              <w:rPr>
                <w:rFonts w:ascii="Times New Roman" w:hAnsi="Times New Roman"/>
              </w:rPr>
            </w:pPr>
          </w:p>
          <w:p>
            <w:pPr>
              <w:pStyle w:val="8"/>
              <w:numPr>
                <w:ilvl w:val="0"/>
                <w:numId w:val="0"/>
              </w:numPr>
              <w:spacing w:line="440" w:lineRule="exact"/>
              <w:rPr>
                <w:rFonts w:ascii="Times New Roman" w:hAnsi="Times New Roman"/>
                <w:szCs w:val="24"/>
              </w:rPr>
            </w:pPr>
            <w:r>
              <w:rPr>
                <w:rFonts w:ascii="Times New Roman" w:hAnsi="Times New Roman"/>
                <w:szCs w:val="24"/>
              </w:rPr>
              <w:t>4.2.</w:t>
            </w:r>
            <w:r>
              <w:rPr>
                <w:rFonts w:hint="eastAsia" w:ascii="Times New Roman" w:hAnsi="Times New Roman"/>
                <w:szCs w:val="24"/>
              </w:rPr>
              <w:t>3废水</w:t>
            </w:r>
          </w:p>
          <w:p>
            <w:pPr>
              <w:adjustRightInd w:val="0"/>
              <w:snapToGrid w:val="0"/>
              <w:spacing w:line="440" w:lineRule="exact"/>
              <w:rPr>
                <w:rFonts w:ascii="Times New Roman" w:hAnsi="Times New Roman" w:eastAsia="黑体"/>
                <w:b/>
                <w:bCs/>
              </w:rPr>
            </w:pPr>
            <w:r>
              <w:rPr>
                <w:rFonts w:ascii="Times New Roman" w:hAnsi="Times New Roman" w:eastAsia="黑体"/>
                <w:b/>
                <w:bCs/>
              </w:rPr>
              <w:t>4.2.</w:t>
            </w:r>
            <w:r>
              <w:rPr>
                <w:rFonts w:hint="eastAsia" w:ascii="Times New Roman" w:hAnsi="Times New Roman" w:eastAsia="黑体"/>
                <w:b/>
                <w:bCs/>
              </w:rPr>
              <w:t>3.1废水源强核算</w:t>
            </w:r>
          </w:p>
          <w:p>
            <w:pPr>
              <w:pStyle w:val="46"/>
              <w:rPr>
                <w:color w:val="auto"/>
              </w:rPr>
            </w:pPr>
            <w:r>
              <w:rPr>
                <w:rFonts w:hint="eastAsia"/>
                <w:color w:val="auto"/>
              </w:rPr>
              <w:t>（1）生产废水</w:t>
            </w:r>
          </w:p>
          <w:p>
            <w:pPr>
              <w:pStyle w:val="46"/>
              <w:rPr>
                <w:color w:val="auto"/>
              </w:rPr>
            </w:pPr>
            <w:r>
              <w:rPr>
                <w:rFonts w:hint="eastAsia"/>
                <w:color w:val="auto"/>
              </w:rPr>
              <w:t>项目废水主要来源于铁粉堆干产生的渗滤水、浓缩罐产生的废水、板框压滤产生的废水，根据水平衡分析，渗滤水、浓缩罐废水、板框压滤废水产生量分别为61.3m</w:t>
            </w:r>
            <w:r>
              <w:rPr>
                <w:rFonts w:hint="eastAsia"/>
                <w:color w:val="auto"/>
                <w:vertAlign w:val="superscript"/>
              </w:rPr>
              <w:t>3</w:t>
            </w:r>
            <w:r>
              <w:rPr>
                <w:rFonts w:hint="eastAsia"/>
                <w:color w:val="auto"/>
              </w:rPr>
              <w:t>/d，55.81m</w:t>
            </w:r>
            <w:r>
              <w:rPr>
                <w:rFonts w:hint="eastAsia"/>
                <w:color w:val="auto"/>
                <w:vertAlign w:val="superscript"/>
              </w:rPr>
              <w:t>3</w:t>
            </w:r>
            <w:r>
              <w:rPr>
                <w:rFonts w:hint="eastAsia"/>
                <w:color w:val="auto"/>
              </w:rPr>
              <w:t>/d，2.97m</w:t>
            </w:r>
            <w:r>
              <w:rPr>
                <w:rFonts w:hint="eastAsia"/>
                <w:color w:val="auto"/>
                <w:vertAlign w:val="superscript"/>
              </w:rPr>
              <w:t>3</w:t>
            </w:r>
            <w:r>
              <w:rPr>
                <w:rFonts w:hint="eastAsia"/>
                <w:color w:val="auto"/>
              </w:rPr>
              <w:t>/d，合计120.08m</w:t>
            </w:r>
            <w:r>
              <w:rPr>
                <w:rFonts w:hint="eastAsia"/>
                <w:color w:val="auto"/>
                <w:vertAlign w:val="superscript"/>
              </w:rPr>
              <w:t>3</w:t>
            </w:r>
            <w:r>
              <w:rPr>
                <w:rFonts w:hint="eastAsia"/>
                <w:color w:val="auto"/>
              </w:rPr>
              <w:t>/d。生产废水污染物主要是SS和石油类。</w:t>
            </w:r>
          </w:p>
          <w:p>
            <w:pPr>
              <w:pStyle w:val="46"/>
              <w:rPr>
                <w:color w:val="auto"/>
              </w:rPr>
            </w:pPr>
            <w:r>
              <w:rPr>
                <w:rFonts w:hint="eastAsia"/>
                <w:color w:val="auto"/>
              </w:rPr>
              <w:t>生产废水经过“隔油+沉淀”处理后回用于湿式球磨、湿式磁选工序（120.06m</w:t>
            </w:r>
            <w:r>
              <w:rPr>
                <w:rFonts w:hint="eastAsia"/>
                <w:color w:val="auto"/>
                <w:vertAlign w:val="superscript"/>
              </w:rPr>
              <w:t>3</w:t>
            </w:r>
            <w:r>
              <w:rPr>
                <w:rFonts w:hint="eastAsia"/>
                <w:color w:val="auto"/>
              </w:rPr>
              <w:t>/d），少部分（0.02m</w:t>
            </w:r>
            <w:r>
              <w:rPr>
                <w:rFonts w:hint="eastAsia"/>
                <w:color w:val="auto"/>
                <w:vertAlign w:val="superscript"/>
              </w:rPr>
              <w:t>3</w:t>
            </w:r>
            <w:r>
              <w:rPr>
                <w:rFonts w:hint="eastAsia"/>
                <w:color w:val="auto"/>
              </w:rPr>
              <w:t>/d）被污泥带走。</w:t>
            </w:r>
          </w:p>
          <w:p>
            <w:pPr>
              <w:pStyle w:val="46"/>
              <w:rPr>
                <w:color w:val="auto"/>
              </w:rPr>
            </w:pPr>
            <w:r>
              <w:rPr>
                <w:rFonts w:hint="eastAsia"/>
                <w:color w:val="auto"/>
              </w:rPr>
              <w:t>（2）生活污水</w:t>
            </w:r>
          </w:p>
          <w:p>
            <w:pPr>
              <w:spacing w:line="440" w:lineRule="exact"/>
              <w:ind w:firstLine="480" w:firstLineChars="200"/>
              <w:rPr>
                <w:rFonts w:ascii="Times New Roman" w:hAnsi="Times New Roman"/>
              </w:rPr>
            </w:pPr>
            <w:r>
              <w:rPr>
                <w:rFonts w:ascii="Times New Roman" w:hAnsi="Times New Roman"/>
              </w:rPr>
              <w:t>项目职工定员</w:t>
            </w:r>
            <w:r>
              <w:rPr>
                <w:rFonts w:hint="eastAsia" w:ascii="Times New Roman" w:hAnsi="Times New Roman"/>
              </w:rPr>
              <w:t>10</w:t>
            </w:r>
            <w:r>
              <w:rPr>
                <w:rFonts w:ascii="Times New Roman" w:hAnsi="Times New Roman"/>
              </w:rPr>
              <w:t>人，均不住厂，</w:t>
            </w:r>
            <w:r>
              <w:rPr>
                <w:rFonts w:hint="eastAsia"/>
              </w:rPr>
              <w:t>参照《室外给水设计标准》</w:t>
            </w:r>
            <w:r>
              <w:rPr>
                <w:rFonts w:hint="eastAsia" w:ascii="Times New Roman" w:hAnsi="Times New Roman"/>
              </w:rPr>
              <w:t>（GB50013-2018）</w:t>
            </w:r>
            <w:r>
              <w:rPr>
                <w:rFonts w:hint="eastAsia"/>
              </w:rPr>
              <w:t>及《建筑给排水设计标准》</w:t>
            </w:r>
            <w:r>
              <w:rPr>
                <w:rFonts w:hint="eastAsia" w:ascii="Times New Roman" w:hAnsi="Times New Roman"/>
              </w:rPr>
              <w:t>（GB50015-2019）</w:t>
            </w:r>
            <w:r>
              <w:rPr>
                <w:rFonts w:hint="eastAsia"/>
              </w:rPr>
              <w:t>等有关规定，不住厂职工生活用水量定额取</w:t>
            </w:r>
            <w:r>
              <w:t>50L/d</w:t>
            </w:r>
            <w:r>
              <w:rPr>
                <w:rFonts w:hint="eastAsia"/>
              </w:rPr>
              <w:t>·人</w:t>
            </w:r>
            <w:r>
              <w:rPr>
                <w:rFonts w:ascii="Times New Roman" w:hAnsi="Times New Roman"/>
              </w:rPr>
              <w:t>，那么项目生活用水量约为0.</w:t>
            </w:r>
            <w:r>
              <w:rPr>
                <w:rFonts w:hint="eastAsia" w:ascii="Times New Roman" w:hAnsi="Times New Roman"/>
              </w:rPr>
              <w:t>5</w:t>
            </w:r>
            <w:r>
              <w:rPr>
                <w:rFonts w:ascii="Times New Roman" w:hAnsi="Times New Roman"/>
              </w:rPr>
              <w:t>m</w:t>
            </w:r>
            <w:r>
              <w:rPr>
                <w:rFonts w:ascii="Times New Roman" w:hAnsi="Times New Roman"/>
                <w:vertAlign w:val="superscript"/>
              </w:rPr>
              <w:t>3</w:t>
            </w:r>
            <w:r>
              <w:rPr>
                <w:rFonts w:ascii="Times New Roman" w:hAnsi="Times New Roman"/>
              </w:rPr>
              <w:t>/d，按年工作300天计，则生活用水量为</w:t>
            </w:r>
            <w:r>
              <w:rPr>
                <w:rFonts w:hint="eastAsia" w:ascii="Times New Roman" w:hAnsi="Times New Roman"/>
              </w:rPr>
              <w:t>150</w:t>
            </w:r>
            <w:r>
              <w:rPr>
                <w:rFonts w:ascii="Times New Roman" w:hAnsi="Times New Roman"/>
              </w:rPr>
              <w:t>m</w:t>
            </w:r>
            <w:r>
              <w:rPr>
                <w:rFonts w:ascii="Times New Roman" w:hAnsi="Times New Roman"/>
                <w:vertAlign w:val="superscript"/>
              </w:rPr>
              <w:t>3</w:t>
            </w:r>
            <w:r>
              <w:rPr>
                <w:rFonts w:ascii="Times New Roman" w:hAnsi="Times New Roman"/>
              </w:rPr>
              <w:t>/a。排污系数取0.9，则项目生活污水排放量约为</w:t>
            </w:r>
            <w:r>
              <w:rPr>
                <w:rFonts w:hint="eastAsia" w:ascii="Times New Roman" w:hAnsi="Times New Roman"/>
              </w:rPr>
              <w:t>135</w:t>
            </w:r>
            <w:r>
              <w:rPr>
                <w:rFonts w:ascii="Times New Roman" w:hAnsi="Times New Roman"/>
              </w:rPr>
              <w:t>m</w:t>
            </w:r>
            <w:r>
              <w:rPr>
                <w:rFonts w:ascii="Times New Roman" w:hAnsi="Times New Roman"/>
                <w:vertAlign w:val="superscript"/>
              </w:rPr>
              <w:t>3</w:t>
            </w:r>
            <w:r>
              <w:rPr>
                <w:rFonts w:ascii="Times New Roman" w:hAnsi="Times New Roman"/>
              </w:rPr>
              <w:t>/a（0.</w:t>
            </w:r>
            <w:r>
              <w:rPr>
                <w:rFonts w:hint="eastAsia" w:ascii="Times New Roman" w:hAnsi="Times New Roman"/>
              </w:rPr>
              <w:t>45</w:t>
            </w:r>
            <w:r>
              <w:rPr>
                <w:rFonts w:ascii="Times New Roman" w:hAnsi="Times New Roman"/>
              </w:rPr>
              <w:t>m</w:t>
            </w:r>
            <w:r>
              <w:rPr>
                <w:rFonts w:ascii="Times New Roman" w:hAnsi="Times New Roman"/>
                <w:vertAlign w:val="superscript"/>
              </w:rPr>
              <w:t>3</w:t>
            </w:r>
            <w:r>
              <w:rPr>
                <w:rFonts w:ascii="Times New Roman" w:hAnsi="Times New Roman"/>
              </w:rPr>
              <w:t>/d）。</w:t>
            </w:r>
          </w:p>
          <w:p>
            <w:pPr>
              <w:spacing w:line="440" w:lineRule="exact"/>
              <w:ind w:firstLine="480" w:firstLineChars="200"/>
              <w:rPr>
                <w:rFonts w:ascii="Times New Roman" w:hAnsi="Times New Roman"/>
              </w:rPr>
            </w:pPr>
            <w:r>
              <w:rPr>
                <w:rFonts w:hint="eastAsia" w:ascii="Times New Roman" w:hAnsi="Times New Roman"/>
              </w:rPr>
              <w:t>生活污水经地埋式生活污水处理设施处理后用于周边山林地灌溉。</w:t>
            </w:r>
          </w:p>
          <w:p>
            <w:pPr>
              <w:pStyle w:val="46"/>
              <w:rPr>
                <w:color w:val="auto"/>
              </w:rPr>
            </w:pPr>
            <w:r>
              <w:rPr>
                <w:rFonts w:hint="eastAsia"/>
                <w:color w:val="auto"/>
              </w:rPr>
              <w:t>（3）初期雨水</w:t>
            </w:r>
          </w:p>
          <w:p>
            <w:pPr>
              <w:pStyle w:val="46"/>
              <w:rPr>
                <w:color w:val="auto"/>
              </w:rPr>
            </w:pPr>
            <w:r>
              <w:rPr>
                <w:rFonts w:hint="eastAsia"/>
                <w:color w:val="auto"/>
              </w:rPr>
              <w:t>本项目初期雨水主要收集原料仓库顶棚及厂区内道路区域的初期雨水，汇水面积约900m</w:t>
            </w:r>
            <w:r>
              <w:rPr>
                <w:rFonts w:hint="eastAsia"/>
                <w:color w:val="auto"/>
                <w:vertAlign w:val="superscript"/>
              </w:rPr>
              <w:t>2</w:t>
            </w:r>
            <w:r>
              <w:rPr>
                <w:rFonts w:hint="eastAsia"/>
                <w:color w:val="auto"/>
              </w:rPr>
              <w:t>，根据前文水平衡分析，</w:t>
            </w:r>
            <w:r>
              <w:rPr>
                <w:bCs/>
                <w:color w:val="auto"/>
              </w:rPr>
              <w:t>初期雨水产生量为</w:t>
            </w:r>
            <w:r>
              <w:rPr>
                <w:rFonts w:hint="eastAsia"/>
                <w:bCs/>
                <w:color w:val="auto"/>
              </w:rPr>
              <w:t>900</w:t>
            </w:r>
            <w:r>
              <w:rPr>
                <w:bCs/>
                <w:color w:val="auto"/>
              </w:rPr>
              <w:t>t/a</w:t>
            </w:r>
            <w:r>
              <w:rPr>
                <w:rFonts w:hint="eastAsia"/>
                <w:bCs/>
                <w:color w:val="auto"/>
              </w:rPr>
              <w:t>（折算平均3m</w:t>
            </w:r>
            <w:r>
              <w:rPr>
                <w:rFonts w:hint="eastAsia"/>
                <w:bCs/>
                <w:color w:val="auto"/>
                <w:vertAlign w:val="superscript"/>
              </w:rPr>
              <w:t>3</w:t>
            </w:r>
            <w:r>
              <w:rPr>
                <w:rFonts w:hint="eastAsia"/>
                <w:bCs/>
                <w:color w:val="auto"/>
              </w:rPr>
              <w:t>/d），初期雨水经初期雨水沉淀池沉淀后回用于球磨等工序，不外排。</w:t>
            </w:r>
          </w:p>
          <w:p>
            <w:pPr>
              <w:pStyle w:val="46"/>
              <w:rPr>
                <w:color w:val="auto"/>
              </w:rPr>
            </w:pPr>
            <w:r>
              <w:rPr>
                <w:rFonts w:hint="eastAsia"/>
                <w:color w:val="auto"/>
              </w:rPr>
              <w:t>（4）道路抑尘</w:t>
            </w:r>
          </w:p>
          <w:p>
            <w:pPr>
              <w:pStyle w:val="46"/>
              <w:rPr>
                <w:color w:val="auto"/>
              </w:rPr>
            </w:pPr>
            <w:r>
              <w:rPr>
                <w:rFonts w:hint="eastAsia"/>
                <w:color w:val="auto"/>
              </w:rPr>
              <w:t>道路通过洒水抑尘，每天洒水3次，洒水面积按照200m</w:t>
            </w:r>
            <w:r>
              <w:rPr>
                <w:rFonts w:hint="eastAsia"/>
                <w:color w:val="auto"/>
                <w:vertAlign w:val="superscript"/>
              </w:rPr>
              <w:t>2</w:t>
            </w:r>
            <w:r>
              <w:rPr>
                <w:rFonts w:hint="eastAsia"/>
                <w:color w:val="auto"/>
              </w:rPr>
              <w:t>计，洒水用水量为1.5L/m</w:t>
            </w:r>
            <w:r>
              <w:rPr>
                <w:rFonts w:hint="eastAsia"/>
                <w:color w:val="auto"/>
                <w:vertAlign w:val="superscript"/>
              </w:rPr>
              <w:t>2</w:t>
            </w:r>
            <w:r>
              <w:rPr>
                <w:rFonts w:hint="eastAsia"/>
                <w:color w:val="auto"/>
              </w:rPr>
              <w:t>·次，道路抑尘用水量为0.9m</w:t>
            </w:r>
            <w:r>
              <w:rPr>
                <w:rFonts w:hint="eastAsia"/>
                <w:color w:val="auto"/>
                <w:vertAlign w:val="superscript"/>
              </w:rPr>
              <w:t>3</w:t>
            </w:r>
            <w:r>
              <w:rPr>
                <w:rFonts w:hint="eastAsia"/>
                <w:color w:val="auto"/>
              </w:rPr>
              <w:t>/d，道路抑尘浇洒水全部挥发。</w:t>
            </w:r>
          </w:p>
          <w:p>
            <w:pPr>
              <w:pStyle w:val="46"/>
              <w:numPr>
                <w:ilvl w:val="0"/>
                <w:numId w:val="13"/>
              </w:numPr>
              <w:rPr>
                <w:color w:val="auto"/>
              </w:rPr>
            </w:pPr>
            <w:r>
              <w:rPr>
                <w:rFonts w:hint="eastAsia"/>
                <w:color w:val="auto"/>
              </w:rPr>
              <w:t>绿化水</w:t>
            </w:r>
          </w:p>
          <w:p>
            <w:pPr>
              <w:spacing w:line="440" w:lineRule="exact"/>
              <w:ind w:firstLine="480" w:firstLineChars="200"/>
              <w:rPr>
                <w:rFonts w:ascii="Times New Roman" w:hAnsi="Times New Roman"/>
              </w:rPr>
            </w:pPr>
            <w:r>
              <w:rPr>
                <w:rFonts w:hint="eastAsia" w:ascii="Times New Roman" w:hAnsi="Times New Roman"/>
              </w:rPr>
              <w:t>根据</w:t>
            </w:r>
            <w:r>
              <w:rPr>
                <w:rFonts w:ascii="Times New Roman" w:hAnsi="Times New Roman"/>
              </w:rPr>
              <w:t>《建筑给水排水设计</w:t>
            </w:r>
            <w:r>
              <w:rPr>
                <w:rFonts w:hint="eastAsia" w:ascii="Times New Roman" w:hAnsi="Times New Roman"/>
              </w:rPr>
              <w:t>标准</w:t>
            </w:r>
            <w:r>
              <w:rPr>
                <w:rFonts w:ascii="Times New Roman" w:hAnsi="Times New Roman"/>
              </w:rPr>
              <w:t>》</w:t>
            </w:r>
            <w:r>
              <w:rPr>
                <w:rFonts w:hint="eastAsia" w:ascii="Times New Roman" w:hAnsi="Times New Roman"/>
              </w:rPr>
              <w:t>（</w:t>
            </w:r>
            <w:r>
              <w:rPr>
                <w:rFonts w:ascii="Times New Roman" w:hAnsi="Times New Roman"/>
              </w:rPr>
              <w:t>GB50015-20</w:t>
            </w:r>
            <w:r>
              <w:rPr>
                <w:rFonts w:hint="eastAsia" w:ascii="Times New Roman" w:hAnsi="Times New Roman"/>
              </w:rPr>
              <w:t>19）3.2.3章节，绿化用水量日用水定额可按浇灌面积为1-3L/m</w:t>
            </w:r>
            <w:r>
              <w:rPr>
                <w:rFonts w:hint="eastAsia" w:ascii="Times New Roman" w:hAnsi="Times New Roman"/>
                <w:vertAlign w:val="superscript"/>
              </w:rPr>
              <w:t>2</w:t>
            </w:r>
            <w:r>
              <w:rPr>
                <w:rFonts w:hint="eastAsia" w:ascii="Times New Roman" w:hAnsi="Times New Roman"/>
              </w:rPr>
              <w:t>·d计算，保守起见，本项目按2L/m</w:t>
            </w:r>
            <w:r>
              <w:rPr>
                <w:rFonts w:hint="eastAsia" w:ascii="Times New Roman" w:hAnsi="Times New Roman"/>
                <w:vertAlign w:val="superscript"/>
              </w:rPr>
              <w:t>2</w:t>
            </w:r>
            <w:r>
              <w:rPr>
                <w:rFonts w:hint="eastAsia" w:ascii="Times New Roman" w:hAnsi="Times New Roman"/>
              </w:rPr>
              <w:t>·d计。项目的绿化面积约为470m</w:t>
            </w:r>
            <w:r>
              <w:rPr>
                <w:rFonts w:hint="eastAsia" w:ascii="Times New Roman" w:hAnsi="Times New Roman"/>
                <w:vertAlign w:val="superscript"/>
              </w:rPr>
              <w:t>2</w:t>
            </w:r>
            <w:r>
              <w:rPr>
                <w:rFonts w:hint="eastAsia" w:ascii="Times New Roman" w:hAnsi="Times New Roman"/>
              </w:rPr>
              <w:t>，则绿化用水量为0.94m</w:t>
            </w:r>
            <w:r>
              <w:rPr>
                <w:rFonts w:hint="eastAsia" w:ascii="Times New Roman" w:hAnsi="Times New Roman"/>
                <w:vertAlign w:val="superscript"/>
              </w:rPr>
              <w:t>3</w:t>
            </w:r>
            <w:r>
              <w:rPr>
                <w:rFonts w:hint="eastAsia" w:ascii="Times New Roman" w:hAnsi="Times New Roman"/>
              </w:rPr>
              <w:t>/d，绿化水通过植物吸收、蒸发。</w:t>
            </w:r>
          </w:p>
          <w:p>
            <w:pPr>
              <w:adjustRightInd w:val="0"/>
              <w:snapToGrid w:val="0"/>
              <w:spacing w:line="440" w:lineRule="exact"/>
              <w:rPr>
                <w:rFonts w:ascii="Times New Roman" w:hAnsi="Times New Roman" w:eastAsia="黑体"/>
                <w:b/>
                <w:bCs/>
              </w:rPr>
            </w:pPr>
          </w:p>
          <w:p>
            <w:pPr>
              <w:adjustRightInd w:val="0"/>
              <w:snapToGrid w:val="0"/>
              <w:spacing w:line="440" w:lineRule="exact"/>
              <w:rPr>
                <w:rFonts w:ascii="Times New Roman" w:hAnsi="Times New Roman" w:eastAsia="黑体"/>
                <w:b/>
                <w:bCs/>
              </w:rPr>
            </w:pPr>
          </w:p>
          <w:p>
            <w:pPr>
              <w:adjustRightInd w:val="0"/>
              <w:snapToGrid w:val="0"/>
              <w:spacing w:line="440" w:lineRule="exact"/>
              <w:rPr>
                <w:rFonts w:ascii="Times New Roman" w:hAnsi="Times New Roman" w:eastAsia="黑体"/>
                <w:b/>
                <w:bCs/>
                <w:highlight w:val="yellow"/>
              </w:rPr>
            </w:pPr>
            <w:r>
              <w:rPr>
                <w:rFonts w:ascii="Times New Roman" w:hAnsi="Times New Roman" w:eastAsia="黑体"/>
                <w:b/>
                <w:bCs/>
              </w:rPr>
              <w:t>4.2.</w:t>
            </w:r>
            <w:r>
              <w:rPr>
                <w:rFonts w:hint="eastAsia" w:ascii="Times New Roman" w:hAnsi="Times New Roman" w:eastAsia="黑体"/>
                <w:b/>
                <w:bCs/>
              </w:rPr>
              <w:t>3</w:t>
            </w:r>
            <w:r>
              <w:rPr>
                <w:rFonts w:ascii="Times New Roman" w:hAnsi="Times New Roman" w:eastAsia="黑体"/>
                <w:b/>
                <w:bCs/>
              </w:rPr>
              <w:t>.2废水</w:t>
            </w:r>
            <w:r>
              <w:rPr>
                <w:rFonts w:hint="eastAsia" w:ascii="Times New Roman" w:hAnsi="Times New Roman" w:eastAsia="黑体"/>
                <w:b/>
                <w:bCs/>
              </w:rPr>
              <w:t>处理</w:t>
            </w:r>
            <w:r>
              <w:rPr>
                <w:rFonts w:ascii="Times New Roman" w:hAnsi="Times New Roman" w:eastAsia="黑体"/>
                <w:b/>
                <w:bCs/>
              </w:rPr>
              <w:t>措施的可行性</w:t>
            </w:r>
          </w:p>
          <w:p>
            <w:pPr>
              <w:pStyle w:val="46"/>
              <w:rPr>
                <w:color w:val="auto"/>
              </w:rPr>
            </w:pPr>
            <w:r>
              <w:rPr>
                <w:rFonts w:hint="eastAsia"/>
                <w:color w:val="auto"/>
              </w:rPr>
              <w:t>（1）生产废水</w:t>
            </w:r>
          </w:p>
          <w:p>
            <w:pPr>
              <w:pStyle w:val="46"/>
              <w:rPr>
                <w:color w:val="auto"/>
              </w:rPr>
            </w:pPr>
            <w:r>
              <w:rPr>
                <w:rFonts w:hint="eastAsia"/>
                <w:color w:val="auto"/>
              </w:rPr>
              <w:t>①废水处理工艺</w:t>
            </w:r>
          </w:p>
          <w:p>
            <w:pPr>
              <w:pStyle w:val="46"/>
              <w:rPr>
                <w:color w:val="auto"/>
              </w:rPr>
            </w:pPr>
            <w:r>
              <w:rPr>
                <w:rFonts w:hint="eastAsia"/>
                <w:color w:val="auto"/>
              </w:rPr>
              <w:t>项目建设有</w:t>
            </w:r>
            <w:r>
              <w:rPr>
                <w:rFonts w:hint="eastAsia" w:eastAsiaTheme="minorEastAsia"/>
                <w:color w:val="auto"/>
                <w:szCs w:val="22"/>
              </w:rPr>
              <w:t>一座容积为25m</w:t>
            </w:r>
            <w:r>
              <w:rPr>
                <w:rFonts w:hint="eastAsia" w:eastAsiaTheme="minorEastAsia"/>
                <w:color w:val="auto"/>
                <w:szCs w:val="22"/>
                <w:vertAlign w:val="superscript"/>
              </w:rPr>
              <w:t>3</w:t>
            </w:r>
            <w:r>
              <w:rPr>
                <w:rFonts w:hint="eastAsia" w:eastAsiaTheme="minorEastAsia"/>
                <w:color w:val="auto"/>
                <w:szCs w:val="22"/>
              </w:rPr>
              <w:t>的隔油池和两座容积均为25m</w:t>
            </w:r>
            <w:r>
              <w:rPr>
                <w:rFonts w:hint="eastAsia" w:eastAsiaTheme="minorEastAsia"/>
                <w:color w:val="auto"/>
                <w:szCs w:val="22"/>
                <w:vertAlign w:val="superscript"/>
              </w:rPr>
              <w:t>3</w:t>
            </w:r>
            <w:r>
              <w:rPr>
                <w:rFonts w:hint="eastAsia" w:eastAsiaTheme="minorEastAsia"/>
                <w:color w:val="auto"/>
                <w:szCs w:val="22"/>
              </w:rPr>
              <w:t>的沉淀池，用于处理</w:t>
            </w:r>
            <w:r>
              <w:rPr>
                <w:rFonts w:hint="eastAsia"/>
                <w:color w:val="auto"/>
              </w:rPr>
              <w:t>铁粉堆干产生的渗滤水、浓缩罐废水、板框压滤产生的废水；建设容积约为9m</w:t>
            </w:r>
            <w:r>
              <w:rPr>
                <w:rFonts w:hint="eastAsia"/>
                <w:color w:val="auto"/>
                <w:vertAlign w:val="superscript"/>
              </w:rPr>
              <w:t>3</w:t>
            </w:r>
            <w:r>
              <w:rPr>
                <w:rFonts w:hint="eastAsia"/>
                <w:color w:val="auto"/>
              </w:rPr>
              <w:t>的初期雨水沉淀池用于处理初期雨水。废水处理工艺如下：</w:t>
            </w:r>
          </w:p>
          <w:p>
            <w:pPr>
              <w:pStyle w:val="46"/>
              <w:spacing w:before="120" w:beforeLines="50" w:line="240" w:lineRule="auto"/>
              <w:ind w:firstLine="0" w:firstLineChars="0"/>
              <w:jc w:val="center"/>
              <w:rPr>
                <w:color w:val="auto"/>
              </w:rPr>
            </w:pPr>
            <w:r>
              <w:rPr>
                <w:rFonts w:hint="eastAsia"/>
                <w:color w:val="auto"/>
              </w:rPr>
              <w:drawing>
                <wp:inline distT="0" distB="0" distL="114300" distR="114300">
                  <wp:extent cx="5154930" cy="2106295"/>
                  <wp:effectExtent l="0" t="0" r="7620" b="8255"/>
                  <wp:docPr id="102" name="图片 102" descr="废水处理工艺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图片 102" descr="废水处理工艺图"/>
                          <pic:cNvPicPr>
                            <a:picLocks noChangeAspect="1"/>
                          </pic:cNvPicPr>
                        </pic:nvPicPr>
                        <pic:blipFill>
                          <a:blip r:embed="rId21"/>
                          <a:srcRect l="1054" t="21577" r="1708" b="22177"/>
                          <a:stretch>
                            <a:fillRect/>
                          </a:stretch>
                        </pic:blipFill>
                        <pic:spPr>
                          <a:xfrm>
                            <a:off x="0" y="0"/>
                            <a:ext cx="5154930" cy="2106295"/>
                          </a:xfrm>
                          <a:prstGeom prst="rect">
                            <a:avLst/>
                          </a:prstGeom>
                        </pic:spPr>
                      </pic:pic>
                    </a:graphicData>
                  </a:graphic>
                </wp:inline>
              </w:drawing>
            </w:r>
          </w:p>
          <w:p>
            <w:pPr>
              <w:pStyle w:val="22"/>
              <w:keepNext/>
              <w:adjustRightInd w:val="0"/>
              <w:snapToGrid w:val="0"/>
              <w:spacing w:before="120" w:beforeLines="50" w:after="0" w:line="240" w:lineRule="auto"/>
              <w:ind w:firstLine="422"/>
              <w:outlineLvl w:val="9"/>
              <w:rPr>
                <w:rFonts w:ascii="Times New Roman" w:hAnsi="Times New Roman" w:eastAsia="黑体"/>
                <w:bCs w:val="0"/>
                <w:sz w:val="21"/>
                <w:szCs w:val="21"/>
              </w:rPr>
            </w:pPr>
            <w:r>
              <w:rPr>
                <w:rFonts w:ascii="Times New Roman" w:hAnsi="Times New Roman" w:eastAsia="黑体"/>
                <w:bCs w:val="0"/>
                <w:sz w:val="21"/>
                <w:szCs w:val="21"/>
              </w:rPr>
              <w:t>图4.2-1废水处理工艺流程图</w:t>
            </w:r>
          </w:p>
          <w:p>
            <w:pPr>
              <w:spacing w:line="440" w:lineRule="exact"/>
              <w:ind w:firstLine="480" w:firstLineChars="200"/>
              <w:rPr>
                <w:rFonts w:ascii="Times New Roman" w:hAnsi="Times New Roman"/>
              </w:rPr>
            </w:pPr>
            <w:r>
              <w:rPr>
                <w:rFonts w:ascii="Times New Roman" w:hAnsi="Times New Roman"/>
              </w:rPr>
              <w:t>工艺流程说明：</w:t>
            </w:r>
          </w:p>
          <w:p>
            <w:pPr>
              <w:spacing w:line="440" w:lineRule="exact"/>
              <w:ind w:firstLine="480" w:firstLineChars="200"/>
              <w:rPr>
                <w:rFonts w:ascii="Times New Roman" w:hAnsi="Times New Roman" w:eastAsiaTheme="minorEastAsia"/>
                <w:bCs/>
              </w:rPr>
            </w:pPr>
            <w:r>
              <w:rPr>
                <w:rFonts w:hint="eastAsia" w:ascii="Times New Roman" w:hAnsi="Times New Roman"/>
              </w:rPr>
              <w:t>项目废水为铁粉仓堆干渗滤水、浓缩罐废水、板框压滤废水，铁粉仓废水通过沟槽进入隔油池、浓缩罐废水及板框压滤废水通过管道进入隔油池。利用废水中悬浮物和水的比重不同的原理，废水经隔油池处理可分离出石油类物质，经隔油处理后的水进入沉淀池，产生的浮油收集后暂存于危废暂存间，委托有资质单位处置。进入沉淀池的生产废水</w:t>
            </w:r>
            <w:r>
              <w:rPr>
                <w:rFonts w:ascii="Times New Roman" w:hAnsi="Times New Roman"/>
              </w:rPr>
              <w:t>利用重力沉降</w:t>
            </w:r>
            <w:r>
              <w:rPr>
                <w:rFonts w:hint="eastAsia" w:ascii="Times New Roman" w:hAnsi="Times New Roman"/>
              </w:rPr>
              <w:t>的原理</w:t>
            </w:r>
            <w:r>
              <w:rPr>
                <w:rFonts w:ascii="Times New Roman" w:hAnsi="Times New Roman"/>
              </w:rPr>
              <w:t>达到固液分离的目的，上清液溢</w:t>
            </w:r>
            <w:r>
              <w:rPr>
                <w:rFonts w:ascii="Times New Roman" w:hAnsi="Times New Roman" w:eastAsiaTheme="minorEastAsia"/>
                <w:bCs/>
              </w:rPr>
              <w:t>流进入</w:t>
            </w:r>
            <w:r>
              <w:rPr>
                <w:rFonts w:hint="eastAsia" w:ascii="Times New Roman" w:hAnsi="Times New Roman" w:eastAsiaTheme="minorEastAsia"/>
                <w:bCs/>
              </w:rPr>
              <w:t>回用水池回用于球磨、磁选</w:t>
            </w:r>
            <w:r>
              <w:rPr>
                <w:rFonts w:ascii="Times New Roman" w:hAnsi="Times New Roman" w:eastAsiaTheme="minorEastAsia"/>
                <w:bCs/>
              </w:rPr>
              <w:t>，废水沉淀过程产生的</w:t>
            </w:r>
            <w:r>
              <w:rPr>
                <w:rFonts w:hint="eastAsia" w:ascii="Times New Roman" w:hAnsi="Times New Roman" w:eastAsiaTheme="minorEastAsia"/>
                <w:bCs/>
              </w:rPr>
              <w:t>底渣通过渣浆泵收集进入板框</w:t>
            </w:r>
            <w:r>
              <w:rPr>
                <w:rFonts w:ascii="Times New Roman" w:hAnsi="Times New Roman" w:eastAsiaTheme="minorEastAsia"/>
                <w:bCs/>
              </w:rPr>
              <w:t>压滤机进行压滤</w:t>
            </w:r>
            <w:r>
              <w:rPr>
                <w:rFonts w:hint="eastAsia" w:ascii="Times New Roman" w:hAnsi="Times New Roman" w:eastAsiaTheme="minorEastAsia"/>
                <w:bCs/>
              </w:rPr>
              <w:t>，压滤机产生的污泥（含水率约20%）临时堆放于尾渣堆场，由有能力的处置利用单位综合利用。</w:t>
            </w:r>
          </w:p>
          <w:p>
            <w:pPr>
              <w:spacing w:line="440" w:lineRule="exact"/>
              <w:ind w:firstLine="480" w:firstLineChars="200"/>
              <w:rPr>
                <w:rFonts w:ascii="Times New Roman" w:hAnsi="Times New Roman" w:eastAsiaTheme="minorEastAsia"/>
                <w:bCs/>
              </w:rPr>
            </w:pPr>
            <w:r>
              <w:rPr>
                <w:rFonts w:hint="eastAsia" w:ascii="Times New Roman" w:hAnsi="Times New Roman" w:eastAsiaTheme="minorEastAsia"/>
                <w:bCs/>
              </w:rPr>
              <w:t>初期雨水经初期雨水沉淀池收集沉淀处理后回用于球磨等工序。</w:t>
            </w:r>
          </w:p>
          <w:p>
            <w:pPr>
              <w:pStyle w:val="46"/>
              <w:rPr>
                <w:color w:val="auto"/>
              </w:rPr>
            </w:pPr>
            <w:r>
              <w:rPr>
                <w:rFonts w:hint="eastAsia"/>
                <w:color w:val="auto"/>
              </w:rPr>
              <w:t>②废水处理设施可行性分析</w:t>
            </w:r>
          </w:p>
          <w:p>
            <w:pPr>
              <w:pStyle w:val="46"/>
              <w:numPr>
                <w:ilvl w:val="0"/>
                <w:numId w:val="14"/>
              </w:numPr>
              <w:rPr>
                <w:color w:val="auto"/>
              </w:rPr>
            </w:pPr>
            <w:r>
              <w:rPr>
                <w:rFonts w:hint="eastAsia"/>
                <w:color w:val="auto"/>
              </w:rPr>
              <w:t>废水处理设施处理能力</w:t>
            </w:r>
          </w:p>
          <w:p>
            <w:pPr>
              <w:adjustRightInd w:val="0"/>
              <w:snapToGrid w:val="0"/>
              <w:spacing w:line="440" w:lineRule="exact"/>
              <w:ind w:firstLine="480" w:firstLineChars="200"/>
              <w:rPr>
                <w:rFonts w:ascii="Times New Roman" w:hAnsi="Times New Roman" w:eastAsiaTheme="minorEastAsia"/>
                <w:szCs w:val="22"/>
              </w:rPr>
            </w:pPr>
            <w:r>
              <w:rPr>
                <w:rFonts w:hint="eastAsia" w:ascii="Times New Roman" w:hAnsi="Times New Roman" w:eastAsiaTheme="minorEastAsia"/>
                <w:szCs w:val="22"/>
              </w:rPr>
              <w:t>本项目生产废水石油类浓度较低，悬浮物颗粒较大，废水在隔油池停留0.5h就可进入沉淀池，废水沉淀速度较快，沉淀1-2h左右后就可将上清液回用于生产。项目拟建设一套“隔油池+沉淀</w:t>
            </w:r>
            <w:r>
              <w:rPr>
                <w:rFonts w:ascii="Times New Roman" w:hAnsi="Times New Roman" w:eastAsiaTheme="minorEastAsia"/>
                <w:szCs w:val="22"/>
              </w:rPr>
              <w:t>池</w:t>
            </w:r>
            <w:r>
              <w:rPr>
                <w:rFonts w:hint="eastAsia" w:ascii="Times New Roman" w:hAnsi="Times New Roman" w:eastAsiaTheme="minorEastAsia"/>
                <w:szCs w:val="22"/>
              </w:rPr>
              <w:t>”，包括一座容积为25m</w:t>
            </w:r>
            <w:r>
              <w:rPr>
                <w:rFonts w:hint="eastAsia" w:ascii="Times New Roman" w:hAnsi="Times New Roman" w:eastAsiaTheme="minorEastAsia"/>
                <w:szCs w:val="22"/>
                <w:vertAlign w:val="superscript"/>
              </w:rPr>
              <w:t>3</w:t>
            </w:r>
            <w:r>
              <w:rPr>
                <w:rFonts w:hint="eastAsia" w:ascii="Times New Roman" w:hAnsi="Times New Roman" w:eastAsiaTheme="minorEastAsia"/>
                <w:szCs w:val="22"/>
              </w:rPr>
              <w:t>的隔油池和两座容积均为25m</w:t>
            </w:r>
            <w:r>
              <w:rPr>
                <w:rFonts w:hint="eastAsia" w:ascii="Times New Roman" w:hAnsi="Times New Roman" w:eastAsiaTheme="minorEastAsia"/>
                <w:szCs w:val="22"/>
                <w:vertAlign w:val="superscript"/>
              </w:rPr>
              <w:t>3</w:t>
            </w:r>
            <w:r>
              <w:rPr>
                <w:rFonts w:hint="eastAsia" w:ascii="Times New Roman" w:hAnsi="Times New Roman" w:eastAsiaTheme="minorEastAsia"/>
                <w:szCs w:val="22"/>
              </w:rPr>
              <w:t>的沉淀池，隔油池处理能力为500m</w:t>
            </w:r>
            <w:r>
              <w:rPr>
                <w:rFonts w:hint="eastAsia" w:ascii="Times New Roman" w:hAnsi="Times New Roman" w:eastAsiaTheme="minorEastAsia"/>
                <w:szCs w:val="22"/>
                <w:vertAlign w:val="superscript"/>
              </w:rPr>
              <w:t>3</w:t>
            </w:r>
            <w:r>
              <w:rPr>
                <w:rFonts w:hint="eastAsia" w:ascii="Times New Roman" w:hAnsi="Times New Roman" w:eastAsiaTheme="minorEastAsia"/>
                <w:szCs w:val="22"/>
              </w:rPr>
              <w:t>/d，沉淀池处理能力为250m</w:t>
            </w:r>
            <w:r>
              <w:rPr>
                <w:rFonts w:hint="eastAsia" w:ascii="Times New Roman" w:hAnsi="Times New Roman" w:eastAsiaTheme="minorEastAsia"/>
                <w:szCs w:val="22"/>
                <w:vertAlign w:val="superscript"/>
              </w:rPr>
              <w:t>3</w:t>
            </w:r>
            <w:r>
              <w:rPr>
                <w:rFonts w:hint="eastAsia" w:ascii="Times New Roman" w:hAnsi="Times New Roman" w:eastAsiaTheme="minorEastAsia"/>
                <w:szCs w:val="22"/>
              </w:rPr>
              <w:t>/d，生产废水处理设施处理能力为250m</w:t>
            </w:r>
            <w:r>
              <w:rPr>
                <w:rFonts w:hint="eastAsia" w:ascii="Times New Roman" w:hAnsi="Times New Roman" w:eastAsiaTheme="minorEastAsia"/>
                <w:szCs w:val="22"/>
                <w:vertAlign w:val="superscript"/>
              </w:rPr>
              <w:t>3</w:t>
            </w:r>
            <w:r>
              <w:rPr>
                <w:rFonts w:hint="eastAsia" w:ascii="Times New Roman" w:hAnsi="Times New Roman" w:eastAsiaTheme="minorEastAsia"/>
                <w:szCs w:val="22"/>
              </w:rPr>
              <w:t>/d。</w:t>
            </w:r>
          </w:p>
          <w:p>
            <w:pPr>
              <w:adjustRightInd w:val="0"/>
              <w:snapToGrid w:val="0"/>
              <w:spacing w:line="440" w:lineRule="exact"/>
              <w:ind w:firstLine="480" w:firstLineChars="200"/>
              <w:rPr>
                <w:rFonts w:ascii="Times New Roman" w:hAnsi="Times New Roman" w:eastAsiaTheme="minorEastAsia"/>
                <w:szCs w:val="22"/>
              </w:rPr>
            </w:pPr>
            <w:r>
              <w:rPr>
                <w:rFonts w:hint="eastAsia" w:ascii="Times New Roman" w:hAnsi="Times New Roman" w:eastAsiaTheme="minorEastAsia"/>
                <w:szCs w:val="22"/>
              </w:rPr>
              <w:t>项目生产废水量为120.06m</w:t>
            </w:r>
            <w:r>
              <w:rPr>
                <w:rFonts w:hint="eastAsia" w:ascii="Times New Roman" w:hAnsi="Times New Roman" w:eastAsiaTheme="minorEastAsia"/>
                <w:szCs w:val="22"/>
                <w:vertAlign w:val="superscript"/>
              </w:rPr>
              <w:t>3</w:t>
            </w:r>
            <w:r>
              <w:rPr>
                <w:rFonts w:hint="eastAsia" w:ascii="Times New Roman" w:hAnsi="Times New Roman" w:eastAsiaTheme="minorEastAsia"/>
                <w:szCs w:val="22"/>
              </w:rPr>
              <w:t>/d</w:t>
            </w:r>
            <w:r>
              <w:rPr>
                <w:rFonts w:ascii="Times New Roman" w:hAnsi="Times New Roman" w:eastAsiaTheme="minorEastAsia"/>
                <w:szCs w:val="22"/>
              </w:rPr>
              <w:t>，</w:t>
            </w:r>
            <w:r>
              <w:rPr>
                <w:rFonts w:hint="eastAsia" w:ascii="Times New Roman" w:hAnsi="Times New Roman" w:eastAsiaTheme="minorEastAsia"/>
                <w:szCs w:val="22"/>
              </w:rPr>
              <w:t>生产废水处理设施的处理能力为250m</w:t>
            </w:r>
            <w:r>
              <w:rPr>
                <w:rFonts w:hint="eastAsia" w:ascii="Times New Roman" w:hAnsi="Times New Roman" w:eastAsiaTheme="minorEastAsia"/>
                <w:szCs w:val="22"/>
                <w:vertAlign w:val="superscript"/>
              </w:rPr>
              <w:t>3</w:t>
            </w:r>
            <w:r>
              <w:rPr>
                <w:rFonts w:hint="eastAsia" w:ascii="Times New Roman" w:hAnsi="Times New Roman" w:eastAsiaTheme="minorEastAsia"/>
                <w:szCs w:val="22"/>
              </w:rPr>
              <w:t>/d，废水量未超过为水处理设施的处理能力，因此处理能力可满足本项目需求。</w:t>
            </w:r>
          </w:p>
          <w:p>
            <w:pPr>
              <w:pStyle w:val="46"/>
              <w:numPr>
                <w:ilvl w:val="0"/>
                <w:numId w:val="14"/>
              </w:numPr>
              <w:rPr>
                <w:color w:val="auto"/>
              </w:rPr>
            </w:pPr>
            <w:r>
              <w:rPr>
                <w:rFonts w:hint="eastAsia"/>
                <w:color w:val="auto"/>
              </w:rPr>
              <w:t>水质</w:t>
            </w:r>
          </w:p>
          <w:p>
            <w:pPr>
              <w:adjustRightInd w:val="0"/>
              <w:snapToGrid w:val="0"/>
              <w:spacing w:line="460" w:lineRule="exact"/>
              <w:ind w:firstLine="480" w:firstLineChars="200"/>
              <w:rPr>
                <w:rFonts w:ascii="Times New Roman" w:hAnsi="Times New Roman" w:eastAsiaTheme="minorEastAsia"/>
              </w:rPr>
            </w:pPr>
            <w:r>
              <w:rPr>
                <w:rFonts w:ascii="Times New Roman" w:hAnsi="Times New Roman" w:eastAsiaTheme="minorEastAsia"/>
              </w:rPr>
              <w:t>项目</w:t>
            </w:r>
            <w:r>
              <w:rPr>
                <w:rFonts w:hint="eastAsia" w:ascii="Times New Roman" w:hAnsi="Times New Roman" w:eastAsiaTheme="minorEastAsia"/>
              </w:rPr>
              <w:t>生产</w:t>
            </w:r>
            <w:r>
              <w:rPr>
                <w:rFonts w:ascii="Times New Roman" w:hAnsi="Times New Roman" w:eastAsiaTheme="minorEastAsia"/>
              </w:rPr>
              <w:t>废水</w:t>
            </w:r>
            <w:r>
              <w:rPr>
                <w:rFonts w:hint="eastAsia" w:ascii="Times New Roman" w:hAnsi="Times New Roman" w:eastAsiaTheme="minorEastAsia"/>
              </w:rPr>
              <w:t>主要为</w:t>
            </w:r>
            <w:r>
              <w:rPr>
                <w:rFonts w:hint="eastAsia" w:ascii="Times New Roman" w:hAnsi="Times New Roman"/>
              </w:rPr>
              <w:t>铁粉仓堆干渗滤水、浓缩罐废水、板框压滤废水</w:t>
            </w:r>
            <w:r>
              <w:rPr>
                <w:rFonts w:ascii="Times New Roman" w:hAnsi="Times New Roman" w:eastAsiaTheme="minorEastAsia"/>
              </w:rPr>
              <w:t>。</w:t>
            </w:r>
            <w:r>
              <w:rPr>
                <w:rFonts w:ascii="Times New Roman" w:hAnsi="Times New Roman"/>
                <w:snapToGrid w:val="0"/>
              </w:rPr>
              <w:t>生产废水</w:t>
            </w:r>
            <w:r>
              <w:rPr>
                <w:rFonts w:hint="eastAsia" w:ascii="Times New Roman" w:hAnsi="Times New Roman"/>
                <w:snapToGrid w:val="0"/>
              </w:rPr>
              <w:t>经</w:t>
            </w:r>
            <w:r>
              <w:rPr>
                <w:rFonts w:hint="eastAsia" w:ascii="Times New Roman" w:hAnsi="Times New Roman" w:eastAsiaTheme="minorEastAsia"/>
                <w:szCs w:val="22"/>
              </w:rPr>
              <w:t>“隔油池+沉淀</w:t>
            </w:r>
            <w:r>
              <w:rPr>
                <w:rFonts w:ascii="Times New Roman" w:hAnsi="Times New Roman" w:eastAsiaTheme="minorEastAsia"/>
                <w:szCs w:val="22"/>
              </w:rPr>
              <w:t>池</w:t>
            </w:r>
            <w:r>
              <w:rPr>
                <w:rFonts w:hint="eastAsia" w:ascii="Times New Roman" w:hAnsi="Times New Roman" w:eastAsiaTheme="minorEastAsia"/>
                <w:szCs w:val="22"/>
              </w:rPr>
              <w:t>”处理后，能有效去除废水中的石油类和悬浮物；生产废水处理后回用于球磨、磁选等生产工序，球磨、磁选工序对</w:t>
            </w:r>
            <w:r>
              <w:rPr>
                <w:rFonts w:ascii="Times New Roman" w:hAnsi="Times New Roman" w:eastAsiaTheme="minorEastAsia"/>
              </w:rPr>
              <w:t>用水</w:t>
            </w:r>
            <w:r>
              <w:rPr>
                <w:rFonts w:hint="eastAsia" w:ascii="Times New Roman" w:hAnsi="Times New Roman" w:eastAsiaTheme="minorEastAsia"/>
              </w:rPr>
              <w:t>的</w:t>
            </w:r>
            <w:r>
              <w:rPr>
                <w:rFonts w:ascii="Times New Roman" w:hAnsi="Times New Roman" w:eastAsiaTheme="minorEastAsia"/>
              </w:rPr>
              <w:t>水质要求不高，</w:t>
            </w:r>
            <w:r>
              <w:rPr>
                <w:rFonts w:hint="eastAsia" w:ascii="Times New Roman" w:hAnsi="Times New Roman" w:eastAsiaTheme="minorEastAsia"/>
                <w:szCs w:val="22"/>
              </w:rPr>
              <w:t>处理后的生产废水</w:t>
            </w:r>
            <w:r>
              <w:rPr>
                <w:rFonts w:ascii="Times New Roman" w:hAnsi="Times New Roman" w:eastAsiaTheme="minorEastAsia"/>
              </w:rPr>
              <w:t>回用</w:t>
            </w:r>
            <w:r>
              <w:rPr>
                <w:rFonts w:ascii="Times New Roman" w:hAnsi="Times New Roman"/>
                <w:snapToGrid w:val="0"/>
              </w:rPr>
              <w:t>不会对生产工艺造成不利影响。</w:t>
            </w:r>
            <w:r>
              <w:rPr>
                <w:rFonts w:ascii="Times New Roman" w:hAnsi="Times New Roman" w:eastAsiaTheme="minorEastAsia"/>
              </w:rPr>
              <w:t>因此，</w:t>
            </w:r>
            <w:r>
              <w:rPr>
                <w:rFonts w:hint="eastAsia" w:ascii="Times New Roman" w:hAnsi="Times New Roman" w:eastAsiaTheme="minorEastAsia"/>
              </w:rPr>
              <w:t>生产</w:t>
            </w:r>
            <w:r>
              <w:rPr>
                <w:rFonts w:ascii="Times New Roman" w:hAnsi="Times New Roman" w:eastAsiaTheme="minorEastAsia"/>
              </w:rPr>
              <w:t>废水</w:t>
            </w:r>
            <w:r>
              <w:rPr>
                <w:rFonts w:hint="eastAsia" w:ascii="Times New Roman" w:hAnsi="Times New Roman"/>
                <w:snapToGrid w:val="0"/>
              </w:rPr>
              <w:t>经</w:t>
            </w:r>
            <w:r>
              <w:rPr>
                <w:rFonts w:hint="eastAsia" w:ascii="Times New Roman" w:hAnsi="Times New Roman" w:eastAsiaTheme="minorEastAsia"/>
                <w:szCs w:val="22"/>
              </w:rPr>
              <w:t>“隔油池+沉淀</w:t>
            </w:r>
            <w:r>
              <w:rPr>
                <w:rFonts w:ascii="Times New Roman" w:hAnsi="Times New Roman" w:eastAsiaTheme="minorEastAsia"/>
                <w:szCs w:val="22"/>
              </w:rPr>
              <w:t>池</w:t>
            </w:r>
            <w:r>
              <w:rPr>
                <w:rFonts w:hint="eastAsia" w:ascii="Times New Roman" w:hAnsi="Times New Roman" w:eastAsiaTheme="minorEastAsia"/>
                <w:szCs w:val="22"/>
              </w:rPr>
              <w:t>”处理后可回用于生产。</w:t>
            </w:r>
          </w:p>
          <w:p>
            <w:pPr>
              <w:spacing w:line="440" w:lineRule="exact"/>
              <w:ind w:firstLine="480" w:firstLineChars="200"/>
              <w:rPr>
                <w:rFonts w:ascii="Times New Roman" w:hAnsi="Times New Roman"/>
                <w:szCs w:val="21"/>
              </w:rPr>
            </w:pPr>
            <w:r>
              <w:rPr>
                <w:rFonts w:hint="eastAsia" w:ascii="Times New Roman" w:hAnsi="Times New Roman"/>
                <w:szCs w:val="21"/>
              </w:rPr>
              <w:t>“隔油+</w:t>
            </w:r>
            <w:r>
              <w:rPr>
                <w:rFonts w:ascii="Times New Roman" w:hAnsi="Times New Roman"/>
                <w:szCs w:val="21"/>
              </w:rPr>
              <w:t>沉淀</w:t>
            </w:r>
            <w:r>
              <w:rPr>
                <w:rFonts w:hint="eastAsia" w:ascii="Times New Roman" w:hAnsi="Times New Roman"/>
                <w:szCs w:val="21"/>
              </w:rPr>
              <w:t>”废水</w:t>
            </w:r>
            <w:r>
              <w:rPr>
                <w:rFonts w:ascii="Times New Roman" w:hAnsi="Times New Roman"/>
                <w:szCs w:val="21"/>
              </w:rPr>
              <w:t>处理工艺属于《排污许可证申请与核发技术规范水处理通用工序》(HJ1120--2020）表A.1中的</w:t>
            </w:r>
            <w:r>
              <w:rPr>
                <w:rFonts w:hint="eastAsia" w:ascii="Times New Roman" w:hAnsi="Times New Roman"/>
                <w:szCs w:val="21"/>
              </w:rPr>
              <w:t>污水治理</w:t>
            </w:r>
            <w:r>
              <w:rPr>
                <w:rFonts w:ascii="Times New Roman" w:hAnsi="Times New Roman"/>
                <w:szCs w:val="21"/>
              </w:rPr>
              <w:t>可行性技术</w:t>
            </w:r>
            <w:r>
              <w:rPr>
                <w:rFonts w:hint="eastAsia" w:ascii="Times New Roman" w:hAnsi="Times New Roman"/>
                <w:szCs w:val="21"/>
              </w:rPr>
              <w:t>。因此，本</w:t>
            </w:r>
            <w:r>
              <w:rPr>
                <w:rFonts w:ascii="Times New Roman" w:hAnsi="Times New Roman"/>
                <w:szCs w:val="21"/>
              </w:rPr>
              <w:t>项目生产废水处理方案可行。</w:t>
            </w:r>
          </w:p>
          <w:p>
            <w:pPr>
              <w:pStyle w:val="46"/>
              <w:numPr>
                <w:ilvl w:val="0"/>
                <w:numId w:val="14"/>
              </w:numPr>
              <w:rPr>
                <w:color w:val="auto"/>
              </w:rPr>
            </w:pPr>
            <w:r>
              <w:rPr>
                <w:rFonts w:hint="eastAsia"/>
                <w:color w:val="auto"/>
              </w:rPr>
              <w:t>水量</w:t>
            </w:r>
          </w:p>
          <w:p>
            <w:pPr>
              <w:spacing w:line="440" w:lineRule="exact"/>
              <w:ind w:firstLine="480" w:firstLineChars="200"/>
              <w:rPr>
                <w:rFonts w:ascii="Times New Roman" w:hAnsi="Times New Roman" w:eastAsiaTheme="minorEastAsia"/>
                <w:szCs w:val="22"/>
              </w:rPr>
            </w:pPr>
            <w:r>
              <w:rPr>
                <w:rFonts w:ascii="Times New Roman" w:hAnsi="Times New Roman" w:eastAsiaTheme="minorEastAsia"/>
                <w:szCs w:val="22"/>
              </w:rPr>
              <w:t>本项目</w:t>
            </w:r>
            <w:r>
              <w:rPr>
                <w:rFonts w:hint="eastAsia" w:ascii="Times New Roman" w:hAnsi="Times New Roman" w:eastAsiaTheme="minorEastAsia"/>
                <w:szCs w:val="22"/>
              </w:rPr>
              <w:t>球磨、磁选工艺所需要的用水量250m</w:t>
            </w:r>
            <w:r>
              <w:rPr>
                <w:rFonts w:hint="eastAsia" w:ascii="Times New Roman" w:hAnsi="Times New Roman" w:eastAsiaTheme="minorEastAsia"/>
                <w:szCs w:val="22"/>
                <w:vertAlign w:val="superscript"/>
              </w:rPr>
              <w:t>3</w:t>
            </w:r>
            <w:r>
              <w:rPr>
                <w:rFonts w:hint="eastAsia" w:ascii="Times New Roman" w:hAnsi="Times New Roman" w:eastAsiaTheme="minorEastAsia"/>
                <w:szCs w:val="22"/>
              </w:rPr>
              <w:t>/d，项目生产废水产生量为120.06m</w:t>
            </w:r>
            <w:r>
              <w:rPr>
                <w:rFonts w:hint="eastAsia" w:ascii="Times New Roman" w:hAnsi="Times New Roman" w:eastAsiaTheme="minorEastAsia"/>
                <w:szCs w:val="22"/>
                <w:vertAlign w:val="superscript"/>
              </w:rPr>
              <w:t>3</w:t>
            </w:r>
            <w:r>
              <w:rPr>
                <w:rFonts w:hint="eastAsia" w:ascii="Times New Roman" w:hAnsi="Times New Roman" w:eastAsiaTheme="minorEastAsia"/>
                <w:szCs w:val="22"/>
              </w:rPr>
              <w:t>/d，小于球磨、磁选工艺用水量，因此，从水量分析，本项目生产废水可完全被球磨、磁选工序所消纳。</w:t>
            </w:r>
            <w:r>
              <w:rPr>
                <w:rFonts w:ascii="Times New Roman" w:hAnsi="Times New Roman" w:eastAsiaTheme="minorEastAsia"/>
                <w:szCs w:val="22"/>
              </w:rPr>
              <w:t>因此，项目生产废水可完全被回收利用。</w:t>
            </w:r>
          </w:p>
          <w:p>
            <w:pPr>
              <w:spacing w:line="440" w:lineRule="exact"/>
              <w:ind w:firstLine="480" w:firstLineChars="200"/>
              <w:rPr>
                <w:rFonts w:ascii="Times New Roman" w:hAnsi="Times New Roman" w:eastAsiaTheme="minorEastAsia"/>
                <w:szCs w:val="22"/>
              </w:rPr>
            </w:pPr>
            <w:r>
              <w:rPr>
                <w:rFonts w:ascii="Times New Roman" w:hAnsi="Times New Roman" w:eastAsiaTheme="minorEastAsia"/>
                <w:szCs w:val="22"/>
              </w:rPr>
              <w:t>综上所述，从生产废水处理设施处理能力</w:t>
            </w:r>
            <w:r>
              <w:rPr>
                <w:rFonts w:hint="eastAsia" w:ascii="Times New Roman" w:hAnsi="Times New Roman" w:eastAsiaTheme="minorEastAsia"/>
                <w:szCs w:val="22"/>
              </w:rPr>
              <w:t>、</w:t>
            </w:r>
            <w:r>
              <w:rPr>
                <w:rFonts w:ascii="Times New Roman" w:hAnsi="Times New Roman" w:eastAsiaTheme="minorEastAsia"/>
                <w:szCs w:val="22"/>
              </w:rPr>
              <w:t>废水水质、水量分析，项目</w:t>
            </w:r>
            <w:r>
              <w:rPr>
                <w:rFonts w:hint="eastAsia" w:ascii="Times New Roman" w:hAnsi="Times New Roman" w:eastAsiaTheme="minorEastAsia"/>
                <w:szCs w:val="22"/>
              </w:rPr>
              <w:t>拟</w:t>
            </w:r>
            <w:r>
              <w:rPr>
                <w:rFonts w:ascii="Times New Roman" w:hAnsi="Times New Roman" w:eastAsiaTheme="minorEastAsia"/>
                <w:szCs w:val="22"/>
              </w:rPr>
              <w:t>采取的生产废水处理措施可行。</w:t>
            </w:r>
          </w:p>
          <w:p>
            <w:pPr>
              <w:spacing w:line="440" w:lineRule="exact"/>
              <w:ind w:firstLine="480" w:firstLineChars="200"/>
              <w:rPr>
                <w:rFonts w:ascii="Times New Roman" w:hAnsi="Times New Roman" w:eastAsiaTheme="minorEastAsia"/>
                <w:szCs w:val="22"/>
              </w:rPr>
            </w:pPr>
            <w:r>
              <w:rPr>
                <w:rFonts w:ascii="Times New Roman" w:hAnsi="Times New Roman" w:eastAsiaTheme="minorEastAsia"/>
                <w:szCs w:val="22"/>
              </w:rPr>
              <w:t>（</w:t>
            </w:r>
            <w:r>
              <w:rPr>
                <w:rFonts w:hint="eastAsia" w:ascii="Times New Roman" w:hAnsi="Times New Roman" w:eastAsiaTheme="minorEastAsia"/>
                <w:szCs w:val="22"/>
              </w:rPr>
              <w:t>2</w:t>
            </w:r>
            <w:r>
              <w:rPr>
                <w:rFonts w:ascii="Times New Roman" w:hAnsi="Times New Roman" w:eastAsiaTheme="minorEastAsia"/>
                <w:szCs w:val="22"/>
              </w:rPr>
              <w:t>）生活污水</w:t>
            </w:r>
          </w:p>
          <w:p>
            <w:pPr>
              <w:spacing w:line="440" w:lineRule="exact"/>
              <w:ind w:firstLine="480" w:firstLineChars="200"/>
              <w:rPr>
                <w:rFonts w:ascii="Times New Roman" w:hAnsi="Times New Roman"/>
              </w:rPr>
            </w:pPr>
            <w:r>
              <w:rPr>
                <w:rFonts w:ascii="Times New Roman" w:hAnsi="Times New Roman"/>
              </w:rPr>
              <w:t>本项目生活污水经</w:t>
            </w:r>
            <w:r>
              <w:rPr>
                <w:rFonts w:hint="eastAsia" w:ascii="Times New Roman" w:hAnsi="Times New Roman"/>
              </w:rPr>
              <w:t>地埋式生活污水处理设施（工艺为生化一体池）</w:t>
            </w:r>
            <w:r>
              <w:rPr>
                <w:rFonts w:ascii="Times New Roman" w:hAnsi="Times New Roman"/>
              </w:rPr>
              <w:t>处理后用于周边山林地</w:t>
            </w:r>
            <w:r>
              <w:rPr>
                <w:rFonts w:hint="eastAsia" w:ascii="Times New Roman" w:hAnsi="Times New Roman"/>
              </w:rPr>
              <w:t>灌溉。</w:t>
            </w:r>
          </w:p>
          <w:p>
            <w:pPr>
              <w:spacing w:line="440" w:lineRule="exact"/>
              <w:ind w:firstLine="480" w:firstLineChars="200"/>
              <w:rPr>
                <w:rFonts w:ascii="Times New Roman" w:hAnsi="Times New Roman"/>
              </w:rPr>
            </w:pPr>
            <w:r>
              <w:rPr>
                <w:rFonts w:hint="eastAsia" w:ascii="Times New Roman" w:hAnsi="Times New Roman"/>
              </w:rPr>
              <w:t>①处理能力</w:t>
            </w:r>
          </w:p>
          <w:p>
            <w:pPr>
              <w:spacing w:line="440" w:lineRule="exact"/>
              <w:ind w:firstLine="480" w:firstLineChars="200"/>
              <w:rPr>
                <w:rFonts w:ascii="Times New Roman" w:hAnsi="Times New Roman"/>
              </w:rPr>
            </w:pPr>
            <w:r>
              <w:rPr>
                <w:rFonts w:ascii="Times New Roman" w:hAnsi="Times New Roman"/>
              </w:rPr>
              <w:t>根据业主提供资料，生活污水处理设施处理规模约</w:t>
            </w:r>
            <w:r>
              <w:rPr>
                <w:rFonts w:hint="eastAsia" w:ascii="Times New Roman" w:hAnsi="Times New Roman"/>
              </w:rPr>
              <w:t>1t</w:t>
            </w:r>
            <w:r>
              <w:rPr>
                <w:rFonts w:ascii="Times New Roman" w:hAnsi="Times New Roman"/>
              </w:rPr>
              <w:t>/</w:t>
            </w:r>
            <w:r>
              <w:rPr>
                <w:rFonts w:hint="eastAsia" w:ascii="Times New Roman" w:hAnsi="Times New Roman"/>
              </w:rPr>
              <w:t>d。</w:t>
            </w:r>
            <w:r>
              <w:rPr>
                <w:rFonts w:ascii="Times New Roman" w:hAnsi="Times New Roman"/>
              </w:rPr>
              <w:t>本项目生活污水</w:t>
            </w:r>
            <w:r>
              <w:rPr>
                <w:rFonts w:hint="eastAsia" w:ascii="Times New Roman" w:hAnsi="Times New Roman"/>
              </w:rPr>
              <w:t>产生</w:t>
            </w:r>
            <w:r>
              <w:rPr>
                <w:rFonts w:ascii="Times New Roman" w:hAnsi="Times New Roman"/>
              </w:rPr>
              <w:t>量约</w:t>
            </w:r>
            <w:r>
              <w:rPr>
                <w:rFonts w:hint="eastAsia" w:ascii="Times New Roman" w:hAnsi="Times New Roman"/>
              </w:rPr>
              <w:t>0.5</w:t>
            </w:r>
            <w:r>
              <w:rPr>
                <w:rFonts w:ascii="Times New Roman" w:hAnsi="Times New Roman"/>
              </w:rPr>
              <w:t>t/d，生活污水处理设施可以满足生活污水处理需求</w:t>
            </w:r>
            <w:r>
              <w:rPr>
                <w:rFonts w:hint="eastAsia" w:ascii="Times New Roman" w:hAnsi="Times New Roman"/>
              </w:rPr>
              <w:t>。</w:t>
            </w:r>
            <w:r>
              <w:rPr>
                <w:rFonts w:ascii="Times New Roman" w:hAnsi="Times New Roman"/>
              </w:rPr>
              <w:t>考虑到最长雨季无法</w:t>
            </w:r>
            <w:r>
              <w:rPr>
                <w:rFonts w:hint="eastAsia" w:ascii="Times New Roman" w:hAnsi="Times New Roman"/>
              </w:rPr>
              <w:t>灌溉</w:t>
            </w:r>
            <w:r>
              <w:rPr>
                <w:rFonts w:ascii="Times New Roman" w:hAnsi="Times New Roman"/>
              </w:rPr>
              <w:t>，本项目按照最大</w:t>
            </w:r>
            <w:r>
              <w:rPr>
                <w:rFonts w:hint="eastAsia" w:ascii="Times New Roman" w:hAnsi="Times New Roman"/>
              </w:rPr>
              <w:t>15天</w:t>
            </w:r>
            <w:r>
              <w:rPr>
                <w:rFonts w:ascii="Times New Roman" w:hAnsi="Times New Roman"/>
              </w:rPr>
              <w:t>无法</w:t>
            </w:r>
            <w:r>
              <w:rPr>
                <w:rFonts w:hint="eastAsia" w:ascii="Times New Roman" w:hAnsi="Times New Roman"/>
              </w:rPr>
              <w:t>灌溉</w:t>
            </w:r>
            <w:r>
              <w:rPr>
                <w:rFonts w:ascii="Times New Roman" w:hAnsi="Times New Roman"/>
              </w:rPr>
              <w:t>最大储量情况计算，</w:t>
            </w:r>
            <w:r>
              <w:rPr>
                <w:rFonts w:hint="eastAsia" w:ascii="Times New Roman" w:hAnsi="Times New Roman"/>
              </w:rPr>
              <w:t>15</w:t>
            </w:r>
            <w:r>
              <w:rPr>
                <w:rFonts w:ascii="Times New Roman" w:hAnsi="Times New Roman"/>
              </w:rPr>
              <w:t>天生活污水的产生量为</w:t>
            </w:r>
            <w:r>
              <w:rPr>
                <w:rFonts w:hint="eastAsia" w:ascii="Times New Roman" w:hAnsi="Times New Roman"/>
              </w:rPr>
              <w:t>6.3</w:t>
            </w:r>
            <w:r>
              <w:rPr>
                <w:rFonts w:ascii="Times New Roman" w:hAnsi="Times New Roman"/>
              </w:rPr>
              <w:t>t，</w:t>
            </w:r>
            <w:r>
              <w:rPr>
                <w:rFonts w:hint="eastAsia" w:ascii="Times New Roman" w:hAnsi="Times New Roman"/>
              </w:rPr>
              <w:t>拟设置一个容积为8m</w:t>
            </w:r>
            <w:r>
              <w:rPr>
                <w:rFonts w:hint="eastAsia" w:ascii="Times New Roman" w:hAnsi="Times New Roman"/>
                <w:vertAlign w:val="superscript"/>
              </w:rPr>
              <w:t>3</w:t>
            </w:r>
            <w:r>
              <w:rPr>
                <w:rFonts w:hint="eastAsia" w:ascii="Times New Roman" w:hAnsi="Times New Roman"/>
              </w:rPr>
              <w:t>的储存池，用于暂存雨季生活污水</w:t>
            </w:r>
            <w:r>
              <w:rPr>
                <w:rFonts w:ascii="Times New Roman" w:hAnsi="Times New Roman"/>
              </w:rPr>
              <w:t>。</w:t>
            </w:r>
          </w:p>
          <w:p>
            <w:pPr>
              <w:spacing w:line="440" w:lineRule="exact"/>
              <w:ind w:firstLine="480" w:firstLineChars="200"/>
              <w:rPr>
                <w:rFonts w:ascii="Times New Roman" w:hAnsi="Times New Roman"/>
              </w:rPr>
            </w:pPr>
            <w:r>
              <w:rPr>
                <w:rFonts w:hint="eastAsia" w:ascii="Times New Roman" w:hAnsi="Times New Roman"/>
              </w:rPr>
              <w:t>②水质</w:t>
            </w:r>
          </w:p>
          <w:p>
            <w:pPr>
              <w:spacing w:line="440" w:lineRule="exact"/>
              <w:ind w:firstLine="480" w:firstLineChars="200"/>
              <w:rPr>
                <w:rFonts w:ascii="Times New Roman" w:hAnsi="Times New Roman"/>
              </w:rPr>
            </w:pPr>
            <w:r>
              <w:rPr>
                <w:rFonts w:ascii="Times New Roman" w:hAnsi="Times New Roman"/>
              </w:rPr>
              <w:t>本项目</w:t>
            </w:r>
            <w:r>
              <w:rPr>
                <w:rFonts w:hint="eastAsia" w:ascii="Times New Roman" w:hAnsi="Times New Roman"/>
              </w:rPr>
              <w:t>生活污水</w:t>
            </w:r>
            <w:r>
              <w:rPr>
                <w:rFonts w:ascii="Times New Roman" w:hAnsi="Times New Roman"/>
              </w:rPr>
              <w:t>用于周边</w:t>
            </w:r>
            <w:r>
              <w:rPr>
                <w:rFonts w:hint="eastAsia" w:ascii="Times New Roman" w:hAnsi="Times New Roman"/>
              </w:rPr>
              <w:t>林地</w:t>
            </w:r>
            <w:r>
              <w:rPr>
                <w:rFonts w:ascii="Times New Roman" w:hAnsi="Times New Roman"/>
              </w:rPr>
              <w:t>灌溉。项目</w:t>
            </w:r>
            <w:r>
              <w:rPr>
                <w:rFonts w:hint="eastAsia" w:ascii="Times New Roman" w:hAnsi="Times New Roman"/>
              </w:rPr>
              <w:t>生活污水</w:t>
            </w:r>
            <w:r>
              <w:rPr>
                <w:rFonts w:ascii="Times New Roman" w:hAnsi="Times New Roman"/>
              </w:rPr>
              <w:t>经</w:t>
            </w:r>
            <w:r>
              <w:rPr>
                <w:rFonts w:hint="eastAsia" w:ascii="Times New Roman" w:hAnsi="Times New Roman"/>
              </w:rPr>
              <w:t>地埋式生活污水处理设施</w:t>
            </w:r>
            <w:r>
              <w:rPr>
                <w:rFonts w:ascii="Times New Roman" w:hAnsi="Times New Roman"/>
              </w:rPr>
              <w:t>处理后，可以满足《农田灌溉水质标准》(GB5084-</w:t>
            </w:r>
            <w:r>
              <w:rPr>
                <w:rFonts w:hint="eastAsia" w:ascii="Times New Roman" w:hAnsi="Times New Roman"/>
              </w:rPr>
              <w:t>2021</w:t>
            </w:r>
            <w:r>
              <w:rPr>
                <w:rFonts w:ascii="Times New Roman" w:hAnsi="Times New Roman"/>
              </w:rPr>
              <w:t>)表1“</w:t>
            </w:r>
            <w:r>
              <w:rPr>
                <w:rFonts w:hint="eastAsia" w:ascii="Times New Roman" w:hAnsi="Times New Roman"/>
              </w:rPr>
              <w:t>农田灌溉水质基本控制项目限值</w:t>
            </w:r>
            <w:r>
              <w:rPr>
                <w:rFonts w:ascii="Times New Roman" w:hAnsi="Times New Roman"/>
              </w:rPr>
              <w:t>”，可以用作灌溉用水。</w:t>
            </w:r>
          </w:p>
          <w:p>
            <w:pPr>
              <w:spacing w:line="440" w:lineRule="exact"/>
              <w:ind w:firstLine="480" w:firstLineChars="200"/>
              <w:rPr>
                <w:rFonts w:ascii="Times New Roman" w:hAnsi="Times New Roman"/>
              </w:rPr>
            </w:pPr>
            <w:r>
              <w:rPr>
                <w:rFonts w:hint="eastAsia" w:ascii="Times New Roman" w:hAnsi="Times New Roman"/>
              </w:rPr>
              <w:t>③水量</w:t>
            </w:r>
          </w:p>
          <w:p>
            <w:pPr>
              <w:spacing w:line="440" w:lineRule="exact"/>
              <w:ind w:firstLine="480" w:firstLineChars="200"/>
              <w:rPr>
                <w:rFonts w:ascii="Times New Roman" w:hAnsi="Times New Roman"/>
              </w:rPr>
            </w:pPr>
            <w:r>
              <w:rPr>
                <w:rFonts w:hint="eastAsia" w:ascii="Times New Roman" w:hAnsi="Times New Roman"/>
              </w:rPr>
              <w:t>卓阳达公司</w:t>
            </w:r>
            <w:r>
              <w:rPr>
                <w:rFonts w:ascii="Times New Roman" w:hAnsi="Times New Roman"/>
              </w:rPr>
              <w:t>已签订了生活污水清运协议(见附件</w:t>
            </w:r>
            <w:r>
              <w:rPr>
                <w:rFonts w:hint="eastAsia" w:ascii="Times New Roman" w:hAnsi="Times New Roman"/>
              </w:rPr>
              <w:t>八</w:t>
            </w:r>
            <w:r>
              <w:rPr>
                <w:rFonts w:ascii="Times New Roman" w:hAnsi="Times New Roman"/>
              </w:rPr>
              <w:t>)，同意本项目</w:t>
            </w:r>
            <w:r>
              <w:rPr>
                <w:rFonts w:hint="eastAsia" w:ascii="Times New Roman" w:hAnsi="Times New Roman"/>
              </w:rPr>
              <w:t>生活污水</w:t>
            </w:r>
            <w:r>
              <w:rPr>
                <w:rFonts w:ascii="Times New Roman" w:hAnsi="Times New Roman"/>
              </w:rPr>
              <w:t>处理后浇灌周边的</w:t>
            </w:r>
            <w:r>
              <w:rPr>
                <w:rFonts w:hint="eastAsia" w:ascii="Times New Roman" w:hAnsi="Times New Roman"/>
              </w:rPr>
              <w:t>山</w:t>
            </w:r>
            <w:r>
              <w:rPr>
                <w:rFonts w:ascii="Times New Roman" w:hAnsi="Times New Roman"/>
              </w:rPr>
              <w:t>林地，山林地位于项目厂址西南侧距离约150m处，</w:t>
            </w:r>
            <w:r>
              <w:rPr>
                <w:rFonts w:hint="eastAsia" w:ascii="Times New Roman" w:hAnsi="Times New Roman"/>
              </w:rPr>
              <w:t>通过槽车将生活污水运送至山林地</w:t>
            </w:r>
            <w:r>
              <w:rPr>
                <w:rFonts w:ascii="Times New Roman" w:hAnsi="Times New Roman"/>
              </w:rPr>
              <w:t>。</w:t>
            </w:r>
          </w:p>
          <w:p>
            <w:pPr>
              <w:spacing w:line="440" w:lineRule="exact"/>
              <w:ind w:firstLine="480" w:firstLineChars="200"/>
              <w:rPr>
                <w:rFonts w:ascii="Times New Roman" w:hAnsi="Times New Roman"/>
              </w:rPr>
            </w:pPr>
            <w:r>
              <w:rPr>
                <w:rFonts w:ascii="Times New Roman" w:hAnsi="Times New Roman"/>
              </w:rPr>
              <w:t>参照《福建省行业用水定额》(DB35/T 772-2013)，林业用水定额为50-100m</w:t>
            </w:r>
            <w:r>
              <w:rPr>
                <w:rFonts w:ascii="Times New Roman" w:hAnsi="Times New Roman"/>
                <w:vertAlign w:val="superscript"/>
              </w:rPr>
              <w:t>3</w:t>
            </w:r>
            <w:r>
              <w:rPr>
                <w:rFonts w:ascii="Times New Roman" w:hAnsi="Times New Roman"/>
              </w:rPr>
              <w:t>/</w:t>
            </w:r>
            <w:r>
              <w:rPr>
                <w:rFonts w:hint="eastAsia" w:ascii="Times New Roman" w:hAnsi="Times New Roman"/>
              </w:rPr>
              <w:t>亩，</w:t>
            </w:r>
            <w:r>
              <w:rPr>
                <w:rFonts w:ascii="Times New Roman" w:hAnsi="Times New Roman"/>
              </w:rPr>
              <w:t>按50m</w:t>
            </w:r>
            <w:r>
              <w:rPr>
                <w:rFonts w:ascii="Times New Roman" w:hAnsi="Times New Roman"/>
                <w:vertAlign w:val="superscript"/>
              </w:rPr>
              <w:t>3</w:t>
            </w:r>
            <w:r>
              <w:rPr>
                <w:rFonts w:ascii="Times New Roman" w:hAnsi="Times New Roman"/>
              </w:rPr>
              <w:t>/</w:t>
            </w:r>
            <w:r>
              <w:rPr>
                <w:rFonts w:hint="eastAsia" w:ascii="Times New Roman" w:hAnsi="Times New Roman"/>
              </w:rPr>
              <w:t>亩，山林地</w:t>
            </w:r>
            <w:r>
              <w:rPr>
                <w:rFonts w:ascii="Times New Roman" w:hAnsi="Times New Roman"/>
              </w:rPr>
              <w:t>面积约为15亩</w:t>
            </w:r>
            <w:r>
              <w:rPr>
                <w:rFonts w:hint="eastAsia" w:ascii="Times New Roman" w:hAnsi="Times New Roman"/>
              </w:rPr>
              <w:t>，</w:t>
            </w:r>
            <w:r>
              <w:rPr>
                <w:rFonts w:ascii="Times New Roman" w:hAnsi="Times New Roman"/>
              </w:rPr>
              <w:t>则</w:t>
            </w:r>
            <w:r>
              <w:rPr>
                <w:rFonts w:hint="eastAsia" w:ascii="Times New Roman" w:hAnsi="Times New Roman"/>
              </w:rPr>
              <w:t>山林地年可消纳生活污水750m</w:t>
            </w:r>
            <w:r>
              <w:rPr>
                <w:rFonts w:hint="eastAsia" w:ascii="Times New Roman" w:hAnsi="Times New Roman"/>
                <w:vertAlign w:val="superscript"/>
              </w:rPr>
              <w:t>3</w:t>
            </w:r>
            <w:r>
              <w:rPr>
                <w:rFonts w:hint="eastAsia" w:ascii="Times New Roman" w:hAnsi="Times New Roman"/>
              </w:rPr>
              <w:t>，本项目生活污水排放量为135m</w:t>
            </w:r>
            <w:r>
              <w:rPr>
                <w:rFonts w:hint="eastAsia" w:ascii="Times New Roman" w:hAnsi="Times New Roman"/>
                <w:vertAlign w:val="superscript"/>
              </w:rPr>
              <w:t>3</w:t>
            </w:r>
            <w:r>
              <w:rPr>
                <w:rFonts w:hint="eastAsia" w:ascii="Times New Roman" w:hAnsi="Times New Roman"/>
              </w:rPr>
              <w:t>，山林地可完全消纳本项目产生的生活污水。</w:t>
            </w:r>
          </w:p>
          <w:p>
            <w:pPr>
              <w:pStyle w:val="3"/>
              <w:spacing w:after="0" w:line="440" w:lineRule="exact"/>
              <w:ind w:right="-120" w:firstLine="480" w:firstLineChars="200"/>
              <w:jc w:val="left"/>
              <w:rPr>
                <w:rFonts w:ascii="Times New Roman" w:hAnsi="Times New Roman"/>
              </w:rPr>
            </w:pPr>
            <w:r>
              <w:rPr>
                <w:rFonts w:ascii="Times New Roman" w:hAnsi="Times New Roman"/>
              </w:rPr>
              <w:t>综上所述，本项目</w:t>
            </w:r>
            <w:r>
              <w:rPr>
                <w:rFonts w:hint="eastAsia" w:ascii="Times New Roman" w:hAnsi="Times New Roman"/>
              </w:rPr>
              <w:t>生活污水</w:t>
            </w:r>
            <w:r>
              <w:rPr>
                <w:rFonts w:ascii="Times New Roman" w:hAnsi="Times New Roman"/>
              </w:rPr>
              <w:t>处理后浇灌周边林地可行。</w:t>
            </w:r>
          </w:p>
          <w:p>
            <w:pPr>
              <w:jc w:val="center"/>
            </w:pPr>
            <w:r>
              <w:rPr>
                <w:rFonts w:hint="eastAsia"/>
              </w:rPr>
              <w:drawing>
                <wp:inline distT="0" distB="0" distL="114300" distR="114300">
                  <wp:extent cx="3689985" cy="2977515"/>
                  <wp:effectExtent l="0" t="0" r="5715" b="13335"/>
                  <wp:docPr id="8" name="图片 8" descr="8a1d595718823ff74014c7e4d545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8a1d595718823ff74014c7e4d545324"/>
                          <pic:cNvPicPr>
                            <a:picLocks noChangeAspect="1"/>
                          </pic:cNvPicPr>
                        </pic:nvPicPr>
                        <pic:blipFill>
                          <a:blip r:embed="rId22"/>
                          <a:srcRect t="34819" r="2239" b="20811"/>
                          <a:stretch>
                            <a:fillRect/>
                          </a:stretch>
                        </pic:blipFill>
                        <pic:spPr>
                          <a:xfrm>
                            <a:off x="0" y="0"/>
                            <a:ext cx="3689985" cy="2977515"/>
                          </a:xfrm>
                          <a:prstGeom prst="rect">
                            <a:avLst/>
                          </a:prstGeom>
                        </pic:spPr>
                      </pic:pic>
                    </a:graphicData>
                  </a:graphic>
                </wp:inline>
              </w:drawing>
            </w:r>
          </w:p>
          <w:p>
            <w:pPr>
              <w:pStyle w:val="22"/>
              <w:keepNext/>
              <w:adjustRightInd w:val="0"/>
              <w:snapToGrid w:val="0"/>
              <w:spacing w:before="120" w:beforeLines="50" w:after="0" w:line="240" w:lineRule="auto"/>
              <w:ind w:firstLine="422"/>
              <w:outlineLvl w:val="9"/>
              <w:rPr>
                <w:rFonts w:ascii="Times New Roman" w:hAnsi="Times New Roman"/>
                <w:kern w:val="2"/>
                <w:sz w:val="24"/>
                <w:szCs w:val="24"/>
                <w:shd w:val="clear" w:color="auto" w:fill="FFFFFF"/>
                <w:lang w:bidi="ar"/>
              </w:rPr>
            </w:pPr>
            <w:r>
              <w:rPr>
                <w:rFonts w:ascii="Times New Roman" w:hAnsi="Times New Roman" w:eastAsia="黑体"/>
                <w:bCs w:val="0"/>
                <w:sz w:val="21"/>
                <w:szCs w:val="21"/>
              </w:rPr>
              <w:t>图4.2-</w:t>
            </w:r>
            <w:r>
              <w:rPr>
                <w:rFonts w:hint="eastAsia" w:ascii="Times New Roman" w:hAnsi="Times New Roman" w:eastAsia="黑体"/>
                <w:bCs w:val="0"/>
                <w:sz w:val="21"/>
                <w:szCs w:val="21"/>
              </w:rPr>
              <w:t>2灌溉山林地照片</w:t>
            </w:r>
          </w:p>
          <w:p>
            <w:pPr>
              <w:adjustRightInd w:val="0"/>
              <w:snapToGrid w:val="0"/>
              <w:spacing w:line="440" w:lineRule="exact"/>
              <w:ind w:left="480" w:leftChars="200"/>
              <w:rPr>
                <w:rFonts w:ascii="Times New Roman" w:hAnsi="Times New Roman"/>
                <w:kern w:val="0"/>
                <w:szCs w:val="20"/>
              </w:rPr>
            </w:pPr>
            <w:r>
              <w:rPr>
                <w:rFonts w:hint="eastAsia" w:ascii="Times New Roman" w:hAnsi="Times New Roman"/>
                <w:kern w:val="0"/>
                <w:szCs w:val="20"/>
              </w:rPr>
              <w:t>（3）初期雨水</w:t>
            </w:r>
          </w:p>
          <w:p>
            <w:pPr>
              <w:adjustRightInd w:val="0"/>
              <w:snapToGrid w:val="0"/>
              <w:spacing w:line="460" w:lineRule="exact"/>
              <w:ind w:firstLine="480" w:firstLineChars="200"/>
              <w:rPr>
                <w:rFonts w:ascii="Times New Roman" w:hAnsi="Times New Roman" w:eastAsiaTheme="minorEastAsia"/>
                <w:szCs w:val="22"/>
              </w:rPr>
            </w:pPr>
            <w:r>
              <w:rPr>
                <w:rFonts w:ascii="Times New Roman" w:hAnsi="Times New Roman" w:eastAsiaTheme="minorEastAsia"/>
                <w:szCs w:val="22"/>
              </w:rPr>
              <w:t>项目初期雨水拟</w:t>
            </w:r>
            <w:r>
              <w:rPr>
                <w:rFonts w:hint="eastAsia" w:ascii="Times New Roman" w:hAnsi="Times New Roman" w:eastAsiaTheme="minorEastAsia"/>
                <w:szCs w:val="22"/>
              </w:rPr>
              <w:t>收集后经初期雨水沉淀池处理后</w:t>
            </w:r>
            <w:r>
              <w:rPr>
                <w:rFonts w:ascii="Times New Roman" w:hAnsi="Times New Roman" w:eastAsiaTheme="minorEastAsia"/>
                <w:szCs w:val="22"/>
              </w:rPr>
              <w:t>回用。</w:t>
            </w:r>
          </w:p>
          <w:p>
            <w:pPr>
              <w:adjustRightInd w:val="0"/>
              <w:snapToGrid w:val="0"/>
              <w:spacing w:line="460" w:lineRule="exact"/>
              <w:ind w:firstLine="480" w:firstLineChars="200"/>
              <w:rPr>
                <w:rFonts w:ascii="Times New Roman" w:hAnsi="Times New Roman" w:eastAsiaTheme="minorEastAsia"/>
                <w:szCs w:val="22"/>
              </w:rPr>
            </w:pPr>
            <w:r>
              <w:rPr>
                <w:rFonts w:ascii="Times New Roman" w:hAnsi="Times New Roman" w:eastAsiaTheme="minorEastAsia"/>
                <w:szCs w:val="22"/>
              </w:rPr>
              <w:fldChar w:fldCharType="begin"/>
            </w:r>
            <w:r>
              <w:rPr>
                <w:rFonts w:ascii="Times New Roman" w:hAnsi="Times New Roman" w:eastAsiaTheme="minorEastAsia"/>
                <w:szCs w:val="22"/>
              </w:rPr>
              <w:instrText xml:space="preserve"> = 1 \* GB3 \* MERGEFORMAT </w:instrText>
            </w:r>
            <w:r>
              <w:rPr>
                <w:rFonts w:ascii="Times New Roman" w:hAnsi="Times New Roman" w:eastAsiaTheme="minorEastAsia"/>
                <w:szCs w:val="22"/>
              </w:rPr>
              <w:fldChar w:fldCharType="separate"/>
            </w:r>
            <w:r>
              <w:rPr>
                <w:rFonts w:ascii="Times New Roman" w:hAnsi="Times New Roman" w:eastAsiaTheme="minorEastAsia"/>
                <w:szCs w:val="22"/>
              </w:rPr>
              <w:t>①</w:t>
            </w:r>
            <w:r>
              <w:rPr>
                <w:rFonts w:ascii="Times New Roman" w:hAnsi="Times New Roman" w:eastAsiaTheme="minorEastAsia"/>
                <w:szCs w:val="22"/>
              </w:rPr>
              <w:fldChar w:fldCharType="end"/>
            </w:r>
            <w:r>
              <w:rPr>
                <w:rFonts w:ascii="Times New Roman" w:hAnsi="Times New Roman" w:eastAsiaTheme="minorEastAsia"/>
                <w:szCs w:val="22"/>
              </w:rPr>
              <w:t>初期雨水收集处理范围</w:t>
            </w:r>
          </w:p>
          <w:p>
            <w:pPr>
              <w:adjustRightInd w:val="0"/>
              <w:snapToGrid w:val="0"/>
              <w:spacing w:line="460" w:lineRule="exact"/>
              <w:ind w:firstLine="480" w:firstLineChars="200"/>
              <w:rPr>
                <w:rFonts w:ascii="Times New Roman" w:hAnsi="Times New Roman"/>
              </w:rPr>
            </w:pPr>
            <w:r>
              <w:rPr>
                <w:rFonts w:hint="eastAsia" w:ascii="Times New Roman" w:hAnsi="Times New Roman"/>
              </w:rPr>
              <w:t>项目厂区原料堆场、生产车间、尾渣堆场均设置顶棚，顶棚设置雨水收集管道，生产车间、尾渣堆场雨水管道接至厂区外，雨水通过管道直接排入厂区东侧的武陵溪。原料堆场的顶棚水进入雨水沟，与厂内道路一起排至厂区东侧门口。</w:t>
            </w:r>
          </w:p>
          <w:p>
            <w:pPr>
              <w:spacing w:line="440" w:lineRule="exact"/>
              <w:ind w:firstLine="480" w:firstLineChars="200"/>
              <w:rPr>
                <w:rFonts w:ascii="Times New Roman" w:hAnsi="Times New Roman"/>
              </w:rPr>
            </w:pPr>
            <w:r>
              <w:rPr>
                <w:rFonts w:hint="eastAsia" w:ascii="Times New Roman" w:hAnsi="Times New Roman"/>
              </w:rPr>
              <w:t>原料运输车辆在厂区外西侧运输至原料堆场卸料，不经过厂区；厂内铲车会在厂区北部原料堆场和尾渣堆场区域之间的道路行驶；成品、尾渣运输车辆在厂区大门至尾渣堆场之间的道路行驶。车辆运输过程中会撒落很少量的物料，在雨季，厂区内道路会产生污染雨水，应进行收集处理，初期雨水汇水区域为原料堆场及厂区内道路（见附图1</w:t>
            </w:r>
            <w:r>
              <w:rPr>
                <w:rFonts w:hint="eastAsia" w:ascii="Times New Roman" w:hAnsi="Times New Roman"/>
                <w:lang w:val="en-US" w:eastAsia="zh-CN"/>
              </w:rPr>
              <w:t>2</w:t>
            </w:r>
            <w:r>
              <w:rPr>
                <w:rFonts w:hint="eastAsia" w:ascii="Times New Roman" w:hAnsi="Times New Roman"/>
              </w:rPr>
              <w:t>），汇水面积约为900m</w:t>
            </w:r>
            <w:r>
              <w:rPr>
                <w:rFonts w:hint="eastAsia" w:ascii="Times New Roman" w:hAnsi="Times New Roman"/>
                <w:vertAlign w:val="superscript"/>
              </w:rPr>
              <w:t>2</w:t>
            </w:r>
            <w:r>
              <w:rPr>
                <w:rFonts w:hint="eastAsia" w:ascii="Times New Roman" w:hAnsi="Times New Roman"/>
              </w:rPr>
              <w:t>。</w:t>
            </w:r>
          </w:p>
          <w:p>
            <w:pPr>
              <w:spacing w:line="440" w:lineRule="exact"/>
              <w:ind w:firstLine="480" w:firstLineChars="200"/>
              <w:rPr>
                <w:rFonts w:ascii="Times New Roman" w:hAnsi="Times New Roman" w:eastAsiaTheme="minorEastAsia"/>
                <w:szCs w:val="22"/>
              </w:rPr>
            </w:pPr>
            <w:r>
              <w:rPr>
                <w:rFonts w:hint="eastAsia" w:ascii="Times New Roman" w:hAnsi="Times New Roman"/>
              </w:rPr>
              <w:t>根据厂区地形地势，要求企业在厂区大门口道路东侧（厂区地势最低）设置一个容积不小于9</w:t>
            </w:r>
            <w:r>
              <w:rPr>
                <w:rFonts w:ascii="Times New Roman" w:hAnsi="Times New Roman"/>
                <w:bCs/>
              </w:rPr>
              <w:t>m</w:t>
            </w:r>
            <w:r>
              <w:rPr>
                <w:rFonts w:ascii="Times New Roman" w:hAnsi="Times New Roman"/>
                <w:bCs/>
                <w:vertAlign w:val="superscript"/>
              </w:rPr>
              <w:t>3</w:t>
            </w:r>
            <w:r>
              <w:rPr>
                <w:rFonts w:hint="eastAsia" w:ascii="Times New Roman" w:hAnsi="Times New Roman"/>
              </w:rPr>
              <w:t>的初期雨水沉淀池。初期雨水经初期雨水沉淀池处理后作为生产用水回用，回用于球磨等工序，不外排。</w:t>
            </w:r>
          </w:p>
          <w:p>
            <w:pPr>
              <w:pStyle w:val="38"/>
              <w:spacing w:line="460" w:lineRule="exact"/>
              <w:ind w:firstLine="480"/>
              <w:rPr>
                <w:rFonts w:eastAsiaTheme="minorEastAsia"/>
              </w:rPr>
            </w:pPr>
            <w:r>
              <w:rPr>
                <w:rFonts w:eastAsiaTheme="minorEastAsia"/>
              </w:rPr>
              <w:fldChar w:fldCharType="begin"/>
            </w:r>
            <w:r>
              <w:rPr>
                <w:rFonts w:eastAsiaTheme="minorEastAsia"/>
              </w:rPr>
              <w:instrText xml:space="preserve"> = 2 \* GB3 \* MERGEFORMAT </w:instrText>
            </w:r>
            <w:r>
              <w:rPr>
                <w:rFonts w:eastAsiaTheme="minorEastAsia"/>
              </w:rPr>
              <w:fldChar w:fldCharType="separate"/>
            </w:r>
            <w:r>
              <w:rPr>
                <w:rFonts w:eastAsiaTheme="minorEastAsia"/>
              </w:rPr>
              <w:t>②</w:t>
            </w:r>
            <w:r>
              <w:rPr>
                <w:rFonts w:eastAsiaTheme="minorEastAsia"/>
              </w:rPr>
              <w:fldChar w:fldCharType="end"/>
            </w:r>
            <w:r>
              <w:rPr>
                <w:rFonts w:eastAsiaTheme="minorEastAsia"/>
              </w:rPr>
              <w:t>水质</w:t>
            </w:r>
          </w:p>
          <w:p>
            <w:pPr>
              <w:adjustRightInd w:val="0"/>
              <w:snapToGrid w:val="0"/>
              <w:spacing w:line="460" w:lineRule="exact"/>
              <w:ind w:firstLine="480" w:firstLineChars="200"/>
              <w:rPr>
                <w:rFonts w:ascii="Times New Roman" w:hAnsi="Times New Roman" w:eastAsiaTheme="minorEastAsia"/>
                <w:szCs w:val="22"/>
              </w:rPr>
            </w:pPr>
            <w:r>
              <w:rPr>
                <w:rFonts w:hint="eastAsia" w:ascii="Times New Roman" w:hAnsi="Times New Roman"/>
              </w:rPr>
              <w:t>成品、尾渣运输车辆在厂区大门至尾渣堆场之间的道路行驶。车辆运输过程中会撒落很少量的物料</w:t>
            </w:r>
            <w:r>
              <w:rPr>
                <w:rFonts w:ascii="Times New Roman" w:hAnsi="Times New Roman"/>
                <w:szCs w:val="22"/>
              </w:rPr>
              <w:t>，主要污染因子为SS</w:t>
            </w:r>
            <w:r>
              <w:rPr>
                <w:rFonts w:ascii="Times New Roman" w:hAnsi="Times New Roman"/>
              </w:rPr>
              <w:t>。初期雨水</w:t>
            </w:r>
            <w:r>
              <w:rPr>
                <w:rFonts w:ascii="Times New Roman" w:hAnsi="Times New Roman"/>
                <w:snapToGrid w:val="0"/>
              </w:rPr>
              <w:t>经</w:t>
            </w:r>
            <w:r>
              <w:rPr>
                <w:rFonts w:hint="eastAsia" w:ascii="Times New Roman" w:hAnsi="Times New Roman"/>
                <w:snapToGrid w:val="0"/>
              </w:rPr>
              <w:t>初期雨水</w:t>
            </w:r>
            <w:r>
              <w:rPr>
                <w:rFonts w:ascii="Times New Roman" w:hAnsi="Times New Roman"/>
                <w:snapToGrid w:val="0"/>
              </w:rPr>
              <w:t>沉淀池沉淀，</w:t>
            </w:r>
            <w:r>
              <w:rPr>
                <w:rFonts w:ascii="Times New Roman" w:hAnsi="Times New Roman"/>
              </w:rPr>
              <w:t>废水中大多数颗粒物可有效沉淀下来，泥水进行分离，经沉淀后的水用于生产。</w:t>
            </w:r>
          </w:p>
          <w:p>
            <w:pPr>
              <w:adjustRightInd w:val="0"/>
              <w:snapToGrid w:val="0"/>
              <w:spacing w:line="460" w:lineRule="exact"/>
              <w:ind w:firstLine="480" w:firstLineChars="200"/>
              <w:rPr>
                <w:rFonts w:ascii="Times New Roman" w:hAnsi="Times New Roman"/>
                <w:szCs w:val="22"/>
              </w:rPr>
            </w:pPr>
            <w:r>
              <w:rPr>
                <w:rFonts w:ascii="Times New Roman" w:hAnsi="Times New Roman"/>
                <w:szCs w:val="22"/>
              </w:rPr>
              <w:fldChar w:fldCharType="begin"/>
            </w:r>
            <w:r>
              <w:rPr>
                <w:rFonts w:ascii="Times New Roman" w:hAnsi="Times New Roman"/>
                <w:szCs w:val="22"/>
              </w:rPr>
              <w:instrText xml:space="preserve"> = 3 \* GB3 \* MERGEFORMAT </w:instrText>
            </w:r>
            <w:r>
              <w:rPr>
                <w:rFonts w:ascii="Times New Roman" w:hAnsi="Times New Roman"/>
                <w:szCs w:val="22"/>
              </w:rPr>
              <w:fldChar w:fldCharType="separate"/>
            </w:r>
            <w:r>
              <w:rPr>
                <w:rFonts w:ascii="Times New Roman" w:hAnsi="Times New Roman"/>
                <w:szCs w:val="22"/>
              </w:rPr>
              <w:t>③</w:t>
            </w:r>
            <w:r>
              <w:rPr>
                <w:rFonts w:ascii="Times New Roman" w:hAnsi="Times New Roman"/>
                <w:szCs w:val="22"/>
              </w:rPr>
              <w:fldChar w:fldCharType="end"/>
            </w:r>
            <w:r>
              <w:rPr>
                <w:rFonts w:ascii="Times New Roman" w:hAnsi="Times New Roman"/>
                <w:szCs w:val="22"/>
              </w:rPr>
              <w:t>水量</w:t>
            </w:r>
          </w:p>
          <w:p>
            <w:pPr>
              <w:pStyle w:val="38"/>
              <w:spacing w:line="460" w:lineRule="exact"/>
              <w:ind w:firstLine="480"/>
            </w:pPr>
            <w:r>
              <w:rPr>
                <w:rFonts w:hint="eastAsia"/>
              </w:rPr>
              <w:t>根据工程分析，单次</w:t>
            </w:r>
            <w:r>
              <w:t>初期雨水最大产生量为</w:t>
            </w:r>
            <w:r>
              <w:rPr>
                <w:rFonts w:hint="eastAsia"/>
              </w:rPr>
              <w:t>9</w:t>
            </w:r>
            <w:r>
              <w:t>m</w:t>
            </w:r>
            <w:r>
              <w:rPr>
                <w:vertAlign w:val="superscript"/>
              </w:rPr>
              <w:t>3</w:t>
            </w:r>
            <w:r>
              <w:t>/次，</w:t>
            </w:r>
            <w:r>
              <w:rPr>
                <w:rFonts w:hint="eastAsia"/>
              </w:rPr>
              <w:t>经初期雨水沉淀池沉淀处理后回用，拟在厂区东侧门口设置容积不小于9</w:t>
            </w:r>
            <w:r>
              <w:rPr>
                <w:bCs/>
              </w:rPr>
              <w:t>m</w:t>
            </w:r>
            <w:r>
              <w:rPr>
                <w:bCs/>
                <w:vertAlign w:val="superscript"/>
              </w:rPr>
              <w:t>3</w:t>
            </w:r>
            <w:r>
              <w:rPr>
                <w:rFonts w:hint="eastAsia"/>
              </w:rPr>
              <w:t>的初期雨水沉淀池，可满足需求。</w:t>
            </w:r>
          </w:p>
          <w:p>
            <w:pPr>
              <w:pStyle w:val="38"/>
              <w:spacing w:line="460" w:lineRule="exact"/>
              <w:ind w:firstLine="480"/>
              <w:rPr>
                <w:szCs w:val="20"/>
              </w:rPr>
            </w:pPr>
            <w:r>
              <w:rPr>
                <w:rFonts w:eastAsiaTheme="minorEastAsia"/>
              </w:rPr>
              <w:t>综上所述，从水质、水量和设施处理能力分析，项目初期雨水</w:t>
            </w:r>
            <w:r>
              <w:rPr>
                <w:rFonts w:hint="eastAsia" w:eastAsiaTheme="minorEastAsia"/>
              </w:rPr>
              <w:t>收集、处理方案可行。</w:t>
            </w:r>
          </w:p>
          <w:p>
            <w:pPr>
              <w:adjustRightInd w:val="0"/>
              <w:snapToGrid w:val="0"/>
              <w:spacing w:line="440" w:lineRule="exact"/>
              <w:rPr>
                <w:rFonts w:ascii="Times New Roman" w:hAnsi="Times New Roman" w:eastAsia="黑体"/>
                <w:b/>
                <w:bCs/>
              </w:rPr>
            </w:pPr>
            <w:r>
              <w:rPr>
                <w:rFonts w:ascii="Times New Roman" w:hAnsi="Times New Roman" w:eastAsia="黑体"/>
                <w:b/>
                <w:bCs/>
              </w:rPr>
              <w:t>4.2.</w:t>
            </w:r>
            <w:r>
              <w:rPr>
                <w:rFonts w:hint="eastAsia" w:ascii="Times New Roman" w:hAnsi="Times New Roman" w:eastAsia="黑体"/>
                <w:b/>
                <w:bCs/>
              </w:rPr>
              <w:t>3</w:t>
            </w:r>
            <w:r>
              <w:rPr>
                <w:rFonts w:ascii="Times New Roman" w:hAnsi="Times New Roman" w:eastAsia="黑体"/>
                <w:b/>
                <w:bCs/>
              </w:rPr>
              <w:t>.3</w:t>
            </w:r>
            <w:r>
              <w:rPr>
                <w:rFonts w:hint="eastAsia" w:ascii="Times New Roman" w:hAnsi="Times New Roman" w:eastAsia="黑体"/>
                <w:b/>
                <w:bCs/>
              </w:rPr>
              <w:t>地表</w:t>
            </w:r>
            <w:r>
              <w:rPr>
                <w:rFonts w:ascii="Times New Roman" w:hAnsi="Times New Roman" w:eastAsia="黑体"/>
                <w:b/>
                <w:bCs/>
              </w:rPr>
              <w:t>水环境影响分析</w:t>
            </w:r>
          </w:p>
          <w:p>
            <w:pPr>
              <w:pStyle w:val="3"/>
              <w:spacing w:after="0" w:line="440" w:lineRule="exact"/>
              <w:ind w:right="-120" w:firstLine="480" w:firstLineChars="200"/>
              <w:jc w:val="left"/>
              <w:rPr>
                <w:rFonts w:ascii="Times New Roman" w:hAnsi="Times New Roman"/>
              </w:rPr>
            </w:pPr>
            <w:r>
              <w:rPr>
                <w:rFonts w:ascii="Times New Roman" w:hAnsi="Times New Roman"/>
              </w:rPr>
              <w:t>项目生产废水经</w:t>
            </w:r>
            <w:r>
              <w:rPr>
                <w:rFonts w:hint="eastAsia" w:ascii="Times New Roman" w:hAnsi="Times New Roman"/>
              </w:rPr>
              <w:t>“隔油池+沉淀池”</w:t>
            </w:r>
            <w:r>
              <w:rPr>
                <w:rFonts w:ascii="Times New Roman" w:hAnsi="Times New Roman"/>
              </w:rPr>
              <w:t>处理后循环回用，不外排，正常生产不会对周边地表水体产生污染</w:t>
            </w:r>
            <w:r>
              <w:rPr>
                <w:rFonts w:hint="eastAsia" w:ascii="Times New Roman" w:hAnsi="Times New Roman"/>
              </w:rPr>
              <w:t>。</w:t>
            </w:r>
            <w:r>
              <w:rPr>
                <w:rFonts w:ascii="Times New Roman" w:hAnsi="Times New Roman"/>
              </w:rPr>
              <w:t>项目员工均不在厂区内食宿，生活污水经</w:t>
            </w:r>
            <w:r>
              <w:rPr>
                <w:rFonts w:hint="eastAsia" w:ascii="Times New Roman" w:hAnsi="Times New Roman"/>
              </w:rPr>
              <w:t>地埋式生活污水处理设施</w:t>
            </w:r>
            <w:r>
              <w:rPr>
                <w:rFonts w:ascii="Times New Roman" w:hAnsi="Times New Roman"/>
              </w:rPr>
              <w:t>处理后</w:t>
            </w:r>
            <w:r>
              <w:rPr>
                <w:rFonts w:hint="eastAsia" w:ascii="Times New Roman" w:hAnsi="Times New Roman"/>
              </w:rPr>
              <w:t>用于周边山林地灌溉</w:t>
            </w:r>
            <w:r>
              <w:rPr>
                <w:rFonts w:ascii="Times New Roman" w:hAnsi="Times New Roman"/>
              </w:rPr>
              <w:t>。</w:t>
            </w:r>
          </w:p>
          <w:p>
            <w:pPr>
              <w:pStyle w:val="3"/>
              <w:spacing w:after="0" w:line="440" w:lineRule="exact"/>
              <w:ind w:right="-120" w:firstLine="480" w:firstLineChars="200"/>
              <w:jc w:val="left"/>
              <w:rPr>
                <w:rFonts w:ascii="Times New Roman" w:hAnsi="Times New Roman"/>
              </w:rPr>
            </w:pPr>
            <w:r>
              <w:rPr>
                <w:rFonts w:ascii="Times New Roman" w:hAnsi="Times New Roman"/>
              </w:rPr>
              <w:t>因此，项目正常生产对周边水环境影响较小。</w:t>
            </w:r>
          </w:p>
          <w:p>
            <w:pPr>
              <w:pStyle w:val="8"/>
              <w:numPr>
                <w:ilvl w:val="0"/>
                <w:numId w:val="0"/>
              </w:numPr>
              <w:spacing w:line="440" w:lineRule="exact"/>
              <w:rPr>
                <w:rFonts w:ascii="Times New Roman" w:hAnsi="Times New Roman"/>
                <w:szCs w:val="24"/>
              </w:rPr>
            </w:pPr>
            <w:r>
              <w:rPr>
                <w:rFonts w:ascii="Times New Roman" w:hAnsi="Times New Roman"/>
                <w:szCs w:val="24"/>
              </w:rPr>
              <w:t>4.2.</w:t>
            </w:r>
            <w:r>
              <w:rPr>
                <w:rFonts w:hint="eastAsia" w:ascii="Times New Roman" w:hAnsi="Times New Roman"/>
                <w:szCs w:val="24"/>
              </w:rPr>
              <w:t>4</w:t>
            </w:r>
            <w:r>
              <w:rPr>
                <w:rFonts w:ascii="Times New Roman" w:hAnsi="Times New Roman"/>
                <w:szCs w:val="24"/>
              </w:rPr>
              <w:t>噪声</w:t>
            </w:r>
          </w:p>
          <w:p>
            <w:pPr>
              <w:adjustRightInd w:val="0"/>
              <w:snapToGrid w:val="0"/>
              <w:spacing w:line="440" w:lineRule="exact"/>
              <w:rPr>
                <w:rFonts w:ascii="Times New Roman" w:hAnsi="Times New Roman" w:eastAsia="黑体"/>
                <w:b/>
                <w:bCs/>
              </w:rPr>
            </w:pPr>
            <w:r>
              <w:rPr>
                <w:rFonts w:ascii="Times New Roman" w:hAnsi="Times New Roman" w:eastAsia="黑体"/>
                <w:b/>
                <w:bCs/>
              </w:rPr>
              <w:t>4.2.</w:t>
            </w:r>
            <w:r>
              <w:rPr>
                <w:rFonts w:hint="eastAsia" w:ascii="Times New Roman" w:hAnsi="Times New Roman" w:eastAsia="黑体"/>
                <w:b/>
                <w:bCs/>
              </w:rPr>
              <w:t>4</w:t>
            </w:r>
            <w:r>
              <w:rPr>
                <w:rFonts w:ascii="Times New Roman" w:hAnsi="Times New Roman" w:eastAsia="黑体"/>
                <w:b/>
                <w:bCs/>
              </w:rPr>
              <w:t>.1</w:t>
            </w:r>
            <w:r>
              <w:rPr>
                <w:rFonts w:hint="eastAsia" w:ascii="Times New Roman" w:hAnsi="Times New Roman" w:eastAsia="黑体"/>
                <w:b/>
                <w:bCs/>
              </w:rPr>
              <w:t>预测模型</w:t>
            </w:r>
          </w:p>
          <w:p>
            <w:pPr>
              <w:pStyle w:val="46"/>
              <w:rPr>
                <w:color w:val="auto"/>
                <w:shd w:val="clear" w:color="auto" w:fill="FFFFFF"/>
                <w:lang w:bidi="ar"/>
              </w:rPr>
            </w:pPr>
            <w:r>
              <w:rPr>
                <w:rFonts w:hint="eastAsia"/>
                <w:color w:val="auto"/>
                <w:shd w:val="clear" w:color="auto" w:fill="FFFFFF"/>
                <w:lang w:bidi="ar"/>
              </w:rPr>
              <w:t>本评价选取《环境影响评价技术导则</w:t>
            </w:r>
            <w:r>
              <w:rPr>
                <w:color w:val="auto"/>
                <w:shd w:val="clear" w:color="auto" w:fill="FFFFFF"/>
                <w:lang w:bidi="ar"/>
              </w:rPr>
              <w:t xml:space="preserve"> </w:t>
            </w:r>
            <w:r>
              <w:rPr>
                <w:rFonts w:hint="eastAsia"/>
                <w:color w:val="auto"/>
                <w:shd w:val="clear" w:color="auto" w:fill="FFFFFF"/>
                <w:lang w:bidi="ar"/>
              </w:rPr>
              <w:t>声环境》（</w:t>
            </w:r>
            <w:r>
              <w:rPr>
                <w:color w:val="auto"/>
                <w:shd w:val="clear" w:color="auto" w:fill="FFFFFF"/>
                <w:lang w:bidi="ar"/>
              </w:rPr>
              <w:t>HJ2.4-2021</w:t>
            </w:r>
            <w:r>
              <w:rPr>
                <w:rFonts w:hint="eastAsia"/>
                <w:color w:val="auto"/>
                <w:shd w:val="clear" w:color="auto" w:fill="FFFFFF"/>
                <w:lang w:bidi="ar"/>
              </w:rPr>
              <w:t>）推荐的典型行业噪声预测模型作为噪声预测模型，采用六五软件工作室开发的</w:t>
            </w:r>
            <w:r>
              <w:rPr>
                <w:color w:val="auto"/>
                <w:shd w:val="clear" w:color="auto" w:fill="FFFFFF"/>
                <w:lang w:bidi="ar"/>
              </w:rPr>
              <w:t>EIAProN2021</w:t>
            </w:r>
            <w:r>
              <w:rPr>
                <w:rFonts w:hint="eastAsia"/>
                <w:color w:val="auto"/>
                <w:shd w:val="clear" w:color="auto" w:fill="FFFFFF"/>
                <w:lang w:bidi="ar"/>
              </w:rPr>
              <w:t>版软件（版本号为</w:t>
            </w:r>
            <w:r>
              <w:rPr>
                <w:color w:val="auto"/>
                <w:shd w:val="clear" w:color="auto" w:fill="FFFFFF"/>
                <w:lang w:bidi="ar"/>
              </w:rPr>
              <w:t>V2.5.209</w:t>
            </w:r>
            <w:r>
              <w:rPr>
                <w:rFonts w:hint="eastAsia"/>
                <w:color w:val="auto"/>
                <w:shd w:val="clear" w:color="auto" w:fill="FFFFFF"/>
                <w:lang w:bidi="ar"/>
              </w:rPr>
              <w:t>）。</w:t>
            </w:r>
          </w:p>
          <w:p>
            <w:pPr>
              <w:adjustRightInd w:val="0"/>
              <w:snapToGrid w:val="0"/>
              <w:spacing w:line="440" w:lineRule="exact"/>
              <w:rPr>
                <w:rFonts w:ascii="Times New Roman" w:hAnsi="Times New Roman" w:eastAsia="黑体"/>
                <w:b/>
                <w:bCs/>
              </w:rPr>
            </w:pPr>
            <w:r>
              <w:rPr>
                <w:rFonts w:ascii="Times New Roman" w:hAnsi="Times New Roman" w:eastAsia="黑体"/>
                <w:b/>
                <w:bCs/>
              </w:rPr>
              <w:t>4.2.</w:t>
            </w:r>
            <w:r>
              <w:rPr>
                <w:rFonts w:hint="eastAsia" w:ascii="Times New Roman" w:hAnsi="Times New Roman" w:eastAsia="黑体"/>
                <w:b/>
                <w:bCs/>
              </w:rPr>
              <w:t>4</w:t>
            </w:r>
            <w:r>
              <w:rPr>
                <w:rFonts w:ascii="Times New Roman" w:hAnsi="Times New Roman" w:eastAsia="黑体"/>
                <w:b/>
                <w:bCs/>
              </w:rPr>
              <w:t>.</w:t>
            </w:r>
            <w:r>
              <w:rPr>
                <w:rFonts w:hint="eastAsia" w:ascii="Times New Roman" w:hAnsi="Times New Roman" w:eastAsia="黑体"/>
                <w:b/>
                <w:bCs/>
              </w:rPr>
              <w:t>2预测参数</w:t>
            </w:r>
          </w:p>
          <w:p>
            <w:pPr>
              <w:pStyle w:val="46"/>
              <w:numPr>
                <w:ilvl w:val="0"/>
                <w:numId w:val="15"/>
              </w:numPr>
              <w:rPr>
                <w:color w:val="auto"/>
              </w:rPr>
            </w:pPr>
            <w:r>
              <w:rPr>
                <w:rFonts w:hint="eastAsia"/>
                <w:color w:val="auto"/>
              </w:rPr>
              <w:t>噪声源强</w:t>
            </w:r>
          </w:p>
          <w:p>
            <w:pPr>
              <w:pStyle w:val="46"/>
              <w:rPr>
                <w:color w:val="auto"/>
              </w:rPr>
            </w:pPr>
            <w:r>
              <w:rPr>
                <w:rFonts w:hint="eastAsia"/>
                <w:color w:val="auto"/>
              </w:rPr>
              <w:t>本项目主要噪声源强汇总见下表</w:t>
            </w:r>
            <w:r>
              <w:rPr>
                <w:color w:val="auto"/>
              </w:rPr>
              <w:t>。</w:t>
            </w:r>
          </w:p>
          <w:p>
            <w:pPr>
              <w:pStyle w:val="46"/>
              <w:rPr>
                <w:color w:val="auto"/>
              </w:rPr>
            </w:pPr>
          </w:p>
          <w:p>
            <w:pPr>
              <w:pStyle w:val="34"/>
              <w:spacing w:before="120"/>
              <w:ind w:firstLine="422"/>
              <w:rPr>
                <w:rFonts w:ascii="Times New Roman" w:hAnsi="Times New Roman"/>
                <w:b/>
                <w:bCs/>
                <w:sz w:val="21"/>
                <w:szCs w:val="21"/>
              </w:rPr>
            </w:pPr>
          </w:p>
          <w:p>
            <w:pPr>
              <w:pStyle w:val="34"/>
              <w:spacing w:before="120"/>
              <w:ind w:firstLine="422"/>
              <w:rPr>
                <w:rFonts w:ascii="Times New Roman" w:hAnsi="Times New Roman"/>
                <w:b/>
                <w:bCs/>
                <w:sz w:val="21"/>
                <w:szCs w:val="21"/>
                <w:highlight w:val="yellow"/>
              </w:rPr>
            </w:pPr>
            <w:r>
              <w:rPr>
                <w:rFonts w:ascii="Times New Roman" w:hAnsi="Times New Roman"/>
                <w:b/>
                <w:bCs/>
                <w:sz w:val="21"/>
                <w:szCs w:val="21"/>
              </w:rPr>
              <w:t>表4.2-</w:t>
            </w:r>
            <w:r>
              <w:rPr>
                <w:rFonts w:hint="eastAsia" w:ascii="Times New Roman" w:hAnsi="Times New Roman"/>
                <w:b/>
                <w:bCs/>
                <w:sz w:val="21"/>
                <w:szCs w:val="21"/>
              </w:rPr>
              <w:t>5</w:t>
            </w:r>
            <w:r>
              <w:rPr>
                <w:rFonts w:ascii="Times New Roman" w:hAnsi="Times New Roman"/>
                <w:b/>
                <w:bCs/>
                <w:sz w:val="21"/>
                <w:szCs w:val="21"/>
              </w:rPr>
              <w:t xml:space="preserve"> </w:t>
            </w:r>
            <w:r>
              <w:rPr>
                <w:rFonts w:hint="eastAsia" w:ascii="Times New Roman" w:hAnsi="Times New Roman"/>
                <w:b/>
                <w:bCs/>
                <w:sz w:val="21"/>
                <w:szCs w:val="21"/>
              </w:rPr>
              <w:t>本项目噪声源强</w:t>
            </w:r>
          </w:p>
          <w:tbl>
            <w:tblPr>
              <w:tblStyle w:val="25"/>
              <w:tblW w:w="8734"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778"/>
              <w:gridCol w:w="1197"/>
              <w:gridCol w:w="1622"/>
              <w:gridCol w:w="1215"/>
              <w:gridCol w:w="1594"/>
              <w:gridCol w:w="1285"/>
              <w:gridCol w:w="1043"/>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778" w:type="dxa"/>
                  <w:vAlign w:val="center"/>
                </w:tcPr>
                <w:p>
                  <w:pPr>
                    <w:jc w:val="center"/>
                    <w:rPr>
                      <w:rFonts w:ascii="Times New Roman" w:hAnsi="Times New Roman"/>
                      <w:sz w:val="21"/>
                      <w:szCs w:val="21"/>
                    </w:rPr>
                  </w:pPr>
                  <w:r>
                    <w:rPr>
                      <w:rFonts w:ascii="Times New Roman" w:hAnsi="Times New Roman"/>
                      <w:sz w:val="21"/>
                      <w:szCs w:val="21"/>
                    </w:rPr>
                    <w:t>类型</w:t>
                  </w:r>
                </w:p>
              </w:tc>
              <w:tc>
                <w:tcPr>
                  <w:tcW w:w="1197" w:type="dxa"/>
                  <w:vAlign w:val="center"/>
                </w:tcPr>
                <w:p>
                  <w:pPr>
                    <w:jc w:val="center"/>
                    <w:rPr>
                      <w:rFonts w:ascii="Times New Roman" w:hAnsi="Times New Roman"/>
                      <w:sz w:val="21"/>
                      <w:szCs w:val="21"/>
                    </w:rPr>
                  </w:pPr>
                  <w:r>
                    <w:rPr>
                      <w:rFonts w:ascii="Times New Roman" w:hAnsi="Times New Roman"/>
                      <w:sz w:val="21"/>
                      <w:szCs w:val="21"/>
                    </w:rPr>
                    <w:t>车间/工段</w:t>
                  </w:r>
                </w:p>
              </w:tc>
              <w:tc>
                <w:tcPr>
                  <w:tcW w:w="1622" w:type="dxa"/>
                  <w:vAlign w:val="center"/>
                </w:tcPr>
                <w:p>
                  <w:pPr>
                    <w:jc w:val="center"/>
                    <w:rPr>
                      <w:rFonts w:ascii="Times New Roman" w:hAnsi="Times New Roman"/>
                      <w:sz w:val="21"/>
                      <w:szCs w:val="21"/>
                    </w:rPr>
                  </w:pPr>
                  <w:r>
                    <w:rPr>
                      <w:rFonts w:ascii="Times New Roman" w:hAnsi="Times New Roman"/>
                      <w:sz w:val="21"/>
                      <w:szCs w:val="21"/>
                    </w:rPr>
                    <w:t>噪声源</w:t>
                  </w:r>
                </w:p>
                <w:p>
                  <w:pPr>
                    <w:jc w:val="center"/>
                    <w:rPr>
                      <w:rFonts w:ascii="Times New Roman" w:hAnsi="Times New Roman"/>
                      <w:sz w:val="21"/>
                      <w:szCs w:val="21"/>
                    </w:rPr>
                  </w:pPr>
                  <w:r>
                    <w:rPr>
                      <w:rFonts w:ascii="Times New Roman" w:hAnsi="Times New Roman"/>
                      <w:sz w:val="21"/>
                      <w:szCs w:val="21"/>
                    </w:rPr>
                    <w:t>名称</w:t>
                  </w:r>
                </w:p>
              </w:tc>
              <w:tc>
                <w:tcPr>
                  <w:tcW w:w="1215" w:type="dxa"/>
                  <w:vAlign w:val="center"/>
                </w:tcPr>
                <w:p>
                  <w:pPr>
                    <w:jc w:val="center"/>
                    <w:rPr>
                      <w:rFonts w:ascii="Times New Roman" w:hAnsi="Times New Roman"/>
                      <w:sz w:val="21"/>
                      <w:szCs w:val="21"/>
                    </w:rPr>
                  </w:pPr>
                  <w:r>
                    <w:rPr>
                      <w:rFonts w:ascii="Times New Roman" w:hAnsi="Times New Roman"/>
                      <w:sz w:val="21"/>
                      <w:szCs w:val="21"/>
                    </w:rPr>
                    <w:t>A声压级dB(A)</w:t>
                  </w:r>
                </w:p>
              </w:tc>
              <w:tc>
                <w:tcPr>
                  <w:tcW w:w="1594" w:type="dxa"/>
                  <w:vAlign w:val="center"/>
                </w:tcPr>
                <w:p>
                  <w:pPr>
                    <w:jc w:val="center"/>
                    <w:rPr>
                      <w:rFonts w:ascii="Times New Roman" w:hAnsi="Times New Roman"/>
                      <w:sz w:val="21"/>
                      <w:szCs w:val="21"/>
                    </w:rPr>
                  </w:pPr>
                  <w:r>
                    <w:rPr>
                      <w:rFonts w:ascii="Times New Roman" w:hAnsi="Times New Roman"/>
                      <w:sz w:val="21"/>
                      <w:szCs w:val="21"/>
                    </w:rPr>
                    <w:t>降噪措施及效果dB(A)</w:t>
                  </w:r>
                </w:p>
              </w:tc>
              <w:tc>
                <w:tcPr>
                  <w:tcW w:w="1285" w:type="dxa"/>
                  <w:vAlign w:val="center"/>
                </w:tcPr>
                <w:p>
                  <w:pPr>
                    <w:jc w:val="center"/>
                    <w:rPr>
                      <w:rFonts w:ascii="Times New Roman" w:hAnsi="Times New Roman"/>
                      <w:sz w:val="21"/>
                      <w:szCs w:val="21"/>
                    </w:rPr>
                  </w:pPr>
                  <w:r>
                    <w:rPr>
                      <w:rFonts w:ascii="Times New Roman" w:hAnsi="Times New Roman"/>
                      <w:sz w:val="21"/>
                      <w:szCs w:val="21"/>
                    </w:rPr>
                    <w:t>数量</w:t>
                  </w:r>
                </w:p>
                <w:p>
                  <w:pPr>
                    <w:jc w:val="center"/>
                    <w:rPr>
                      <w:rFonts w:ascii="Times New Roman" w:hAnsi="Times New Roman"/>
                      <w:sz w:val="21"/>
                      <w:szCs w:val="21"/>
                    </w:rPr>
                  </w:pPr>
                  <w:r>
                    <w:rPr>
                      <w:rFonts w:ascii="Times New Roman" w:hAnsi="Times New Roman"/>
                      <w:sz w:val="21"/>
                      <w:szCs w:val="21"/>
                    </w:rPr>
                    <w:t>(台/条)</w:t>
                  </w:r>
                </w:p>
              </w:tc>
              <w:tc>
                <w:tcPr>
                  <w:tcW w:w="1043" w:type="dxa"/>
                  <w:vAlign w:val="center"/>
                </w:tcPr>
                <w:p>
                  <w:pPr>
                    <w:jc w:val="center"/>
                    <w:rPr>
                      <w:rFonts w:ascii="Times New Roman" w:hAnsi="Times New Roman"/>
                      <w:sz w:val="21"/>
                      <w:szCs w:val="21"/>
                    </w:rPr>
                  </w:pPr>
                  <w:r>
                    <w:rPr>
                      <w:rFonts w:hint="eastAsia" w:ascii="Times New Roman" w:hAnsi="Times New Roman"/>
                      <w:sz w:val="21"/>
                      <w:szCs w:val="21"/>
                    </w:rPr>
                    <w:t>运行时段</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778" w:type="dxa"/>
                  <w:vMerge w:val="restart"/>
                  <w:vAlign w:val="center"/>
                </w:tcPr>
                <w:p>
                  <w:pPr>
                    <w:jc w:val="center"/>
                    <w:rPr>
                      <w:rFonts w:ascii="Times New Roman" w:hAnsi="Times New Roman"/>
                      <w:sz w:val="21"/>
                      <w:szCs w:val="21"/>
                    </w:rPr>
                  </w:pPr>
                  <w:r>
                    <w:rPr>
                      <w:rFonts w:hint="eastAsia" w:ascii="Times New Roman" w:hAnsi="Times New Roman"/>
                      <w:sz w:val="21"/>
                      <w:szCs w:val="21"/>
                    </w:rPr>
                    <w:t>室内声源</w:t>
                  </w:r>
                </w:p>
              </w:tc>
              <w:tc>
                <w:tcPr>
                  <w:tcW w:w="1197" w:type="dxa"/>
                  <w:vAlign w:val="center"/>
                </w:tcPr>
                <w:p>
                  <w:pPr>
                    <w:jc w:val="center"/>
                    <w:rPr>
                      <w:rFonts w:ascii="Times New Roman" w:hAnsi="Times New Roman"/>
                      <w:sz w:val="21"/>
                      <w:szCs w:val="21"/>
                    </w:rPr>
                  </w:pPr>
                  <w:r>
                    <w:rPr>
                      <w:rFonts w:hint="eastAsia" w:ascii="Times New Roman" w:hAnsi="Times New Roman"/>
                      <w:sz w:val="21"/>
                      <w:szCs w:val="21"/>
                    </w:rPr>
                    <w:t>给料</w:t>
                  </w:r>
                </w:p>
              </w:tc>
              <w:tc>
                <w:tcPr>
                  <w:tcW w:w="1622" w:type="dxa"/>
                  <w:vAlign w:val="center"/>
                </w:tcPr>
                <w:p>
                  <w:pPr>
                    <w:widowControl/>
                    <w:jc w:val="center"/>
                    <w:textAlignment w:val="center"/>
                    <w:rPr>
                      <w:rFonts w:ascii="Times New Roman" w:hAnsi="Times New Roman"/>
                      <w:sz w:val="21"/>
                      <w:szCs w:val="21"/>
                    </w:rPr>
                  </w:pPr>
                  <w:r>
                    <w:rPr>
                      <w:rFonts w:hint="eastAsia" w:ascii="Times New Roman" w:hAnsi="Times New Roman"/>
                      <w:kern w:val="0"/>
                      <w:sz w:val="21"/>
                      <w:szCs w:val="21"/>
                    </w:rPr>
                    <w:t>喂料机</w:t>
                  </w:r>
                </w:p>
              </w:tc>
              <w:tc>
                <w:tcPr>
                  <w:tcW w:w="1215" w:type="dxa"/>
                  <w:vAlign w:val="center"/>
                </w:tcPr>
                <w:p>
                  <w:pPr>
                    <w:jc w:val="center"/>
                    <w:rPr>
                      <w:rFonts w:ascii="Times New Roman" w:hAnsi="Times New Roman"/>
                      <w:sz w:val="21"/>
                      <w:szCs w:val="21"/>
                    </w:rPr>
                  </w:pPr>
                  <w:r>
                    <w:rPr>
                      <w:rFonts w:hint="eastAsia" w:ascii="Times New Roman" w:hAnsi="Times New Roman"/>
                      <w:sz w:val="21"/>
                      <w:szCs w:val="21"/>
                    </w:rPr>
                    <w:t>70-80</w:t>
                  </w:r>
                </w:p>
              </w:tc>
              <w:tc>
                <w:tcPr>
                  <w:tcW w:w="1594" w:type="dxa"/>
                  <w:vMerge w:val="restart"/>
                  <w:vAlign w:val="center"/>
                </w:tcPr>
                <w:p>
                  <w:pPr>
                    <w:jc w:val="center"/>
                    <w:rPr>
                      <w:rFonts w:ascii="Times New Roman" w:hAnsi="Times New Roman"/>
                      <w:sz w:val="21"/>
                      <w:szCs w:val="21"/>
                    </w:rPr>
                  </w:pPr>
                  <w:r>
                    <w:rPr>
                      <w:rFonts w:hint="eastAsia" w:ascii="Times New Roman" w:hAnsi="Times New Roman"/>
                      <w:sz w:val="21"/>
                      <w:szCs w:val="21"/>
                    </w:rPr>
                    <w:t>半</w:t>
                  </w:r>
                  <w:r>
                    <w:rPr>
                      <w:rFonts w:ascii="Times New Roman" w:hAnsi="Times New Roman"/>
                      <w:sz w:val="21"/>
                      <w:szCs w:val="21"/>
                    </w:rPr>
                    <w:t>封闭厂房，</w:t>
                  </w:r>
                  <w:r>
                    <w:rPr>
                      <w:rFonts w:hint="eastAsia" w:ascii="Times New Roman" w:hAnsi="Times New Roman"/>
                      <w:sz w:val="21"/>
                      <w:szCs w:val="21"/>
                    </w:rPr>
                    <w:t>设置减震垫，</w:t>
                  </w:r>
                  <w:r>
                    <w:rPr>
                      <w:rFonts w:ascii="Times New Roman" w:hAnsi="Times New Roman"/>
                      <w:sz w:val="21"/>
                      <w:szCs w:val="21"/>
                    </w:rPr>
                    <w:t>降噪</w:t>
                  </w:r>
                  <w:r>
                    <w:rPr>
                      <w:rFonts w:hint="eastAsia" w:ascii="Times New Roman" w:hAnsi="Times New Roman"/>
                      <w:sz w:val="21"/>
                      <w:szCs w:val="21"/>
                    </w:rPr>
                    <w:t>20</w:t>
                  </w:r>
                  <w:r>
                    <w:rPr>
                      <w:rFonts w:ascii="Times New Roman" w:hAnsi="Times New Roman"/>
                      <w:sz w:val="21"/>
                      <w:szCs w:val="21"/>
                    </w:rPr>
                    <w:t>dB（A）</w:t>
                  </w:r>
                </w:p>
              </w:tc>
              <w:tc>
                <w:tcPr>
                  <w:tcW w:w="1285" w:type="dxa"/>
                  <w:vAlign w:val="center"/>
                </w:tcPr>
                <w:p>
                  <w:pPr>
                    <w:widowControl/>
                    <w:jc w:val="center"/>
                    <w:textAlignment w:val="center"/>
                    <w:rPr>
                      <w:rFonts w:ascii="Times New Roman" w:hAnsi="Times New Roman"/>
                      <w:sz w:val="21"/>
                      <w:szCs w:val="21"/>
                    </w:rPr>
                  </w:pPr>
                  <w:r>
                    <w:rPr>
                      <w:rFonts w:hint="eastAsia" w:ascii="Times New Roman" w:hAnsi="Times New Roman"/>
                      <w:kern w:val="0"/>
                      <w:sz w:val="21"/>
                      <w:szCs w:val="21"/>
                    </w:rPr>
                    <w:t>1</w:t>
                  </w:r>
                </w:p>
              </w:tc>
              <w:tc>
                <w:tcPr>
                  <w:tcW w:w="1043" w:type="dxa"/>
                  <w:vMerge w:val="restart"/>
                  <w:vAlign w:val="center"/>
                </w:tcPr>
                <w:p>
                  <w:pPr>
                    <w:jc w:val="center"/>
                    <w:rPr>
                      <w:rFonts w:ascii="Times New Roman" w:hAnsi="Times New Roman"/>
                      <w:sz w:val="21"/>
                      <w:szCs w:val="21"/>
                    </w:rPr>
                  </w:pPr>
                  <w:r>
                    <w:rPr>
                      <w:rFonts w:hint="eastAsia" w:ascii="Times New Roman" w:hAnsi="Times New Roman"/>
                      <w:sz w:val="21"/>
                      <w:szCs w:val="21"/>
                    </w:rPr>
                    <w:t>8:00-18:00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778" w:type="dxa"/>
                  <w:vMerge w:val="continue"/>
                  <w:vAlign w:val="center"/>
                </w:tcPr>
                <w:p>
                  <w:pPr>
                    <w:rPr>
                      <w:rFonts w:ascii="Times New Roman" w:hAnsi="Times New Roman"/>
                      <w:sz w:val="21"/>
                      <w:szCs w:val="21"/>
                    </w:rPr>
                  </w:pPr>
                </w:p>
              </w:tc>
              <w:tc>
                <w:tcPr>
                  <w:tcW w:w="1197" w:type="dxa"/>
                  <w:vAlign w:val="center"/>
                </w:tcPr>
                <w:p>
                  <w:pPr>
                    <w:jc w:val="center"/>
                    <w:rPr>
                      <w:rFonts w:ascii="Times New Roman" w:hAnsi="Times New Roman"/>
                      <w:sz w:val="21"/>
                      <w:szCs w:val="21"/>
                    </w:rPr>
                  </w:pPr>
                  <w:r>
                    <w:rPr>
                      <w:rFonts w:hint="eastAsia" w:ascii="Times New Roman" w:hAnsi="Times New Roman"/>
                      <w:sz w:val="21"/>
                      <w:szCs w:val="21"/>
                    </w:rPr>
                    <w:t>破碎</w:t>
                  </w:r>
                </w:p>
              </w:tc>
              <w:tc>
                <w:tcPr>
                  <w:tcW w:w="1622" w:type="dxa"/>
                  <w:vAlign w:val="center"/>
                </w:tcPr>
                <w:p>
                  <w:pPr>
                    <w:widowControl/>
                    <w:jc w:val="center"/>
                    <w:textAlignment w:val="center"/>
                    <w:rPr>
                      <w:rFonts w:ascii="Times New Roman" w:hAnsi="Times New Roman"/>
                      <w:sz w:val="21"/>
                      <w:szCs w:val="21"/>
                    </w:rPr>
                  </w:pPr>
                  <w:r>
                    <w:rPr>
                      <w:rFonts w:hint="eastAsia" w:ascii="Times New Roman" w:hAnsi="Times New Roman"/>
                      <w:kern w:val="0"/>
                      <w:sz w:val="21"/>
                      <w:szCs w:val="21"/>
                    </w:rPr>
                    <w:t>破碎机</w:t>
                  </w:r>
                </w:p>
              </w:tc>
              <w:tc>
                <w:tcPr>
                  <w:tcW w:w="1215" w:type="dxa"/>
                  <w:vAlign w:val="center"/>
                </w:tcPr>
                <w:p>
                  <w:pPr>
                    <w:jc w:val="center"/>
                    <w:rPr>
                      <w:rFonts w:ascii="Times New Roman" w:hAnsi="Times New Roman"/>
                      <w:sz w:val="21"/>
                      <w:szCs w:val="21"/>
                    </w:rPr>
                  </w:pPr>
                  <w:r>
                    <w:rPr>
                      <w:rFonts w:hint="eastAsia" w:ascii="Times New Roman" w:hAnsi="Times New Roman"/>
                      <w:sz w:val="21"/>
                      <w:szCs w:val="21"/>
                    </w:rPr>
                    <w:t>90-100</w:t>
                  </w:r>
                </w:p>
              </w:tc>
              <w:tc>
                <w:tcPr>
                  <w:tcW w:w="1594" w:type="dxa"/>
                  <w:vMerge w:val="continue"/>
                  <w:vAlign w:val="center"/>
                </w:tcPr>
                <w:p>
                  <w:pPr>
                    <w:jc w:val="center"/>
                    <w:rPr>
                      <w:rFonts w:ascii="Times New Roman" w:hAnsi="Times New Roman"/>
                      <w:sz w:val="21"/>
                      <w:szCs w:val="21"/>
                    </w:rPr>
                  </w:pPr>
                </w:p>
              </w:tc>
              <w:tc>
                <w:tcPr>
                  <w:tcW w:w="1285" w:type="dxa"/>
                  <w:vAlign w:val="center"/>
                </w:tcPr>
                <w:p>
                  <w:pPr>
                    <w:widowControl/>
                    <w:jc w:val="center"/>
                    <w:textAlignment w:val="center"/>
                    <w:rPr>
                      <w:rFonts w:ascii="Times New Roman" w:hAnsi="Times New Roman"/>
                      <w:sz w:val="21"/>
                      <w:szCs w:val="21"/>
                    </w:rPr>
                  </w:pPr>
                  <w:r>
                    <w:rPr>
                      <w:rFonts w:hint="eastAsia" w:ascii="Times New Roman" w:hAnsi="Times New Roman"/>
                      <w:kern w:val="0"/>
                      <w:sz w:val="21"/>
                      <w:szCs w:val="21"/>
                    </w:rPr>
                    <w:t>2</w:t>
                  </w:r>
                </w:p>
              </w:tc>
              <w:tc>
                <w:tcPr>
                  <w:tcW w:w="1043" w:type="dxa"/>
                  <w:vMerge w:val="continue"/>
                  <w:vAlign w:val="center"/>
                </w:tcPr>
                <w:p>
                  <w:pPr>
                    <w:jc w:val="center"/>
                    <w:rPr>
                      <w:rFonts w:ascii="Times New Roman" w:hAnsi="Times New Roman"/>
                      <w:sz w:val="18"/>
                      <w:szCs w:val="1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778" w:type="dxa"/>
                  <w:vMerge w:val="continue"/>
                  <w:vAlign w:val="center"/>
                </w:tcPr>
                <w:p>
                  <w:pPr>
                    <w:rPr>
                      <w:rFonts w:ascii="Times New Roman" w:hAnsi="Times New Roman"/>
                      <w:sz w:val="21"/>
                      <w:szCs w:val="21"/>
                    </w:rPr>
                  </w:pPr>
                </w:p>
              </w:tc>
              <w:tc>
                <w:tcPr>
                  <w:tcW w:w="1197" w:type="dxa"/>
                  <w:vAlign w:val="center"/>
                </w:tcPr>
                <w:p>
                  <w:pPr>
                    <w:jc w:val="center"/>
                    <w:rPr>
                      <w:rFonts w:ascii="Times New Roman" w:hAnsi="Times New Roman"/>
                      <w:sz w:val="21"/>
                      <w:szCs w:val="21"/>
                    </w:rPr>
                  </w:pPr>
                  <w:r>
                    <w:rPr>
                      <w:rFonts w:hint="eastAsia" w:ascii="Times New Roman" w:hAnsi="Times New Roman"/>
                      <w:sz w:val="21"/>
                      <w:szCs w:val="21"/>
                    </w:rPr>
                    <w:t>筛分</w:t>
                  </w:r>
                </w:p>
              </w:tc>
              <w:tc>
                <w:tcPr>
                  <w:tcW w:w="1622" w:type="dxa"/>
                  <w:vAlign w:val="center"/>
                </w:tcPr>
                <w:p>
                  <w:pPr>
                    <w:jc w:val="center"/>
                    <w:rPr>
                      <w:rFonts w:ascii="Times New Roman" w:hAnsi="Times New Roman"/>
                      <w:sz w:val="21"/>
                      <w:szCs w:val="21"/>
                    </w:rPr>
                  </w:pPr>
                  <w:r>
                    <w:rPr>
                      <w:rFonts w:hint="eastAsia" w:ascii="Times New Roman" w:hAnsi="Times New Roman"/>
                      <w:kern w:val="0"/>
                      <w:sz w:val="21"/>
                      <w:szCs w:val="21"/>
                    </w:rPr>
                    <w:t>振动筛</w:t>
                  </w:r>
                </w:p>
              </w:tc>
              <w:tc>
                <w:tcPr>
                  <w:tcW w:w="1215" w:type="dxa"/>
                  <w:vAlign w:val="center"/>
                </w:tcPr>
                <w:p>
                  <w:pPr>
                    <w:jc w:val="center"/>
                    <w:rPr>
                      <w:rFonts w:ascii="Times New Roman" w:hAnsi="Times New Roman"/>
                      <w:sz w:val="21"/>
                      <w:szCs w:val="21"/>
                    </w:rPr>
                  </w:pPr>
                  <w:r>
                    <w:rPr>
                      <w:rFonts w:hint="eastAsia" w:ascii="Times New Roman" w:hAnsi="Times New Roman"/>
                      <w:sz w:val="21"/>
                      <w:szCs w:val="21"/>
                    </w:rPr>
                    <w:t>80-90</w:t>
                  </w:r>
                </w:p>
              </w:tc>
              <w:tc>
                <w:tcPr>
                  <w:tcW w:w="1594" w:type="dxa"/>
                  <w:vMerge w:val="continue"/>
                  <w:vAlign w:val="center"/>
                </w:tcPr>
                <w:p>
                  <w:pPr>
                    <w:jc w:val="center"/>
                    <w:rPr>
                      <w:rFonts w:ascii="Times New Roman" w:hAnsi="Times New Roman"/>
                      <w:sz w:val="21"/>
                      <w:szCs w:val="21"/>
                    </w:rPr>
                  </w:pPr>
                </w:p>
              </w:tc>
              <w:tc>
                <w:tcPr>
                  <w:tcW w:w="1285" w:type="dxa"/>
                  <w:vAlign w:val="center"/>
                </w:tcPr>
                <w:p>
                  <w:pPr>
                    <w:widowControl/>
                    <w:jc w:val="center"/>
                    <w:textAlignment w:val="center"/>
                    <w:rPr>
                      <w:rFonts w:ascii="Times New Roman" w:hAnsi="Times New Roman"/>
                      <w:sz w:val="21"/>
                      <w:szCs w:val="21"/>
                    </w:rPr>
                  </w:pPr>
                  <w:r>
                    <w:rPr>
                      <w:rFonts w:hint="eastAsia" w:ascii="Times New Roman" w:hAnsi="Times New Roman"/>
                      <w:kern w:val="0"/>
                      <w:sz w:val="21"/>
                      <w:szCs w:val="21"/>
                    </w:rPr>
                    <w:t>1</w:t>
                  </w:r>
                </w:p>
              </w:tc>
              <w:tc>
                <w:tcPr>
                  <w:tcW w:w="1043" w:type="dxa"/>
                  <w:vMerge w:val="continue"/>
                  <w:vAlign w:val="center"/>
                </w:tcPr>
                <w:p>
                  <w:pPr>
                    <w:jc w:val="center"/>
                    <w:rPr>
                      <w:rFonts w:ascii="Times New Roman" w:hAnsi="Times New Roman"/>
                      <w:sz w:val="18"/>
                      <w:szCs w:val="1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778" w:type="dxa"/>
                  <w:vMerge w:val="continue"/>
                  <w:vAlign w:val="center"/>
                </w:tcPr>
                <w:p>
                  <w:pPr>
                    <w:rPr>
                      <w:rFonts w:ascii="Times New Roman" w:hAnsi="Times New Roman"/>
                      <w:sz w:val="21"/>
                      <w:szCs w:val="21"/>
                    </w:rPr>
                  </w:pPr>
                </w:p>
              </w:tc>
              <w:tc>
                <w:tcPr>
                  <w:tcW w:w="1197" w:type="dxa"/>
                  <w:vAlign w:val="center"/>
                </w:tcPr>
                <w:p>
                  <w:pPr>
                    <w:jc w:val="center"/>
                    <w:rPr>
                      <w:rFonts w:ascii="Times New Roman" w:hAnsi="Times New Roman"/>
                      <w:sz w:val="21"/>
                      <w:szCs w:val="21"/>
                    </w:rPr>
                  </w:pPr>
                  <w:r>
                    <w:rPr>
                      <w:rFonts w:hint="eastAsia" w:ascii="Times New Roman" w:hAnsi="Times New Roman"/>
                      <w:sz w:val="21"/>
                      <w:szCs w:val="21"/>
                    </w:rPr>
                    <w:t>干选</w:t>
                  </w:r>
                </w:p>
              </w:tc>
              <w:tc>
                <w:tcPr>
                  <w:tcW w:w="1622" w:type="dxa"/>
                  <w:vAlign w:val="center"/>
                </w:tcPr>
                <w:p>
                  <w:pPr>
                    <w:jc w:val="center"/>
                    <w:rPr>
                      <w:rFonts w:ascii="Times New Roman" w:hAnsi="Times New Roman"/>
                      <w:sz w:val="21"/>
                      <w:szCs w:val="21"/>
                    </w:rPr>
                  </w:pPr>
                  <w:r>
                    <w:rPr>
                      <w:rFonts w:hint="eastAsia" w:ascii="Times New Roman" w:hAnsi="Times New Roman"/>
                      <w:kern w:val="0"/>
                      <w:sz w:val="21"/>
                      <w:szCs w:val="21"/>
                    </w:rPr>
                    <w:t>干式磁选机</w:t>
                  </w:r>
                </w:p>
              </w:tc>
              <w:tc>
                <w:tcPr>
                  <w:tcW w:w="1215" w:type="dxa"/>
                  <w:vAlign w:val="center"/>
                </w:tcPr>
                <w:p>
                  <w:pPr>
                    <w:jc w:val="center"/>
                    <w:rPr>
                      <w:rFonts w:ascii="Times New Roman" w:hAnsi="Times New Roman"/>
                      <w:sz w:val="21"/>
                      <w:szCs w:val="21"/>
                    </w:rPr>
                  </w:pPr>
                  <w:r>
                    <w:rPr>
                      <w:rFonts w:ascii="Times New Roman" w:hAnsi="Times New Roman"/>
                      <w:sz w:val="21"/>
                      <w:szCs w:val="21"/>
                    </w:rPr>
                    <w:t>80-90</w:t>
                  </w:r>
                </w:p>
              </w:tc>
              <w:tc>
                <w:tcPr>
                  <w:tcW w:w="1594" w:type="dxa"/>
                  <w:vMerge w:val="continue"/>
                  <w:vAlign w:val="center"/>
                </w:tcPr>
                <w:p>
                  <w:pPr>
                    <w:jc w:val="center"/>
                    <w:rPr>
                      <w:rFonts w:ascii="Times New Roman" w:hAnsi="Times New Roman"/>
                      <w:sz w:val="21"/>
                      <w:szCs w:val="21"/>
                    </w:rPr>
                  </w:pPr>
                </w:p>
              </w:tc>
              <w:tc>
                <w:tcPr>
                  <w:tcW w:w="1285" w:type="dxa"/>
                  <w:vAlign w:val="center"/>
                </w:tcPr>
                <w:p>
                  <w:pPr>
                    <w:widowControl/>
                    <w:jc w:val="center"/>
                    <w:textAlignment w:val="center"/>
                    <w:rPr>
                      <w:rFonts w:ascii="Times New Roman" w:hAnsi="Times New Roman"/>
                      <w:sz w:val="21"/>
                      <w:szCs w:val="21"/>
                    </w:rPr>
                  </w:pPr>
                  <w:r>
                    <w:rPr>
                      <w:rFonts w:hint="eastAsia" w:ascii="Times New Roman" w:hAnsi="Times New Roman"/>
                      <w:kern w:val="0"/>
                      <w:sz w:val="21"/>
                      <w:szCs w:val="21"/>
                    </w:rPr>
                    <w:t>1</w:t>
                  </w:r>
                </w:p>
              </w:tc>
              <w:tc>
                <w:tcPr>
                  <w:tcW w:w="1043" w:type="dxa"/>
                  <w:vMerge w:val="continue"/>
                  <w:vAlign w:val="center"/>
                </w:tcPr>
                <w:p>
                  <w:pPr>
                    <w:jc w:val="center"/>
                    <w:rPr>
                      <w:rFonts w:ascii="Times New Roman" w:hAnsi="Times New Roman"/>
                      <w:sz w:val="18"/>
                      <w:szCs w:val="1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778" w:type="dxa"/>
                  <w:vMerge w:val="continue"/>
                  <w:vAlign w:val="center"/>
                </w:tcPr>
                <w:p>
                  <w:pPr>
                    <w:rPr>
                      <w:rFonts w:ascii="Times New Roman" w:hAnsi="Times New Roman"/>
                      <w:sz w:val="21"/>
                      <w:szCs w:val="21"/>
                    </w:rPr>
                  </w:pPr>
                </w:p>
              </w:tc>
              <w:tc>
                <w:tcPr>
                  <w:tcW w:w="1197" w:type="dxa"/>
                  <w:vAlign w:val="center"/>
                </w:tcPr>
                <w:p>
                  <w:pPr>
                    <w:jc w:val="center"/>
                    <w:rPr>
                      <w:rFonts w:ascii="Times New Roman" w:hAnsi="Times New Roman"/>
                      <w:sz w:val="21"/>
                      <w:szCs w:val="21"/>
                    </w:rPr>
                  </w:pPr>
                  <w:r>
                    <w:rPr>
                      <w:rFonts w:hint="eastAsia" w:ascii="Times New Roman" w:hAnsi="Times New Roman"/>
                      <w:sz w:val="21"/>
                      <w:szCs w:val="21"/>
                    </w:rPr>
                    <w:t>给料</w:t>
                  </w:r>
                </w:p>
              </w:tc>
              <w:tc>
                <w:tcPr>
                  <w:tcW w:w="1622" w:type="dxa"/>
                  <w:vAlign w:val="center"/>
                </w:tcPr>
                <w:p>
                  <w:pPr>
                    <w:jc w:val="center"/>
                    <w:rPr>
                      <w:rFonts w:ascii="Times New Roman" w:hAnsi="Times New Roman"/>
                      <w:sz w:val="21"/>
                      <w:szCs w:val="21"/>
                    </w:rPr>
                  </w:pPr>
                  <w:r>
                    <w:rPr>
                      <w:rFonts w:hint="eastAsia" w:ascii="Times New Roman" w:hAnsi="Times New Roman"/>
                      <w:kern w:val="0"/>
                      <w:sz w:val="21"/>
                      <w:szCs w:val="21"/>
                    </w:rPr>
                    <w:t>圆盘给料机</w:t>
                  </w:r>
                </w:p>
              </w:tc>
              <w:tc>
                <w:tcPr>
                  <w:tcW w:w="1215" w:type="dxa"/>
                  <w:vAlign w:val="center"/>
                </w:tcPr>
                <w:p>
                  <w:pPr>
                    <w:jc w:val="center"/>
                    <w:rPr>
                      <w:rFonts w:ascii="Times New Roman" w:hAnsi="Times New Roman"/>
                      <w:sz w:val="21"/>
                      <w:szCs w:val="21"/>
                    </w:rPr>
                  </w:pPr>
                  <w:r>
                    <w:rPr>
                      <w:rFonts w:hint="eastAsia" w:ascii="Times New Roman" w:hAnsi="Times New Roman"/>
                      <w:sz w:val="21"/>
                      <w:szCs w:val="21"/>
                    </w:rPr>
                    <w:t>70-80</w:t>
                  </w:r>
                </w:p>
              </w:tc>
              <w:tc>
                <w:tcPr>
                  <w:tcW w:w="1594" w:type="dxa"/>
                  <w:vMerge w:val="continue"/>
                  <w:vAlign w:val="center"/>
                </w:tcPr>
                <w:p>
                  <w:pPr>
                    <w:jc w:val="center"/>
                    <w:rPr>
                      <w:rFonts w:ascii="Times New Roman" w:hAnsi="Times New Roman"/>
                      <w:sz w:val="21"/>
                      <w:szCs w:val="21"/>
                    </w:rPr>
                  </w:pPr>
                </w:p>
              </w:tc>
              <w:tc>
                <w:tcPr>
                  <w:tcW w:w="1285" w:type="dxa"/>
                  <w:vAlign w:val="center"/>
                </w:tcPr>
                <w:p>
                  <w:pPr>
                    <w:widowControl/>
                    <w:jc w:val="center"/>
                    <w:textAlignment w:val="center"/>
                    <w:rPr>
                      <w:rFonts w:ascii="Times New Roman" w:hAnsi="Times New Roman"/>
                      <w:sz w:val="21"/>
                      <w:szCs w:val="21"/>
                    </w:rPr>
                  </w:pPr>
                  <w:r>
                    <w:rPr>
                      <w:rFonts w:hint="eastAsia" w:ascii="Times New Roman" w:hAnsi="Times New Roman"/>
                      <w:kern w:val="0"/>
                      <w:sz w:val="21"/>
                      <w:szCs w:val="21"/>
                    </w:rPr>
                    <w:t>1</w:t>
                  </w:r>
                </w:p>
              </w:tc>
              <w:tc>
                <w:tcPr>
                  <w:tcW w:w="1043" w:type="dxa"/>
                  <w:vMerge w:val="continue"/>
                  <w:vAlign w:val="center"/>
                </w:tcPr>
                <w:p>
                  <w:pPr>
                    <w:jc w:val="center"/>
                    <w:rPr>
                      <w:rFonts w:ascii="Times New Roman" w:hAnsi="Times New Roman"/>
                      <w:sz w:val="18"/>
                      <w:szCs w:val="1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778" w:type="dxa"/>
                  <w:vMerge w:val="continue"/>
                  <w:vAlign w:val="center"/>
                </w:tcPr>
                <w:p>
                  <w:pPr>
                    <w:rPr>
                      <w:rFonts w:ascii="Times New Roman" w:hAnsi="Times New Roman"/>
                      <w:sz w:val="21"/>
                      <w:szCs w:val="21"/>
                    </w:rPr>
                  </w:pPr>
                </w:p>
              </w:tc>
              <w:tc>
                <w:tcPr>
                  <w:tcW w:w="1197" w:type="dxa"/>
                  <w:vAlign w:val="center"/>
                </w:tcPr>
                <w:p>
                  <w:pPr>
                    <w:jc w:val="center"/>
                    <w:rPr>
                      <w:rFonts w:ascii="Times New Roman" w:hAnsi="Times New Roman"/>
                      <w:sz w:val="21"/>
                      <w:szCs w:val="21"/>
                    </w:rPr>
                  </w:pPr>
                  <w:r>
                    <w:rPr>
                      <w:rFonts w:hint="eastAsia" w:ascii="Times New Roman" w:hAnsi="Times New Roman"/>
                      <w:sz w:val="21"/>
                      <w:szCs w:val="21"/>
                    </w:rPr>
                    <w:t>球磨</w:t>
                  </w:r>
                </w:p>
              </w:tc>
              <w:tc>
                <w:tcPr>
                  <w:tcW w:w="1622" w:type="dxa"/>
                  <w:vAlign w:val="center"/>
                </w:tcPr>
                <w:p>
                  <w:pPr>
                    <w:jc w:val="center"/>
                    <w:rPr>
                      <w:rFonts w:ascii="Times New Roman" w:hAnsi="Times New Roman"/>
                      <w:sz w:val="21"/>
                      <w:szCs w:val="21"/>
                    </w:rPr>
                  </w:pPr>
                  <w:r>
                    <w:rPr>
                      <w:rFonts w:hint="eastAsia" w:ascii="Times New Roman" w:hAnsi="Times New Roman"/>
                      <w:kern w:val="0"/>
                      <w:sz w:val="21"/>
                      <w:szCs w:val="21"/>
                    </w:rPr>
                    <w:t>湿式球磨机</w:t>
                  </w:r>
                </w:p>
              </w:tc>
              <w:tc>
                <w:tcPr>
                  <w:tcW w:w="1215" w:type="dxa"/>
                  <w:vAlign w:val="center"/>
                </w:tcPr>
                <w:p>
                  <w:pPr>
                    <w:jc w:val="center"/>
                    <w:rPr>
                      <w:rFonts w:ascii="Times New Roman" w:hAnsi="Times New Roman"/>
                      <w:sz w:val="21"/>
                      <w:szCs w:val="21"/>
                    </w:rPr>
                  </w:pPr>
                  <w:r>
                    <w:rPr>
                      <w:rFonts w:hint="eastAsia" w:ascii="Times New Roman" w:hAnsi="Times New Roman"/>
                      <w:sz w:val="21"/>
                      <w:szCs w:val="21"/>
                    </w:rPr>
                    <w:t>80-90</w:t>
                  </w:r>
                </w:p>
              </w:tc>
              <w:tc>
                <w:tcPr>
                  <w:tcW w:w="1594" w:type="dxa"/>
                  <w:vMerge w:val="continue"/>
                  <w:vAlign w:val="center"/>
                </w:tcPr>
                <w:p>
                  <w:pPr>
                    <w:jc w:val="center"/>
                    <w:rPr>
                      <w:rFonts w:ascii="Times New Roman" w:hAnsi="Times New Roman"/>
                      <w:sz w:val="21"/>
                      <w:szCs w:val="21"/>
                    </w:rPr>
                  </w:pPr>
                </w:p>
              </w:tc>
              <w:tc>
                <w:tcPr>
                  <w:tcW w:w="1285" w:type="dxa"/>
                  <w:vAlign w:val="center"/>
                </w:tcPr>
                <w:p>
                  <w:pPr>
                    <w:widowControl/>
                    <w:jc w:val="center"/>
                    <w:textAlignment w:val="center"/>
                    <w:rPr>
                      <w:rFonts w:ascii="Times New Roman" w:hAnsi="Times New Roman"/>
                      <w:sz w:val="21"/>
                      <w:szCs w:val="21"/>
                    </w:rPr>
                  </w:pPr>
                  <w:r>
                    <w:rPr>
                      <w:rFonts w:hint="eastAsia" w:ascii="Times New Roman" w:hAnsi="Times New Roman"/>
                      <w:kern w:val="0"/>
                      <w:sz w:val="21"/>
                      <w:szCs w:val="21"/>
                    </w:rPr>
                    <w:t>1</w:t>
                  </w:r>
                </w:p>
              </w:tc>
              <w:tc>
                <w:tcPr>
                  <w:tcW w:w="1043" w:type="dxa"/>
                  <w:vMerge w:val="continue"/>
                  <w:vAlign w:val="center"/>
                </w:tcPr>
                <w:p>
                  <w:pPr>
                    <w:jc w:val="center"/>
                    <w:rPr>
                      <w:rFonts w:ascii="Times New Roman" w:hAnsi="Times New Roman"/>
                      <w:sz w:val="18"/>
                      <w:szCs w:val="1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778" w:type="dxa"/>
                  <w:vMerge w:val="continue"/>
                  <w:vAlign w:val="center"/>
                </w:tcPr>
                <w:p>
                  <w:pPr>
                    <w:rPr>
                      <w:rFonts w:ascii="Times New Roman" w:hAnsi="Times New Roman"/>
                      <w:sz w:val="21"/>
                      <w:szCs w:val="21"/>
                    </w:rPr>
                  </w:pPr>
                  <w:bookmarkStart w:id="14" w:name="_Toc42182116"/>
                </w:p>
              </w:tc>
              <w:tc>
                <w:tcPr>
                  <w:tcW w:w="1197" w:type="dxa"/>
                  <w:vAlign w:val="center"/>
                </w:tcPr>
                <w:p>
                  <w:pPr>
                    <w:jc w:val="center"/>
                    <w:rPr>
                      <w:rFonts w:ascii="Times New Roman" w:hAnsi="Times New Roman"/>
                      <w:sz w:val="21"/>
                      <w:szCs w:val="21"/>
                    </w:rPr>
                  </w:pPr>
                  <w:r>
                    <w:rPr>
                      <w:rFonts w:hint="eastAsia" w:ascii="Times New Roman" w:hAnsi="Times New Roman"/>
                      <w:sz w:val="21"/>
                      <w:szCs w:val="21"/>
                    </w:rPr>
                    <w:t>分级</w:t>
                  </w:r>
                </w:p>
              </w:tc>
              <w:tc>
                <w:tcPr>
                  <w:tcW w:w="1622" w:type="dxa"/>
                  <w:vAlign w:val="center"/>
                </w:tcPr>
                <w:p>
                  <w:pPr>
                    <w:jc w:val="center"/>
                    <w:rPr>
                      <w:rFonts w:ascii="Times New Roman" w:hAnsi="Times New Roman"/>
                      <w:sz w:val="21"/>
                      <w:szCs w:val="21"/>
                    </w:rPr>
                  </w:pPr>
                  <w:r>
                    <w:rPr>
                      <w:rFonts w:hint="eastAsia" w:ascii="Times New Roman" w:hAnsi="Times New Roman"/>
                      <w:kern w:val="0"/>
                      <w:sz w:val="21"/>
                      <w:szCs w:val="21"/>
                    </w:rPr>
                    <w:t>分级机</w:t>
                  </w:r>
                </w:p>
              </w:tc>
              <w:tc>
                <w:tcPr>
                  <w:tcW w:w="1215" w:type="dxa"/>
                  <w:vAlign w:val="center"/>
                </w:tcPr>
                <w:p>
                  <w:pPr>
                    <w:jc w:val="center"/>
                    <w:rPr>
                      <w:rFonts w:ascii="Times New Roman" w:hAnsi="Times New Roman"/>
                      <w:sz w:val="21"/>
                      <w:szCs w:val="21"/>
                    </w:rPr>
                  </w:pPr>
                  <w:r>
                    <w:rPr>
                      <w:rFonts w:hint="eastAsia" w:ascii="Times New Roman" w:hAnsi="Times New Roman"/>
                      <w:sz w:val="21"/>
                      <w:szCs w:val="21"/>
                    </w:rPr>
                    <w:t>70-80</w:t>
                  </w:r>
                </w:p>
              </w:tc>
              <w:tc>
                <w:tcPr>
                  <w:tcW w:w="1594" w:type="dxa"/>
                  <w:vMerge w:val="continue"/>
                  <w:vAlign w:val="center"/>
                </w:tcPr>
                <w:p>
                  <w:pPr>
                    <w:jc w:val="center"/>
                    <w:rPr>
                      <w:rFonts w:ascii="Times New Roman" w:hAnsi="Times New Roman"/>
                      <w:sz w:val="21"/>
                      <w:szCs w:val="21"/>
                    </w:rPr>
                  </w:pPr>
                </w:p>
              </w:tc>
              <w:tc>
                <w:tcPr>
                  <w:tcW w:w="1285" w:type="dxa"/>
                  <w:vAlign w:val="center"/>
                </w:tcPr>
                <w:p>
                  <w:pPr>
                    <w:widowControl/>
                    <w:jc w:val="center"/>
                    <w:textAlignment w:val="center"/>
                    <w:rPr>
                      <w:rFonts w:ascii="Times New Roman" w:hAnsi="Times New Roman"/>
                      <w:sz w:val="21"/>
                      <w:szCs w:val="21"/>
                    </w:rPr>
                  </w:pPr>
                  <w:r>
                    <w:rPr>
                      <w:rFonts w:hint="eastAsia" w:ascii="Times New Roman" w:hAnsi="Times New Roman"/>
                      <w:kern w:val="0"/>
                      <w:sz w:val="21"/>
                      <w:szCs w:val="21"/>
                    </w:rPr>
                    <w:t>1</w:t>
                  </w:r>
                </w:p>
              </w:tc>
              <w:tc>
                <w:tcPr>
                  <w:tcW w:w="1043" w:type="dxa"/>
                  <w:vMerge w:val="continue"/>
                  <w:vAlign w:val="center"/>
                </w:tcPr>
                <w:p>
                  <w:pPr>
                    <w:jc w:val="center"/>
                    <w:rPr>
                      <w:rFonts w:ascii="Times New Roman" w:hAnsi="Times New Roman"/>
                      <w:sz w:val="18"/>
                      <w:szCs w:val="1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778" w:type="dxa"/>
                  <w:vMerge w:val="continue"/>
                  <w:vAlign w:val="center"/>
                </w:tcPr>
                <w:p>
                  <w:pPr>
                    <w:rPr>
                      <w:rFonts w:ascii="Times New Roman" w:hAnsi="Times New Roman"/>
                      <w:sz w:val="21"/>
                      <w:szCs w:val="21"/>
                    </w:rPr>
                  </w:pPr>
                </w:p>
              </w:tc>
              <w:tc>
                <w:tcPr>
                  <w:tcW w:w="1197" w:type="dxa"/>
                  <w:vAlign w:val="center"/>
                </w:tcPr>
                <w:p>
                  <w:pPr>
                    <w:jc w:val="center"/>
                    <w:rPr>
                      <w:rFonts w:ascii="Times New Roman" w:hAnsi="Times New Roman"/>
                      <w:sz w:val="21"/>
                      <w:szCs w:val="21"/>
                    </w:rPr>
                  </w:pPr>
                  <w:r>
                    <w:rPr>
                      <w:rFonts w:hint="eastAsia" w:ascii="Times New Roman" w:hAnsi="Times New Roman"/>
                      <w:sz w:val="21"/>
                      <w:szCs w:val="21"/>
                    </w:rPr>
                    <w:t>磁选</w:t>
                  </w:r>
                </w:p>
              </w:tc>
              <w:tc>
                <w:tcPr>
                  <w:tcW w:w="1622" w:type="dxa"/>
                  <w:vAlign w:val="center"/>
                </w:tcPr>
                <w:p>
                  <w:pPr>
                    <w:jc w:val="center"/>
                    <w:rPr>
                      <w:rFonts w:ascii="Times New Roman" w:hAnsi="Times New Roman"/>
                      <w:sz w:val="21"/>
                      <w:szCs w:val="21"/>
                    </w:rPr>
                  </w:pPr>
                  <w:r>
                    <w:rPr>
                      <w:rFonts w:hint="eastAsia" w:ascii="Times New Roman" w:hAnsi="Times New Roman"/>
                      <w:kern w:val="0"/>
                      <w:sz w:val="21"/>
                      <w:szCs w:val="21"/>
                    </w:rPr>
                    <w:t>湿式磁选机</w:t>
                  </w:r>
                </w:p>
              </w:tc>
              <w:tc>
                <w:tcPr>
                  <w:tcW w:w="1215" w:type="dxa"/>
                  <w:vAlign w:val="center"/>
                </w:tcPr>
                <w:p>
                  <w:pPr>
                    <w:jc w:val="center"/>
                    <w:rPr>
                      <w:rFonts w:ascii="Times New Roman" w:hAnsi="Times New Roman"/>
                      <w:sz w:val="21"/>
                      <w:szCs w:val="21"/>
                    </w:rPr>
                  </w:pPr>
                  <w:r>
                    <w:rPr>
                      <w:rFonts w:ascii="Times New Roman" w:hAnsi="Times New Roman"/>
                      <w:sz w:val="21"/>
                      <w:szCs w:val="21"/>
                    </w:rPr>
                    <w:t>80</w:t>
                  </w:r>
                  <w:r>
                    <w:rPr>
                      <w:rFonts w:ascii="Times New Roman" w:hAnsi="Times New Roman" w:eastAsia="华文宋体"/>
                      <w:sz w:val="21"/>
                      <w:szCs w:val="21"/>
                    </w:rPr>
                    <w:t>~90</w:t>
                  </w:r>
                </w:p>
              </w:tc>
              <w:tc>
                <w:tcPr>
                  <w:tcW w:w="1594" w:type="dxa"/>
                  <w:vMerge w:val="continue"/>
                  <w:vAlign w:val="center"/>
                </w:tcPr>
                <w:p>
                  <w:pPr>
                    <w:jc w:val="center"/>
                    <w:rPr>
                      <w:rFonts w:ascii="Times New Roman" w:hAnsi="Times New Roman"/>
                      <w:sz w:val="21"/>
                      <w:szCs w:val="21"/>
                    </w:rPr>
                  </w:pPr>
                </w:p>
              </w:tc>
              <w:tc>
                <w:tcPr>
                  <w:tcW w:w="1285" w:type="dxa"/>
                  <w:vAlign w:val="center"/>
                </w:tcPr>
                <w:p>
                  <w:pPr>
                    <w:widowControl/>
                    <w:jc w:val="center"/>
                    <w:textAlignment w:val="center"/>
                    <w:rPr>
                      <w:rFonts w:ascii="Times New Roman" w:hAnsi="Times New Roman"/>
                      <w:sz w:val="21"/>
                      <w:szCs w:val="21"/>
                    </w:rPr>
                  </w:pPr>
                  <w:r>
                    <w:rPr>
                      <w:rFonts w:hint="eastAsia" w:ascii="Times New Roman" w:hAnsi="Times New Roman"/>
                      <w:kern w:val="0"/>
                      <w:sz w:val="21"/>
                      <w:szCs w:val="21"/>
                    </w:rPr>
                    <w:t>1</w:t>
                  </w:r>
                </w:p>
              </w:tc>
              <w:tc>
                <w:tcPr>
                  <w:tcW w:w="1043" w:type="dxa"/>
                  <w:vMerge w:val="continue"/>
                  <w:vAlign w:val="center"/>
                </w:tcPr>
                <w:p>
                  <w:pPr>
                    <w:jc w:val="center"/>
                    <w:rPr>
                      <w:rFonts w:ascii="Times New Roman" w:hAnsi="Times New Roman"/>
                      <w:sz w:val="18"/>
                      <w:szCs w:val="18"/>
                    </w:rPr>
                  </w:pPr>
                </w:p>
              </w:tc>
            </w:tr>
          </w:tbl>
          <w:p>
            <w:pPr>
              <w:pStyle w:val="46"/>
              <w:numPr>
                <w:ilvl w:val="0"/>
                <w:numId w:val="15"/>
              </w:numPr>
              <w:rPr>
                <w:color w:val="auto"/>
              </w:rPr>
            </w:pPr>
            <w:r>
              <w:rPr>
                <w:rFonts w:hint="eastAsia"/>
                <w:color w:val="auto"/>
              </w:rPr>
              <w:t>基础数据</w:t>
            </w:r>
          </w:p>
          <w:p>
            <w:pPr>
              <w:pStyle w:val="46"/>
              <w:ind w:left="480" w:leftChars="200" w:firstLine="0" w:firstLineChars="0"/>
              <w:rPr>
                <w:color w:val="auto"/>
              </w:rPr>
            </w:pPr>
            <w:r>
              <w:rPr>
                <w:rFonts w:hint="eastAsia"/>
                <w:color w:val="auto"/>
              </w:rPr>
              <w:t>项目噪声环境影响预测基础数据见下表。</w:t>
            </w:r>
          </w:p>
          <w:p>
            <w:pPr>
              <w:pStyle w:val="34"/>
              <w:spacing w:before="120"/>
              <w:ind w:firstLine="422"/>
              <w:rPr>
                <w:rFonts w:ascii="Times New Roman" w:hAnsi="Times New Roman"/>
                <w:b/>
                <w:bCs/>
                <w:sz w:val="21"/>
                <w:szCs w:val="21"/>
                <w:highlight w:val="yellow"/>
              </w:rPr>
            </w:pPr>
            <w:r>
              <w:rPr>
                <w:rFonts w:ascii="Times New Roman" w:hAnsi="Times New Roman"/>
                <w:b/>
                <w:bCs/>
                <w:sz w:val="21"/>
                <w:szCs w:val="21"/>
              </w:rPr>
              <w:t>表4.2-</w:t>
            </w:r>
            <w:r>
              <w:rPr>
                <w:rFonts w:hint="eastAsia" w:ascii="Times New Roman" w:hAnsi="Times New Roman"/>
                <w:b/>
                <w:bCs/>
                <w:sz w:val="21"/>
                <w:szCs w:val="21"/>
              </w:rPr>
              <w:t>6</w:t>
            </w:r>
            <w:r>
              <w:rPr>
                <w:rFonts w:ascii="Times New Roman" w:hAnsi="Times New Roman"/>
                <w:b/>
                <w:bCs/>
                <w:sz w:val="21"/>
                <w:szCs w:val="21"/>
              </w:rPr>
              <w:t xml:space="preserve"> </w:t>
            </w:r>
            <w:r>
              <w:rPr>
                <w:rFonts w:hint="eastAsia" w:ascii="Times New Roman" w:hAnsi="Times New Roman"/>
                <w:b/>
                <w:bCs/>
                <w:sz w:val="21"/>
                <w:szCs w:val="21"/>
              </w:rPr>
              <w:t>项目噪声环境影响预测基础数据表</w:t>
            </w:r>
          </w:p>
          <w:tbl>
            <w:tblPr>
              <w:tblStyle w:val="25"/>
              <w:tblW w:w="8734" w:type="dxa"/>
              <w:tblInd w:w="0" w:type="dxa"/>
              <w:tblBorders>
                <w:top w:val="single" w:color="auto" w:sz="12" w:space="0"/>
                <w:left w:val="none" w:color="auto" w:sz="6" w:space="0"/>
                <w:bottom w:val="single" w:color="auto" w:sz="12" w:space="0"/>
                <w:right w:val="none" w:color="auto" w:sz="6" w:space="0"/>
                <w:insideH w:val="single" w:color="auto" w:sz="4" w:space="0"/>
                <w:insideV w:val="single" w:color="auto" w:sz="4" w:space="0"/>
              </w:tblBorders>
              <w:tblLayout w:type="autofit"/>
              <w:tblCellMar>
                <w:top w:w="0" w:type="dxa"/>
                <w:left w:w="108" w:type="dxa"/>
                <w:bottom w:w="0" w:type="dxa"/>
                <w:right w:w="108" w:type="dxa"/>
              </w:tblCellMar>
            </w:tblPr>
            <w:tblGrid>
              <w:gridCol w:w="1834"/>
              <w:gridCol w:w="2444"/>
              <w:gridCol w:w="1543"/>
              <w:gridCol w:w="2913"/>
            </w:tblGrid>
            <w:tr>
              <w:tblPrEx>
                <w:tblBorders>
                  <w:top w:val="single" w:color="auto" w:sz="12" w:space="0"/>
                  <w:left w:val="none" w:color="auto" w:sz="6" w:space="0"/>
                  <w:bottom w:val="single" w:color="auto" w:sz="12" w:space="0"/>
                  <w:right w:val="none" w:color="auto" w:sz="6" w:space="0"/>
                  <w:insideH w:val="single" w:color="auto" w:sz="4" w:space="0"/>
                  <w:insideV w:val="single" w:color="auto" w:sz="4" w:space="0"/>
                </w:tblBorders>
              </w:tblPrEx>
              <w:tc>
                <w:tcPr>
                  <w:tcW w:w="1834" w:type="dxa"/>
                  <w:tcBorders>
                    <w:top w:val="single" w:color="auto" w:sz="12" w:space="0"/>
                    <w:left w:val="nil"/>
                    <w:bottom w:val="single" w:color="auto" w:sz="4" w:space="0"/>
                    <w:right w:val="single" w:color="auto" w:sz="4" w:space="0"/>
                  </w:tcBorders>
                  <w:shd w:val="clear" w:color="auto" w:fill="auto"/>
                  <w:vAlign w:val="center"/>
                </w:tcPr>
                <w:p>
                  <w:pPr>
                    <w:autoSpaceDE w:val="0"/>
                    <w:autoSpaceDN w:val="0"/>
                    <w:spacing w:line="288" w:lineRule="auto"/>
                    <w:jc w:val="center"/>
                    <w:rPr>
                      <w:rFonts w:eastAsia="Times New Roman"/>
                      <w:b/>
                      <w:bCs/>
                      <w:kern w:val="0"/>
                      <w:szCs w:val="21"/>
                      <w:shd w:val="clear" w:color="auto" w:fill="FFFFFF"/>
                    </w:rPr>
                  </w:pPr>
                  <w:r>
                    <w:rPr>
                      <w:rFonts w:hint="eastAsia" w:ascii="Times New Roman" w:hAnsi="Times New Roman" w:cs="宋体"/>
                      <w:b/>
                      <w:bCs/>
                      <w:kern w:val="0"/>
                      <w:sz w:val="21"/>
                      <w:szCs w:val="21"/>
                      <w:shd w:val="clear" w:color="auto" w:fill="FFFFFF"/>
                      <w:lang w:bidi="ar"/>
                    </w:rPr>
                    <w:t>序号</w:t>
                  </w:r>
                </w:p>
              </w:tc>
              <w:tc>
                <w:tcPr>
                  <w:tcW w:w="2444" w:type="dxa"/>
                  <w:tcBorders>
                    <w:top w:val="single" w:color="auto" w:sz="12" w:space="0"/>
                    <w:left w:val="single" w:color="auto" w:sz="4" w:space="0"/>
                    <w:bottom w:val="single" w:color="auto" w:sz="4" w:space="0"/>
                    <w:right w:val="single" w:color="auto" w:sz="4" w:space="0"/>
                  </w:tcBorders>
                  <w:shd w:val="clear" w:color="auto" w:fill="auto"/>
                  <w:vAlign w:val="center"/>
                </w:tcPr>
                <w:p>
                  <w:pPr>
                    <w:autoSpaceDE w:val="0"/>
                    <w:autoSpaceDN w:val="0"/>
                    <w:spacing w:line="288" w:lineRule="auto"/>
                    <w:jc w:val="center"/>
                    <w:rPr>
                      <w:rFonts w:eastAsia="Times New Roman"/>
                      <w:b/>
                      <w:bCs/>
                      <w:kern w:val="0"/>
                      <w:szCs w:val="21"/>
                      <w:shd w:val="clear" w:color="auto" w:fill="FFFFFF"/>
                    </w:rPr>
                  </w:pPr>
                  <w:r>
                    <w:rPr>
                      <w:rFonts w:hint="eastAsia" w:ascii="Times New Roman" w:hAnsi="Times New Roman" w:cs="宋体"/>
                      <w:b/>
                      <w:bCs/>
                      <w:kern w:val="0"/>
                      <w:sz w:val="21"/>
                      <w:szCs w:val="21"/>
                      <w:shd w:val="clear" w:color="auto" w:fill="FFFFFF"/>
                      <w:lang w:bidi="ar"/>
                    </w:rPr>
                    <w:t>名称</w:t>
                  </w:r>
                </w:p>
              </w:tc>
              <w:tc>
                <w:tcPr>
                  <w:tcW w:w="1543" w:type="dxa"/>
                  <w:tcBorders>
                    <w:top w:val="single" w:color="auto" w:sz="12" w:space="0"/>
                    <w:left w:val="single" w:color="auto" w:sz="4" w:space="0"/>
                    <w:bottom w:val="single" w:color="auto" w:sz="4" w:space="0"/>
                    <w:right w:val="single" w:color="auto" w:sz="4" w:space="0"/>
                  </w:tcBorders>
                  <w:shd w:val="clear" w:color="auto" w:fill="auto"/>
                  <w:vAlign w:val="center"/>
                </w:tcPr>
                <w:p>
                  <w:pPr>
                    <w:autoSpaceDE w:val="0"/>
                    <w:autoSpaceDN w:val="0"/>
                    <w:spacing w:line="288" w:lineRule="auto"/>
                    <w:jc w:val="center"/>
                    <w:rPr>
                      <w:rFonts w:eastAsia="Times New Roman"/>
                      <w:b/>
                      <w:bCs/>
                      <w:kern w:val="0"/>
                      <w:szCs w:val="21"/>
                      <w:shd w:val="clear" w:color="auto" w:fill="FFFFFF"/>
                    </w:rPr>
                  </w:pPr>
                  <w:r>
                    <w:rPr>
                      <w:rFonts w:hint="eastAsia" w:ascii="Times New Roman" w:hAnsi="Times New Roman" w:cs="宋体"/>
                      <w:b/>
                      <w:bCs/>
                      <w:kern w:val="0"/>
                      <w:sz w:val="21"/>
                      <w:szCs w:val="21"/>
                      <w:shd w:val="clear" w:color="auto" w:fill="FFFFFF"/>
                      <w:lang w:bidi="ar"/>
                    </w:rPr>
                    <w:t>单位</w:t>
                  </w:r>
                </w:p>
              </w:tc>
              <w:tc>
                <w:tcPr>
                  <w:tcW w:w="2913" w:type="dxa"/>
                  <w:tcBorders>
                    <w:top w:val="single" w:color="auto" w:sz="12" w:space="0"/>
                    <w:left w:val="single" w:color="auto" w:sz="4" w:space="0"/>
                    <w:bottom w:val="single" w:color="auto" w:sz="4" w:space="0"/>
                    <w:right w:val="nil"/>
                  </w:tcBorders>
                  <w:shd w:val="clear" w:color="auto" w:fill="auto"/>
                  <w:vAlign w:val="center"/>
                </w:tcPr>
                <w:p>
                  <w:pPr>
                    <w:autoSpaceDE w:val="0"/>
                    <w:autoSpaceDN w:val="0"/>
                    <w:spacing w:line="288" w:lineRule="auto"/>
                    <w:jc w:val="center"/>
                    <w:rPr>
                      <w:rFonts w:eastAsia="Times New Roman"/>
                      <w:b/>
                      <w:bCs/>
                      <w:kern w:val="0"/>
                      <w:szCs w:val="21"/>
                      <w:shd w:val="clear" w:color="auto" w:fill="FFFFFF"/>
                    </w:rPr>
                  </w:pPr>
                  <w:r>
                    <w:rPr>
                      <w:rFonts w:hint="eastAsia" w:ascii="Times New Roman" w:hAnsi="Times New Roman" w:cs="宋体"/>
                      <w:b/>
                      <w:bCs/>
                      <w:kern w:val="0"/>
                      <w:sz w:val="21"/>
                      <w:szCs w:val="21"/>
                      <w:shd w:val="clear" w:color="auto" w:fill="FFFFFF"/>
                      <w:lang w:bidi="ar"/>
                    </w:rPr>
                    <w:t>数据</w:t>
                  </w:r>
                </w:p>
              </w:tc>
            </w:tr>
            <w:tr>
              <w:tblPrEx>
                <w:tblBorders>
                  <w:top w:val="single" w:color="auto" w:sz="12" w:space="0"/>
                  <w:left w:val="none" w:color="auto" w:sz="6" w:space="0"/>
                  <w:bottom w:val="single" w:color="auto" w:sz="12" w:space="0"/>
                  <w:right w:val="none" w:color="auto" w:sz="6" w:space="0"/>
                  <w:insideH w:val="single" w:color="auto" w:sz="4" w:space="0"/>
                  <w:insideV w:val="single" w:color="auto" w:sz="4" w:space="0"/>
                </w:tblBorders>
              </w:tblPrEx>
              <w:tc>
                <w:tcPr>
                  <w:tcW w:w="1834" w:type="dxa"/>
                  <w:tcBorders>
                    <w:top w:val="single" w:color="auto" w:sz="4" w:space="0"/>
                    <w:left w:val="nil"/>
                    <w:bottom w:val="single" w:color="auto" w:sz="4" w:space="0"/>
                    <w:right w:val="single" w:color="auto" w:sz="4" w:space="0"/>
                  </w:tcBorders>
                  <w:shd w:val="clear" w:color="auto" w:fill="auto"/>
                  <w:vAlign w:val="center"/>
                </w:tcPr>
                <w:p>
                  <w:pPr>
                    <w:autoSpaceDE w:val="0"/>
                    <w:autoSpaceDN w:val="0"/>
                    <w:spacing w:line="288" w:lineRule="auto"/>
                    <w:jc w:val="center"/>
                    <w:rPr>
                      <w:rFonts w:eastAsia="Times New Roman"/>
                      <w:kern w:val="0"/>
                      <w:szCs w:val="21"/>
                      <w:shd w:val="clear" w:color="auto" w:fill="FFFFFF"/>
                    </w:rPr>
                  </w:pPr>
                  <w:r>
                    <w:rPr>
                      <w:rFonts w:ascii="Times New Roman" w:hAnsi="Times New Roman" w:eastAsia="Times New Roman"/>
                      <w:kern w:val="0"/>
                      <w:sz w:val="21"/>
                      <w:szCs w:val="21"/>
                      <w:shd w:val="clear" w:color="auto" w:fill="FFFFFF"/>
                      <w:lang w:bidi="ar"/>
                    </w:rPr>
                    <w:t>1</w:t>
                  </w:r>
                </w:p>
              </w:tc>
              <w:tc>
                <w:tcPr>
                  <w:tcW w:w="2444"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spacing w:line="288" w:lineRule="auto"/>
                    <w:jc w:val="center"/>
                    <w:rPr>
                      <w:rFonts w:eastAsia="Times New Roman"/>
                      <w:kern w:val="0"/>
                      <w:szCs w:val="21"/>
                      <w:shd w:val="clear" w:color="auto" w:fill="FFFFFF"/>
                    </w:rPr>
                  </w:pPr>
                  <w:r>
                    <w:rPr>
                      <w:rFonts w:hint="eastAsia" w:ascii="Times New Roman" w:hAnsi="Times New Roman" w:cs="宋体"/>
                      <w:spacing w:val="-3"/>
                      <w:kern w:val="0"/>
                      <w:sz w:val="21"/>
                      <w:szCs w:val="21"/>
                      <w:shd w:val="clear" w:color="auto" w:fill="FFFFFF"/>
                      <w:lang w:eastAsia="en-US" w:bidi="ar"/>
                    </w:rPr>
                    <w:t>年平均风速</w:t>
                  </w:r>
                </w:p>
              </w:tc>
              <w:tc>
                <w:tcPr>
                  <w:tcW w:w="1543"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spacing w:line="288" w:lineRule="auto"/>
                    <w:jc w:val="center"/>
                    <w:rPr>
                      <w:rFonts w:eastAsia="Times New Roman"/>
                      <w:kern w:val="0"/>
                      <w:szCs w:val="21"/>
                      <w:shd w:val="clear" w:color="auto" w:fill="FFFFFF"/>
                    </w:rPr>
                  </w:pPr>
                  <w:r>
                    <w:rPr>
                      <w:rFonts w:ascii="Times New Roman" w:hAnsi="Times New Roman" w:eastAsia="Times New Roman"/>
                      <w:kern w:val="0"/>
                      <w:sz w:val="21"/>
                      <w:szCs w:val="21"/>
                      <w:shd w:val="clear" w:color="auto" w:fill="FFFFFF"/>
                      <w:lang w:bidi="ar"/>
                    </w:rPr>
                    <w:t>m/s</w:t>
                  </w:r>
                </w:p>
              </w:tc>
              <w:tc>
                <w:tcPr>
                  <w:tcW w:w="2913" w:type="dxa"/>
                  <w:tcBorders>
                    <w:top w:val="single" w:color="auto" w:sz="4" w:space="0"/>
                    <w:left w:val="single" w:color="auto" w:sz="4" w:space="0"/>
                    <w:bottom w:val="single" w:color="auto" w:sz="4" w:space="0"/>
                    <w:right w:val="nil"/>
                  </w:tcBorders>
                  <w:shd w:val="clear" w:color="auto" w:fill="auto"/>
                  <w:vAlign w:val="center"/>
                </w:tcPr>
                <w:p>
                  <w:pPr>
                    <w:autoSpaceDE w:val="0"/>
                    <w:autoSpaceDN w:val="0"/>
                    <w:spacing w:line="288" w:lineRule="auto"/>
                    <w:jc w:val="center"/>
                    <w:rPr>
                      <w:rFonts w:eastAsia="等线"/>
                      <w:kern w:val="0"/>
                      <w:szCs w:val="21"/>
                      <w:shd w:val="clear" w:color="auto" w:fill="FFFFFF"/>
                    </w:rPr>
                  </w:pPr>
                  <w:r>
                    <w:rPr>
                      <w:rFonts w:hint="eastAsia" w:ascii="Times New Roman" w:hAnsi="Times New Roman" w:eastAsia="等线"/>
                      <w:kern w:val="0"/>
                      <w:sz w:val="21"/>
                      <w:szCs w:val="21"/>
                      <w:shd w:val="clear" w:color="auto" w:fill="FFFFFF"/>
                      <w:lang w:bidi="ar"/>
                    </w:rPr>
                    <w:t>1.5</w:t>
                  </w:r>
                </w:p>
              </w:tc>
            </w:tr>
            <w:tr>
              <w:tblPrEx>
                <w:tblBorders>
                  <w:top w:val="single" w:color="auto" w:sz="12" w:space="0"/>
                  <w:left w:val="none" w:color="auto" w:sz="6" w:space="0"/>
                  <w:bottom w:val="single" w:color="auto" w:sz="12" w:space="0"/>
                  <w:right w:val="none" w:color="auto" w:sz="6" w:space="0"/>
                  <w:insideH w:val="single" w:color="auto" w:sz="4" w:space="0"/>
                  <w:insideV w:val="single" w:color="auto" w:sz="4" w:space="0"/>
                </w:tblBorders>
              </w:tblPrEx>
              <w:tc>
                <w:tcPr>
                  <w:tcW w:w="1834" w:type="dxa"/>
                  <w:tcBorders>
                    <w:top w:val="single" w:color="auto" w:sz="4" w:space="0"/>
                    <w:left w:val="nil"/>
                    <w:bottom w:val="single" w:color="auto" w:sz="4" w:space="0"/>
                    <w:right w:val="single" w:color="auto" w:sz="4" w:space="0"/>
                  </w:tcBorders>
                  <w:shd w:val="clear" w:color="auto" w:fill="auto"/>
                  <w:vAlign w:val="center"/>
                </w:tcPr>
                <w:p>
                  <w:pPr>
                    <w:autoSpaceDE w:val="0"/>
                    <w:autoSpaceDN w:val="0"/>
                    <w:spacing w:line="288" w:lineRule="auto"/>
                    <w:jc w:val="center"/>
                    <w:rPr>
                      <w:rFonts w:eastAsia="Times New Roman"/>
                      <w:kern w:val="0"/>
                      <w:szCs w:val="21"/>
                      <w:shd w:val="clear" w:color="auto" w:fill="FFFFFF"/>
                    </w:rPr>
                  </w:pPr>
                  <w:r>
                    <w:rPr>
                      <w:rFonts w:ascii="Times New Roman" w:hAnsi="Times New Roman" w:eastAsia="Times New Roman"/>
                      <w:kern w:val="0"/>
                      <w:sz w:val="21"/>
                      <w:szCs w:val="21"/>
                      <w:shd w:val="clear" w:color="auto" w:fill="FFFFFF"/>
                      <w:lang w:bidi="ar"/>
                    </w:rPr>
                    <w:t>2</w:t>
                  </w:r>
                </w:p>
              </w:tc>
              <w:tc>
                <w:tcPr>
                  <w:tcW w:w="2444"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spacing w:line="288" w:lineRule="auto"/>
                    <w:jc w:val="center"/>
                    <w:rPr>
                      <w:rFonts w:eastAsia="Times New Roman"/>
                      <w:kern w:val="0"/>
                      <w:szCs w:val="21"/>
                      <w:shd w:val="clear" w:color="auto" w:fill="FFFFFF"/>
                    </w:rPr>
                  </w:pPr>
                  <w:r>
                    <w:rPr>
                      <w:rFonts w:hint="eastAsia" w:ascii="Times New Roman" w:hAnsi="Times New Roman" w:cs="宋体"/>
                      <w:spacing w:val="-3"/>
                      <w:kern w:val="0"/>
                      <w:sz w:val="21"/>
                      <w:szCs w:val="21"/>
                      <w:shd w:val="clear" w:color="auto" w:fill="FFFFFF"/>
                      <w:lang w:eastAsia="en-US" w:bidi="ar"/>
                    </w:rPr>
                    <w:t>主导风向</w:t>
                  </w:r>
                </w:p>
              </w:tc>
              <w:tc>
                <w:tcPr>
                  <w:tcW w:w="1543"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spacing w:line="288" w:lineRule="auto"/>
                    <w:jc w:val="center"/>
                    <w:rPr>
                      <w:rFonts w:eastAsia="Times New Roman"/>
                      <w:kern w:val="0"/>
                      <w:szCs w:val="21"/>
                      <w:shd w:val="clear" w:color="auto" w:fill="FFFFFF"/>
                    </w:rPr>
                  </w:pPr>
                  <w:r>
                    <w:rPr>
                      <w:rFonts w:ascii="Times New Roman" w:hAnsi="Times New Roman" w:eastAsia="Times New Roman"/>
                      <w:kern w:val="0"/>
                      <w:sz w:val="21"/>
                      <w:szCs w:val="21"/>
                      <w:shd w:val="clear" w:color="auto" w:fill="FFFFFF"/>
                      <w:lang w:bidi="ar"/>
                    </w:rPr>
                    <w:t>/</w:t>
                  </w:r>
                </w:p>
              </w:tc>
              <w:tc>
                <w:tcPr>
                  <w:tcW w:w="2913" w:type="dxa"/>
                  <w:tcBorders>
                    <w:top w:val="single" w:color="auto" w:sz="4" w:space="0"/>
                    <w:left w:val="single" w:color="auto" w:sz="4" w:space="0"/>
                    <w:bottom w:val="single" w:color="auto" w:sz="4" w:space="0"/>
                    <w:right w:val="nil"/>
                  </w:tcBorders>
                  <w:shd w:val="clear" w:color="auto" w:fill="auto"/>
                  <w:vAlign w:val="center"/>
                </w:tcPr>
                <w:p>
                  <w:pPr>
                    <w:autoSpaceDE w:val="0"/>
                    <w:autoSpaceDN w:val="0"/>
                    <w:spacing w:line="288" w:lineRule="auto"/>
                    <w:jc w:val="center"/>
                    <w:rPr>
                      <w:rFonts w:eastAsia="Times New Roman"/>
                      <w:kern w:val="0"/>
                      <w:szCs w:val="21"/>
                      <w:shd w:val="clear" w:color="auto" w:fill="FFFFFF"/>
                    </w:rPr>
                  </w:pPr>
                  <w:r>
                    <w:rPr>
                      <w:rFonts w:ascii="Times New Roman" w:hAnsi="Times New Roman" w:eastAsia="Times New Roman"/>
                      <w:kern w:val="0"/>
                      <w:szCs w:val="20"/>
                      <w:shd w:val="clear" w:color="auto" w:fill="FFFFFF"/>
                      <w:lang w:bidi="ar"/>
                    </w:rPr>
                    <w:t>E</w:t>
                  </w:r>
                </w:p>
              </w:tc>
            </w:tr>
            <w:tr>
              <w:tblPrEx>
                <w:tblBorders>
                  <w:top w:val="single" w:color="auto" w:sz="12" w:space="0"/>
                  <w:left w:val="none" w:color="auto" w:sz="6" w:space="0"/>
                  <w:bottom w:val="single" w:color="auto" w:sz="12" w:space="0"/>
                  <w:right w:val="none" w:color="auto" w:sz="6" w:space="0"/>
                  <w:insideH w:val="single" w:color="auto" w:sz="4" w:space="0"/>
                  <w:insideV w:val="single" w:color="auto" w:sz="4" w:space="0"/>
                </w:tblBorders>
              </w:tblPrEx>
              <w:tc>
                <w:tcPr>
                  <w:tcW w:w="1834" w:type="dxa"/>
                  <w:tcBorders>
                    <w:top w:val="single" w:color="auto" w:sz="4" w:space="0"/>
                    <w:left w:val="nil"/>
                    <w:bottom w:val="single" w:color="auto" w:sz="4" w:space="0"/>
                    <w:right w:val="single" w:color="auto" w:sz="4" w:space="0"/>
                  </w:tcBorders>
                  <w:shd w:val="clear" w:color="auto" w:fill="auto"/>
                  <w:vAlign w:val="center"/>
                </w:tcPr>
                <w:p>
                  <w:pPr>
                    <w:autoSpaceDE w:val="0"/>
                    <w:autoSpaceDN w:val="0"/>
                    <w:spacing w:line="288" w:lineRule="auto"/>
                    <w:jc w:val="center"/>
                    <w:rPr>
                      <w:rFonts w:eastAsia="Times New Roman"/>
                      <w:kern w:val="0"/>
                      <w:szCs w:val="21"/>
                      <w:shd w:val="clear" w:color="auto" w:fill="FFFFFF"/>
                    </w:rPr>
                  </w:pPr>
                  <w:r>
                    <w:rPr>
                      <w:rFonts w:ascii="Times New Roman" w:hAnsi="Times New Roman" w:eastAsia="Times New Roman"/>
                      <w:kern w:val="0"/>
                      <w:sz w:val="21"/>
                      <w:szCs w:val="21"/>
                      <w:shd w:val="clear" w:color="auto" w:fill="FFFFFF"/>
                      <w:lang w:bidi="ar"/>
                    </w:rPr>
                    <w:t>3</w:t>
                  </w:r>
                </w:p>
              </w:tc>
              <w:tc>
                <w:tcPr>
                  <w:tcW w:w="2444"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spacing w:line="288" w:lineRule="auto"/>
                    <w:jc w:val="center"/>
                    <w:rPr>
                      <w:rFonts w:eastAsia="Times New Roman"/>
                      <w:kern w:val="0"/>
                      <w:szCs w:val="21"/>
                      <w:shd w:val="clear" w:color="auto" w:fill="FFFFFF"/>
                    </w:rPr>
                  </w:pPr>
                  <w:r>
                    <w:rPr>
                      <w:rFonts w:hint="eastAsia" w:ascii="Times New Roman" w:hAnsi="Times New Roman" w:cs="宋体"/>
                      <w:spacing w:val="-3"/>
                      <w:kern w:val="0"/>
                      <w:sz w:val="21"/>
                      <w:szCs w:val="21"/>
                      <w:shd w:val="clear" w:color="auto" w:fill="FFFFFF"/>
                      <w:lang w:eastAsia="en-US" w:bidi="ar"/>
                    </w:rPr>
                    <w:t>年平均气温</w:t>
                  </w:r>
                </w:p>
              </w:tc>
              <w:tc>
                <w:tcPr>
                  <w:tcW w:w="1543"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spacing w:line="288" w:lineRule="auto"/>
                    <w:jc w:val="center"/>
                    <w:rPr>
                      <w:rFonts w:eastAsia="Times New Roman"/>
                      <w:kern w:val="0"/>
                      <w:szCs w:val="21"/>
                      <w:shd w:val="clear" w:color="auto" w:fill="FFFFFF"/>
                    </w:rPr>
                  </w:pPr>
                  <w:r>
                    <w:rPr>
                      <w:rFonts w:ascii="Times New Roman" w:hAnsi="Times New Roman" w:eastAsia="Times New Roman"/>
                      <w:kern w:val="0"/>
                      <w:sz w:val="21"/>
                      <w:szCs w:val="21"/>
                      <w:shd w:val="clear" w:color="auto" w:fill="FFFFFF"/>
                      <w:lang w:bidi="ar"/>
                    </w:rPr>
                    <w:t>℃</w:t>
                  </w:r>
                </w:p>
              </w:tc>
              <w:tc>
                <w:tcPr>
                  <w:tcW w:w="2913" w:type="dxa"/>
                  <w:tcBorders>
                    <w:top w:val="single" w:color="auto" w:sz="4" w:space="0"/>
                    <w:left w:val="single" w:color="auto" w:sz="4" w:space="0"/>
                    <w:bottom w:val="single" w:color="auto" w:sz="4" w:space="0"/>
                    <w:right w:val="nil"/>
                  </w:tcBorders>
                  <w:shd w:val="clear" w:color="auto" w:fill="auto"/>
                  <w:vAlign w:val="center"/>
                </w:tcPr>
                <w:p>
                  <w:pPr>
                    <w:autoSpaceDE w:val="0"/>
                    <w:autoSpaceDN w:val="0"/>
                    <w:spacing w:line="288" w:lineRule="auto"/>
                    <w:jc w:val="center"/>
                    <w:rPr>
                      <w:rFonts w:eastAsia="等线"/>
                      <w:kern w:val="0"/>
                      <w:szCs w:val="21"/>
                      <w:shd w:val="clear" w:color="auto" w:fill="FFFFFF"/>
                    </w:rPr>
                  </w:pPr>
                  <w:r>
                    <w:rPr>
                      <w:rFonts w:hint="eastAsia" w:ascii="Times New Roman" w:hAnsi="Times New Roman" w:eastAsia="等线"/>
                      <w:kern w:val="0"/>
                      <w:sz w:val="21"/>
                      <w:szCs w:val="21"/>
                      <w:shd w:val="clear" w:color="auto" w:fill="FFFFFF"/>
                      <w:lang w:bidi="ar"/>
                    </w:rPr>
                    <w:t>25</w:t>
                  </w:r>
                </w:p>
              </w:tc>
            </w:tr>
            <w:tr>
              <w:tblPrEx>
                <w:tblBorders>
                  <w:top w:val="single" w:color="auto" w:sz="12" w:space="0"/>
                  <w:left w:val="none" w:color="auto" w:sz="6" w:space="0"/>
                  <w:bottom w:val="single" w:color="auto" w:sz="12" w:space="0"/>
                  <w:right w:val="none" w:color="auto" w:sz="6" w:space="0"/>
                  <w:insideH w:val="single" w:color="auto" w:sz="4" w:space="0"/>
                  <w:insideV w:val="single" w:color="auto" w:sz="4" w:space="0"/>
                </w:tblBorders>
              </w:tblPrEx>
              <w:tc>
                <w:tcPr>
                  <w:tcW w:w="1834" w:type="dxa"/>
                  <w:tcBorders>
                    <w:top w:val="single" w:color="auto" w:sz="4" w:space="0"/>
                    <w:left w:val="nil"/>
                    <w:bottom w:val="single" w:color="auto" w:sz="4" w:space="0"/>
                    <w:right w:val="single" w:color="auto" w:sz="4" w:space="0"/>
                  </w:tcBorders>
                  <w:shd w:val="clear" w:color="auto" w:fill="auto"/>
                  <w:vAlign w:val="center"/>
                </w:tcPr>
                <w:p>
                  <w:pPr>
                    <w:autoSpaceDE w:val="0"/>
                    <w:autoSpaceDN w:val="0"/>
                    <w:spacing w:line="288" w:lineRule="auto"/>
                    <w:jc w:val="center"/>
                    <w:rPr>
                      <w:rFonts w:eastAsia="Times New Roman"/>
                      <w:kern w:val="0"/>
                      <w:szCs w:val="21"/>
                      <w:shd w:val="clear" w:color="auto" w:fill="FFFFFF"/>
                    </w:rPr>
                  </w:pPr>
                  <w:r>
                    <w:rPr>
                      <w:rFonts w:ascii="Times New Roman" w:hAnsi="Times New Roman" w:eastAsia="Times New Roman"/>
                      <w:kern w:val="0"/>
                      <w:sz w:val="21"/>
                      <w:szCs w:val="21"/>
                      <w:shd w:val="clear" w:color="auto" w:fill="FFFFFF"/>
                      <w:lang w:bidi="ar"/>
                    </w:rPr>
                    <w:t>4</w:t>
                  </w:r>
                </w:p>
              </w:tc>
              <w:tc>
                <w:tcPr>
                  <w:tcW w:w="2444"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spacing w:line="288" w:lineRule="auto"/>
                    <w:jc w:val="center"/>
                    <w:rPr>
                      <w:rFonts w:eastAsia="Times New Roman"/>
                      <w:kern w:val="0"/>
                      <w:szCs w:val="21"/>
                      <w:shd w:val="clear" w:color="auto" w:fill="FFFFFF"/>
                    </w:rPr>
                  </w:pPr>
                  <w:r>
                    <w:rPr>
                      <w:rFonts w:hint="eastAsia" w:ascii="Times New Roman" w:hAnsi="Times New Roman" w:cs="宋体"/>
                      <w:spacing w:val="-3"/>
                      <w:kern w:val="0"/>
                      <w:sz w:val="21"/>
                      <w:szCs w:val="21"/>
                      <w:shd w:val="clear" w:color="auto" w:fill="FFFFFF"/>
                      <w:lang w:eastAsia="en-US" w:bidi="ar"/>
                    </w:rPr>
                    <w:t>年平均相对湿度</w:t>
                  </w:r>
                </w:p>
              </w:tc>
              <w:tc>
                <w:tcPr>
                  <w:tcW w:w="1543"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spacing w:line="288" w:lineRule="auto"/>
                    <w:jc w:val="center"/>
                    <w:rPr>
                      <w:rFonts w:eastAsia="Times New Roman"/>
                      <w:kern w:val="0"/>
                      <w:szCs w:val="21"/>
                      <w:shd w:val="clear" w:color="auto" w:fill="FFFFFF"/>
                    </w:rPr>
                  </w:pPr>
                  <w:r>
                    <w:rPr>
                      <w:rFonts w:ascii="Times New Roman" w:hAnsi="Times New Roman" w:eastAsia="Times New Roman"/>
                      <w:kern w:val="0"/>
                      <w:sz w:val="21"/>
                      <w:szCs w:val="21"/>
                      <w:shd w:val="clear" w:color="auto" w:fill="FFFFFF"/>
                      <w:lang w:bidi="ar"/>
                    </w:rPr>
                    <w:t>%</w:t>
                  </w:r>
                </w:p>
              </w:tc>
              <w:tc>
                <w:tcPr>
                  <w:tcW w:w="2913" w:type="dxa"/>
                  <w:tcBorders>
                    <w:top w:val="single" w:color="auto" w:sz="4" w:space="0"/>
                    <w:left w:val="single" w:color="auto" w:sz="4" w:space="0"/>
                    <w:bottom w:val="single" w:color="auto" w:sz="4" w:space="0"/>
                    <w:right w:val="nil"/>
                  </w:tcBorders>
                  <w:shd w:val="clear" w:color="auto" w:fill="auto"/>
                  <w:vAlign w:val="center"/>
                </w:tcPr>
                <w:p>
                  <w:pPr>
                    <w:autoSpaceDE w:val="0"/>
                    <w:autoSpaceDN w:val="0"/>
                    <w:spacing w:line="288" w:lineRule="auto"/>
                    <w:jc w:val="center"/>
                    <w:rPr>
                      <w:rFonts w:eastAsia="等线"/>
                      <w:kern w:val="0"/>
                      <w:szCs w:val="21"/>
                      <w:shd w:val="clear" w:color="auto" w:fill="FFFFFF"/>
                    </w:rPr>
                  </w:pPr>
                  <w:r>
                    <w:rPr>
                      <w:rFonts w:hint="eastAsia" w:ascii="Times New Roman" w:hAnsi="Times New Roman" w:eastAsia="等线"/>
                      <w:kern w:val="0"/>
                      <w:sz w:val="21"/>
                      <w:szCs w:val="21"/>
                      <w:shd w:val="clear" w:color="auto" w:fill="FFFFFF"/>
                      <w:lang w:bidi="ar"/>
                    </w:rPr>
                    <w:t>75</w:t>
                  </w:r>
                </w:p>
              </w:tc>
            </w:tr>
            <w:tr>
              <w:tblPrEx>
                <w:tblBorders>
                  <w:top w:val="single" w:color="auto" w:sz="12" w:space="0"/>
                  <w:left w:val="none" w:color="auto" w:sz="6" w:space="0"/>
                  <w:bottom w:val="single" w:color="auto" w:sz="12" w:space="0"/>
                  <w:right w:val="none" w:color="auto" w:sz="6" w:space="0"/>
                  <w:insideH w:val="single" w:color="auto" w:sz="4" w:space="0"/>
                  <w:insideV w:val="single" w:color="auto" w:sz="4" w:space="0"/>
                </w:tblBorders>
              </w:tblPrEx>
              <w:tc>
                <w:tcPr>
                  <w:tcW w:w="1834" w:type="dxa"/>
                  <w:tcBorders>
                    <w:top w:val="single" w:color="auto" w:sz="4" w:space="0"/>
                    <w:left w:val="nil"/>
                    <w:bottom w:val="single" w:color="auto" w:sz="12" w:space="0"/>
                    <w:right w:val="single" w:color="auto" w:sz="4" w:space="0"/>
                  </w:tcBorders>
                  <w:shd w:val="clear" w:color="auto" w:fill="auto"/>
                  <w:vAlign w:val="center"/>
                </w:tcPr>
                <w:p>
                  <w:pPr>
                    <w:autoSpaceDE w:val="0"/>
                    <w:autoSpaceDN w:val="0"/>
                    <w:spacing w:line="288" w:lineRule="auto"/>
                    <w:jc w:val="center"/>
                    <w:rPr>
                      <w:rFonts w:eastAsia="Times New Roman"/>
                      <w:kern w:val="0"/>
                      <w:szCs w:val="21"/>
                      <w:shd w:val="clear" w:color="auto" w:fill="FFFFFF"/>
                    </w:rPr>
                  </w:pPr>
                  <w:r>
                    <w:rPr>
                      <w:rFonts w:ascii="Times New Roman" w:hAnsi="Times New Roman" w:eastAsia="Times New Roman"/>
                      <w:kern w:val="0"/>
                      <w:sz w:val="21"/>
                      <w:szCs w:val="21"/>
                      <w:shd w:val="clear" w:color="auto" w:fill="FFFFFF"/>
                      <w:lang w:bidi="ar"/>
                    </w:rPr>
                    <w:t>5</w:t>
                  </w:r>
                </w:p>
              </w:tc>
              <w:tc>
                <w:tcPr>
                  <w:tcW w:w="2444" w:type="dxa"/>
                  <w:tcBorders>
                    <w:top w:val="single" w:color="auto" w:sz="4" w:space="0"/>
                    <w:left w:val="single" w:color="auto" w:sz="4" w:space="0"/>
                    <w:bottom w:val="single" w:color="auto" w:sz="12" w:space="0"/>
                    <w:right w:val="single" w:color="auto" w:sz="4" w:space="0"/>
                  </w:tcBorders>
                  <w:shd w:val="clear" w:color="auto" w:fill="auto"/>
                  <w:vAlign w:val="center"/>
                </w:tcPr>
                <w:p>
                  <w:pPr>
                    <w:autoSpaceDE w:val="0"/>
                    <w:autoSpaceDN w:val="0"/>
                    <w:spacing w:line="288" w:lineRule="auto"/>
                    <w:jc w:val="center"/>
                    <w:rPr>
                      <w:rFonts w:eastAsia="Times New Roman"/>
                      <w:kern w:val="0"/>
                      <w:szCs w:val="21"/>
                      <w:shd w:val="clear" w:color="auto" w:fill="FFFFFF"/>
                    </w:rPr>
                  </w:pPr>
                  <w:r>
                    <w:rPr>
                      <w:rFonts w:hint="eastAsia" w:ascii="Times New Roman" w:hAnsi="Times New Roman" w:cs="宋体"/>
                      <w:spacing w:val="-3"/>
                      <w:kern w:val="0"/>
                      <w:sz w:val="21"/>
                      <w:szCs w:val="21"/>
                      <w:shd w:val="clear" w:color="auto" w:fill="FFFFFF"/>
                      <w:lang w:eastAsia="en-US" w:bidi="ar"/>
                    </w:rPr>
                    <w:t>大气压强</w:t>
                  </w:r>
                </w:p>
              </w:tc>
              <w:tc>
                <w:tcPr>
                  <w:tcW w:w="1543" w:type="dxa"/>
                  <w:tcBorders>
                    <w:top w:val="single" w:color="auto" w:sz="4" w:space="0"/>
                    <w:left w:val="single" w:color="auto" w:sz="4" w:space="0"/>
                    <w:bottom w:val="single" w:color="auto" w:sz="12" w:space="0"/>
                    <w:right w:val="single" w:color="auto" w:sz="4" w:space="0"/>
                  </w:tcBorders>
                  <w:shd w:val="clear" w:color="auto" w:fill="auto"/>
                  <w:vAlign w:val="center"/>
                </w:tcPr>
                <w:p>
                  <w:pPr>
                    <w:autoSpaceDE w:val="0"/>
                    <w:autoSpaceDN w:val="0"/>
                    <w:spacing w:line="288" w:lineRule="auto"/>
                    <w:jc w:val="center"/>
                    <w:rPr>
                      <w:rFonts w:eastAsia="Times New Roman"/>
                      <w:kern w:val="0"/>
                      <w:szCs w:val="21"/>
                      <w:shd w:val="clear" w:color="auto" w:fill="FFFFFF"/>
                    </w:rPr>
                  </w:pPr>
                  <w:r>
                    <w:rPr>
                      <w:rFonts w:ascii="Times New Roman" w:hAnsi="Times New Roman" w:eastAsia="Times New Roman"/>
                      <w:kern w:val="0"/>
                      <w:sz w:val="21"/>
                      <w:szCs w:val="21"/>
                      <w:shd w:val="clear" w:color="auto" w:fill="FFFFFF"/>
                      <w:lang w:bidi="ar"/>
                    </w:rPr>
                    <w:t>hPa</w:t>
                  </w:r>
                </w:p>
              </w:tc>
              <w:tc>
                <w:tcPr>
                  <w:tcW w:w="2913" w:type="dxa"/>
                  <w:tcBorders>
                    <w:top w:val="single" w:color="auto" w:sz="4" w:space="0"/>
                    <w:left w:val="single" w:color="auto" w:sz="4" w:space="0"/>
                    <w:bottom w:val="single" w:color="auto" w:sz="12" w:space="0"/>
                    <w:right w:val="nil"/>
                  </w:tcBorders>
                  <w:shd w:val="clear" w:color="auto" w:fill="auto"/>
                  <w:vAlign w:val="center"/>
                </w:tcPr>
                <w:p>
                  <w:pPr>
                    <w:autoSpaceDE w:val="0"/>
                    <w:autoSpaceDN w:val="0"/>
                    <w:spacing w:line="288" w:lineRule="auto"/>
                    <w:jc w:val="center"/>
                    <w:rPr>
                      <w:rFonts w:eastAsia="Times New Roman"/>
                      <w:kern w:val="0"/>
                      <w:szCs w:val="21"/>
                      <w:shd w:val="clear" w:color="auto" w:fill="FFFFFF"/>
                    </w:rPr>
                  </w:pPr>
                  <w:r>
                    <w:rPr>
                      <w:rFonts w:ascii="Times New Roman" w:hAnsi="Times New Roman" w:eastAsia="Times New Roman"/>
                      <w:kern w:val="0"/>
                      <w:sz w:val="21"/>
                      <w:szCs w:val="21"/>
                      <w:shd w:val="clear" w:color="auto" w:fill="FFFFFF"/>
                      <w:lang w:bidi="ar"/>
                    </w:rPr>
                    <w:t>1004.13</w:t>
                  </w:r>
                </w:p>
              </w:tc>
            </w:tr>
          </w:tbl>
          <w:p>
            <w:pPr>
              <w:pStyle w:val="46"/>
              <w:numPr>
                <w:ilvl w:val="0"/>
                <w:numId w:val="15"/>
              </w:numPr>
              <w:rPr>
                <w:color w:val="auto"/>
              </w:rPr>
            </w:pPr>
            <w:r>
              <w:rPr>
                <w:rFonts w:hint="eastAsia"/>
                <w:color w:val="auto"/>
              </w:rPr>
              <w:t>地形参数</w:t>
            </w:r>
          </w:p>
          <w:p>
            <w:pPr>
              <w:pStyle w:val="46"/>
              <w:rPr>
                <w:color w:val="auto"/>
                <w:shd w:val="clear" w:color="auto" w:fill="FFFFFF"/>
                <w:lang w:bidi="ar"/>
              </w:rPr>
            </w:pPr>
            <w:r>
              <w:rPr>
                <w:rFonts w:hint="eastAsia"/>
                <w:color w:val="auto"/>
                <w:shd w:val="clear" w:color="auto" w:fill="FFFFFF"/>
                <w:lang w:bidi="ar"/>
              </w:rPr>
              <w:t>地形数据来源于环境影响评价</w:t>
            </w:r>
            <w:r>
              <w:rPr>
                <w:color w:val="auto"/>
                <w:shd w:val="clear" w:color="auto" w:fill="FFFFFF"/>
                <w:lang w:bidi="ar"/>
              </w:rPr>
              <w:t>GIS</w:t>
            </w:r>
            <w:r>
              <w:rPr>
                <w:rFonts w:hint="eastAsia"/>
                <w:color w:val="auto"/>
                <w:shd w:val="clear" w:color="auto" w:fill="FFFFFF"/>
                <w:lang w:bidi="ar"/>
              </w:rPr>
              <w:t>服务平台下载的分辨率为</w:t>
            </w:r>
            <w:r>
              <w:rPr>
                <w:color w:val="auto"/>
                <w:shd w:val="clear" w:color="auto" w:fill="FFFFFF"/>
                <w:lang w:bidi="ar"/>
              </w:rPr>
              <w:t>90m</w:t>
            </w:r>
            <w:r>
              <w:rPr>
                <w:rFonts w:hint="eastAsia"/>
                <w:color w:val="auto"/>
                <w:shd w:val="clear" w:color="auto" w:fill="FFFFFF"/>
                <w:lang w:bidi="ar"/>
              </w:rPr>
              <w:t>的地形数据，将</w:t>
            </w:r>
            <w:r>
              <w:rPr>
                <w:color w:val="auto"/>
                <w:shd w:val="clear" w:color="auto" w:fill="FFFFFF"/>
                <w:lang w:bidi="ar"/>
              </w:rPr>
              <w:t>DEM</w:t>
            </w:r>
            <w:r>
              <w:rPr>
                <w:rFonts w:hint="eastAsia"/>
                <w:color w:val="auto"/>
                <w:shd w:val="clear" w:color="auto" w:fill="FFFFFF"/>
                <w:lang w:bidi="ar"/>
              </w:rPr>
              <w:t>地形文件数据导入预测软件并将运行结果数据导入预测模型，通过</w:t>
            </w:r>
            <w:r>
              <w:rPr>
                <w:color w:val="auto"/>
                <w:shd w:val="clear" w:color="auto" w:fill="FFFFFF"/>
                <w:lang w:bidi="ar"/>
              </w:rPr>
              <w:t>EIAProN2021</w:t>
            </w:r>
            <w:r>
              <w:rPr>
                <w:rFonts w:hint="eastAsia"/>
                <w:color w:val="auto"/>
                <w:shd w:val="clear" w:color="auto" w:fill="FFFFFF"/>
                <w:lang w:bidi="ar"/>
              </w:rPr>
              <w:t>版软件生成地形高程图。</w:t>
            </w:r>
          </w:p>
          <w:p>
            <w:pPr>
              <w:pStyle w:val="46"/>
              <w:rPr>
                <w:color w:val="auto"/>
                <w:shd w:val="clear" w:color="auto" w:fill="FFFFFF"/>
                <w:lang w:bidi="ar"/>
              </w:rPr>
            </w:pPr>
          </w:p>
          <w:p>
            <w:pPr>
              <w:pStyle w:val="46"/>
              <w:rPr>
                <w:color w:val="auto"/>
                <w:shd w:val="clear" w:color="auto" w:fill="FFFFFF"/>
                <w:lang w:bidi="ar"/>
              </w:rPr>
            </w:pPr>
          </w:p>
          <w:p>
            <w:pPr>
              <w:pStyle w:val="46"/>
              <w:rPr>
                <w:color w:val="auto"/>
                <w:shd w:val="clear" w:color="auto" w:fill="FFFFFF"/>
                <w:lang w:bidi="ar"/>
              </w:rPr>
            </w:pPr>
          </w:p>
          <w:p>
            <w:pPr>
              <w:pStyle w:val="46"/>
              <w:rPr>
                <w:color w:val="auto"/>
                <w:shd w:val="clear" w:color="auto" w:fill="FFFFFF"/>
                <w:lang w:bidi="ar"/>
              </w:rPr>
            </w:pPr>
          </w:p>
          <w:p>
            <w:pPr>
              <w:pStyle w:val="46"/>
              <w:rPr>
                <w:color w:val="auto"/>
                <w:shd w:val="clear" w:color="auto" w:fill="FFFFFF"/>
                <w:lang w:bidi="ar"/>
              </w:rPr>
            </w:pPr>
          </w:p>
          <w:p>
            <w:pPr>
              <w:pStyle w:val="46"/>
              <w:rPr>
                <w:color w:val="auto"/>
                <w:shd w:val="clear" w:color="auto" w:fill="FFFFFF"/>
                <w:lang w:bidi="ar"/>
              </w:rPr>
            </w:pPr>
          </w:p>
          <w:p>
            <w:pPr>
              <w:pStyle w:val="46"/>
              <w:rPr>
                <w:color w:val="auto"/>
                <w:shd w:val="clear" w:color="auto" w:fill="FFFFFF"/>
                <w:lang w:bidi="ar"/>
              </w:rPr>
            </w:pPr>
          </w:p>
          <w:p>
            <w:pPr>
              <w:pStyle w:val="46"/>
              <w:rPr>
                <w:color w:val="auto"/>
                <w:shd w:val="clear" w:color="auto" w:fill="FFFFFF"/>
                <w:lang w:bidi="ar"/>
              </w:rPr>
            </w:pPr>
          </w:p>
          <w:p>
            <w:pPr>
              <w:pStyle w:val="46"/>
              <w:rPr>
                <w:color w:val="auto"/>
                <w:shd w:val="clear" w:color="auto" w:fill="FFFFFF"/>
                <w:lang w:bidi="ar"/>
              </w:rPr>
            </w:pPr>
          </w:p>
          <w:p>
            <w:pPr>
              <w:pStyle w:val="46"/>
              <w:spacing w:line="240" w:lineRule="auto"/>
              <w:ind w:firstLine="0" w:firstLineChars="0"/>
              <w:jc w:val="center"/>
              <w:rPr>
                <w:color w:val="auto"/>
                <w:shd w:val="clear" w:color="auto" w:fill="FFFFFF"/>
                <w:lang w:bidi="ar"/>
              </w:rPr>
            </w:pPr>
            <w:r>
              <w:rPr>
                <w:color w:val="auto"/>
                <w:sz w:val="28"/>
              </w:rPr>
              <mc:AlternateContent>
                <mc:Choice Requires="wps">
                  <w:drawing>
                    <wp:anchor distT="0" distB="0" distL="114300" distR="114300" simplePos="0" relativeHeight="251667456" behindDoc="0" locked="0" layoutInCell="1" allowOverlap="1">
                      <wp:simplePos x="0" y="0"/>
                      <wp:positionH relativeFrom="column">
                        <wp:posOffset>499110</wp:posOffset>
                      </wp:positionH>
                      <wp:positionV relativeFrom="paragraph">
                        <wp:posOffset>7210425</wp:posOffset>
                      </wp:positionV>
                      <wp:extent cx="561975" cy="9525"/>
                      <wp:effectExtent l="0" t="0" r="0" b="0"/>
                      <wp:wrapNone/>
                      <wp:docPr id="76" name="直接连接符 76"/>
                      <wp:cNvGraphicFramePr/>
                      <a:graphic xmlns:a="http://schemas.openxmlformats.org/drawingml/2006/main">
                        <a:graphicData uri="http://schemas.microsoft.com/office/word/2010/wordprocessingShape">
                          <wps:wsp>
                            <wps:cNvCnPr/>
                            <wps:spPr>
                              <a:xfrm flipV="1">
                                <a:off x="1772285" y="7963535"/>
                                <a:ext cx="561975" cy="9525"/>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flip:y;margin-left:39.3pt;margin-top:567.75pt;height:0.75pt;width:44.25pt;z-index:251667456;mso-width-relative:page;mso-height-relative:page;" filled="f" stroked="t" coordsize="21600,21600" o:gfxdata="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FgAAAGRycy9QSwECFAAUAAAACACHTuJABO86+9cAAAAMAQAADwAAAAAAAAABACAAAAA4AAAA&#10;ZHJzL2Rvd25yZXYueG1sUEsBAhQAFAAAAAgAh07iQJ3NXOnyAQAAtQMAAA4AAAAAAAAAAQAgAAAA&#10;PAEAAGRycy9lMm9Eb2MueG1sUEsFBgAAAAAGAAYAWQEAAKAFAAAAAA==&#10;">
                      <v:fill on="f" focussize="0,0"/>
                      <v:stroke weight="2pt" color="#000000 [3213]" joinstyle="round"/>
                      <v:imagedata o:title=""/>
                      <o:lock v:ext="edit" aspectratio="f"/>
                    </v:line>
                  </w:pict>
                </mc:Fallback>
              </mc:AlternateContent>
            </w:r>
            <w:r>
              <w:rPr>
                <w:color w:val="auto"/>
                <w:sz w:val="28"/>
              </w:rPr>
              <mc:AlternateContent>
                <mc:Choice Requires="wps">
                  <w:drawing>
                    <wp:anchor distT="0" distB="0" distL="114300" distR="114300" simplePos="0" relativeHeight="251668480" behindDoc="0" locked="0" layoutInCell="1" allowOverlap="1">
                      <wp:simplePos x="0" y="0"/>
                      <wp:positionH relativeFrom="column">
                        <wp:posOffset>509270</wp:posOffset>
                      </wp:positionH>
                      <wp:positionV relativeFrom="paragraph">
                        <wp:posOffset>6842760</wp:posOffset>
                      </wp:positionV>
                      <wp:extent cx="777875" cy="389890"/>
                      <wp:effectExtent l="0" t="0" r="0" b="0"/>
                      <wp:wrapNone/>
                      <wp:docPr id="78" name="文本框 78"/>
                      <wp:cNvGraphicFramePr/>
                      <a:graphic xmlns:a="http://schemas.openxmlformats.org/drawingml/2006/main">
                        <a:graphicData uri="http://schemas.microsoft.com/office/word/2010/wordprocessingShape">
                          <wps:wsp>
                            <wps:cNvSpPr txBox="1"/>
                            <wps:spPr>
                              <a:xfrm>
                                <a:off x="2477135" y="7668260"/>
                                <a:ext cx="777875" cy="3898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sz w:val="30"/>
                                      <w:szCs w:val="30"/>
                                    </w:rPr>
                                  </w:pPr>
                                  <w:r>
                                    <w:rPr>
                                      <w:rFonts w:hint="eastAsia"/>
                                      <w:sz w:val="30"/>
                                      <w:szCs w:val="30"/>
                                    </w:rPr>
                                    <w:t>10m</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0.1pt;margin-top:538.8pt;height:30.7pt;width:61.25pt;z-index:251668480;mso-width-relative:page;mso-height-relative:page;" filled="f" stroked="f" coordsize="21600,21600" o:gfxdata="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BYAAABkcnMvUEsBAhQAFAAAAAgA&#10;h07iQPAoOkHbAAAADAEAAA8AAAAAAAAAAQAgAAAAOAAAAGRycy9kb3ducmV2LnhtbFBLAQIUABQA&#10;AAAIAIdO4kBiDvxkSQIAAHMEAAAOAAAAAAAAAAEAIAAAAEABAABkcnMvZTJvRG9jLnhtbFBLBQYA&#10;AAAABgAGAFkBAAD7BQAAAAA=&#10;">
                      <v:fill on="f" focussize="0,0"/>
                      <v:stroke on="f" weight="0.5pt"/>
                      <v:imagedata o:title=""/>
                      <o:lock v:ext="edit" aspectratio="f"/>
                      <v:textbox>
                        <w:txbxContent>
                          <w:p>
                            <w:pPr>
                              <w:rPr>
                                <w:sz w:val="30"/>
                                <w:szCs w:val="30"/>
                              </w:rPr>
                            </w:pPr>
                            <w:r>
                              <w:rPr>
                                <w:rFonts w:hint="eastAsia"/>
                                <w:sz w:val="30"/>
                                <w:szCs w:val="30"/>
                              </w:rPr>
                              <w:t>10m</w:t>
                            </w:r>
                          </w:p>
                        </w:txbxContent>
                      </v:textbox>
                    </v:shape>
                  </w:pict>
                </mc:Fallback>
              </mc:AlternateContent>
            </w:r>
            <w:r>
              <w:rPr>
                <w:color w:val="auto"/>
                <w:sz w:val="28"/>
              </w:rPr>
              <w:drawing>
                <wp:anchor distT="0" distB="0" distL="114300" distR="114300" simplePos="0" relativeHeight="251666432" behindDoc="0" locked="0" layoutInCell="1" allowOverlap="1">
                  <wp:simplePos x="0" y="0"/>
                  <wp:positionH relativeFrom="margin">
                    <wp:posOffset>198755</wp:posOffset>
                  </wp:positionH>
                  <wp:positionV relativeFrom="paragraph">
                    <wp:posOffset>93980</wp:posOffset>
                  </wp:positionV>
                  <wp:extent cx="859790" cy="1084580"/>
                  <wp:effectExtent l="9525" t="9525" r="26035" b="10795"/>
                  <wp:wrapNone/>
                  <wp:docPr id="75" name="图片 75" descr="16565832010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图片 75" descr="1656583201075"/>
                          <pic:cNvPicPr>
                            <a:picLocks noChangeAspect="1"/>
                          </pic:cNvPicPr>
                        </pic:nvPicPr>
                        <pic:blipFill>
                          <a:blip r:embed="rId13"/>
                          <a:stretch>
                            <a:fillRect/>
                          </a:stretch>
                        </pic:blipFill>
                        <pic:spPr>
                          <a:xfrm>
                            <a:off x="0" y="0"/>
                            <a:ext cx="859790" cy="1084580"/>
                          </a:xfrm>
                          <a:prstGeom prst="rect">
                            <a:avLst/>
                          </a:prstGeom>
                          <a:ln>
                            <a:solidFill>
                              <a:schemeClr val="tx1"/>
                            </a:solidFill>
                          </a:ln>
                        </pic:spPr>
                      </pic:pic>
                    </a:graphicData>
                  </a:graphic>
                </wp:anchor>
              </w:drawing>
            </w:r>
            <w:r>
              <w:rPr>
                <w:rFonts w:hint="eastAsia"/>
                <w:color w:val="auto"/>
                <w:shd w:val="clear" w:color="auto" w:fill="FFFFFF"/>
              </w:rPr>
              <w:drawing>
                <wp:inline distT="0" distB="0" distL="114300" distR="114300">
                  <wp:extent cx="5295265" cy="7463155"/>
                  <wp:effectExtent l="0" t="0" r="635" b="4445"/>
                  <wp:docPr id="103" name="图片 103" descr="噪声预测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图片 103" descr="噪声预测点"/>
                          <pic:cNvPicPr>
                            <a:picLocks noChangeAspect="1"/>
                          </pic:cNvPicPr>
                        </pic:nvPicPr>
                        <pic:blipFill>
                          <a:blip r:embed="rId23"/>
                          <a:srcRect l="2304" t="2518" r="2315" b="2526"/>
                          <a:stretch>
                            <a:fillRect/>
                          </a:stretch>
                        </pic:blipFill>
                        <pic:spPr>
                          <a:xfrm>
                            <a:off x="0" y="0"/>
                            <a:ext cx="5295265" cy="7463155"/>
                          </a:xfrm>
                          <a:prstGeom prst="rect">
                            <a:avLst/>
                          </a:prstGeom>
                        </pic:spPr>
                      </pic:pic>
                    </a:graphicData>
                  </a:graphic>
                </wp:inline>
              </w:drawing>
            </w:r>
          </w:p>
          <w:p>
            <w:pPr>
              <w:pStyle w:val="22"/>
              <w:keepNext/>
              <w:adjustRightInd w:val="0"/>
              <w:snapToGrid w:val="0"/>
              <w:spacing w:before="120" w:beforeLines="50" w:after="0" w:line="240" w:lineRule="auto"/>
              <w:ind w:firstLine="422"/>
              <w:outlineLvl w:val="9"/>
              <w:rPr>
                <w:rFonts w:ascii="Times New Roman" w:hAnsi="Times New Roman"/>
                <w:kern w:val="2"/>
                <w:sz w:val="24"/>
                <w:szCs w:val="24"/>
                <w:shd w:val="clear" w:color="auto" w:fill="FFFFFF"/>
                <w:lang w:bidi="ar"/>
              </w:rPr>
            </w:pPr>
            <w:r>
              <w:rPr>
                <w:rFonts w:ascii="Times New Roman" w:hAnsi="Times New Roman" w:eastAsia="黑体"/>
                <w:bCs w:val="0"/>
                <w:sz w:val="21"/>
                <w:szCs w:val="21"/>
              </w:rPr>
              <w:t>图4.2-</w:t>
            </w:r>
            <w:r>
              <w:rPr>
                <w:rFonts w:hint="eastAsia" w:ascii="Times New Roman" w:hAnsi="Times New Roman" w:eastAsia="黑体"/>
                <w:bCs w:val="0"/>
                <w:sz w:val="21"/>
                <w:szCs w:val="21"/>
              </w:rPr>
              <w:t>3项目噪声源分布及噪声点预测</w:t>
            </w:r>
            <w:r>
              <w:rPr>
                <w:rFonts w:ascii="Times New Roman" w:hAnsi="Times New Roman" w:eastAsia="黑体"/>
                <w:bCs w:val="0"/>
                <w:sz w:val="21"/>
                <w:szCs w:val="21"/>
              </w:rPr>
              <w:t>图</w:t>
            </w:r>
          </w:p>
          <w:p>
            <w:pPr>
              <w:adjustRightInd w:val="0"/>
              <w:snapToGrid w:val="0"/>
              <w:spacing w:line="440" w:lineRule="exact"/>
              <w:rPr>
                <w:rFonts w:ascii="Times New Roman" w:hAnsi="Times New Roman" w:eastAsia="黑体"/>
                <w:b/>
                <w:bCs/>
              </w:rPr>
            </w:pPr>
            <w:r>
              <w:rPr>
                <w:rFonts w:ascii="Times New Roman" w:hAnsi="Times New Roman" w:eastAsia="黑体"/>
                <w:b/>
                <w:bCs/>
              </w:rPr>
              <w:t>4.2.</w:t>
            </w:r>
            <w:r>
              <w:rPr>
                <w:rFonts w:hint="eastAsia" w:ascii="Times New Roman" w:hAnsi="Times New Roman" w:eastAsia="黑体"/>
                <w:b/>
                <w:bCs/>
              </w:rPr>
              <w:t>4</w:t>
            </w:r>
            <w:r>
              <w:rPr>
                <w:rFonts w:ascii="Times New Roman" w:hAnsi="Times New Roman" w:eastAsia="黑体"/>
                <w:b/>
                <w:bCs/>
              </w:rPr>
              <w:t>.</w:t>
            </w:r>
            <w:r>
              <w:rPr>
                <w:rFonts w:hint="eastAsia" w:ascii="Times New Roman" w:hAnsi="Times New Roman" w:eastAsia="黑体"/>
                <w:b/>
                <w:bCs/>
              </w:rPr>
              <w:t>3预测结果</w:t>
            </w:r>
          </w:p>
          <w:p>
            <w:pPr>
              <w:pStyle w:val="46"/>
              <w:rPr>
                <w:color w:val="auto"/>
                <w:shd w:val="clear" w:color="auto" w:fill="FFFFFF"/>
                <w:lang w:bidi="ar"/>
              </w:rPr>
            </w:pPr>
            <w:r>
              <w:rPr>
                <w:rFonts w:hint="eastAsia"/>
                <w:color w:val="auto"/>
                <w:shd w:val="clear" w:color="auto" w:fill="FFFFFF"/>
                <w:lang w:bidi="ar"/>
              </w:rPr>
              <w:t>厂界预测点的噪声预测结果见下表。</w:t>
            </w:r>
          </w:p>
          <w:p>
            <w:pPr>
              <w:pStyle w:val="34"/>
              <w:spacing w:before="120"/>
              <w:ind w:firstLine="422"/>
              <w:rPr>
                <w:kern w:val="2"/>
                <w:szCs w:val="24"/>
                <w:shd w:val="clear" w:color="auto" w:fill="FFFFFF"/>
                <w:lang w:bidi="ar"/>
              </w:rPr>
            </w:pPr>
            <w:r>
              <w:rPr>
                <w:rFonts w:ascii="Times New Roman" w:hAnsi="Times New Roman"/>
                <w:b/>
                <w:bCs/>
                <w:sz w:val="21"/>
                <w:szCs w:val="21"/>
              </w:rPr>
              <w:t>表4.2-</w:t>
            </w:r>
            <w:r>
              <w:rPr>
                <w:rFonts w:hint="eastAsia" w:ascii="Times New Roman" w:hAnsi="Times New Roman"/>
                <w:b/>
                <w:bCs/>
                <w:sz w:val="21"/>
                <w:szCs w:val="21"/>
              </w:rPr>
              <w:t>7</w:t>
            </w:r>
            <w:r>
              <w:rPr>
                <w:rFonts w:ascii="Times New Roman" w:hAnsi="Times New Roman"/>
                <w:b/>
                <w:bCs/>
                <w:sz w:val="21"/>
                <w:szCs w:val="21"/>
              </w:rPr>
              <w:t xml:space="preserve"> </w:t>
            </w:r>
            <w:r>
              <w:rPr>
                <w:rFonts w:hint="eastAsia" w:ascii="Times New Roman" w:hAnsi="Times New Roman"/>
                <w:b/>
                <w:bCs/>
                <w:sz w:val="21"/>
                <w:szCs w:val="21"/>
              </w:rPr>
              <w:t>厂界噪声点预测结果</w:t>
            </w:r>
          </w:p>
          <w:tbl>
            <w:tblPr>
              <w:tblStyle w:val="25"/>
              <w:tblW w:w="8734"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0" w:type="dxa"/>
                <w:bottom w:w="0" w:type="dxa"/>
                <w:right w:w="0" w:type="dxa"/>
              </w:tblCellMar>
            </w:tblPr>
            <w:tblGrid>
              <w:gridCol w:w="911"/>
              <w:gridCol w:w="1534"/>
              <w:gridCol w:w="2722"/>
              <w:gridCol w:w="1553"/>
              <w:gridCol w:w="2014"/>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546" w:hRule="atLeast"/>
                <w:jc w:val="center"/>
              </w:trPr>
              <w:tc>
                <w:tcPr>
                  <w:tcW w:w="911" w:type="dxa"/>
                  <w:tcBorders>
                    <w:tl2br w:val="nil"/>
                    <w:tr2bl w:val="nil"/>
                  </w:tcBorders>
                  <w:shd w:val="clear" w:color="auto" w:fill="auto"/>
                  <w:vAlign w:val="center"/>
                </w:tcPr>
                <w:p>
                  <w:pPr>
                    <w:adjustRightInd w:val="0"/>
                    <w:snapToGrid w:val="0"/>
                    <w:jc w:val="center"/>
                    <w:rPr>
                      <w:sz w:val="21"/>
                      <w:szCs w:val="21"/>
                      <w:shd w:val="clear" w:color="auto" w:fill="FFFFFF"/>
                    </w:rPr>
                  </w:pPr>
                  <w:bookmarkStart w:id="15" w:name="_Hlk297299088"/>
                  <w:r>
                    <w:rPr>
                      <w:rFonts w:hint="eastAsia" w:ascii="Times New Roman" w:hAnsi="Times New Roman" w:cs="宋体"/>
                      <w:sz w:val="21"/>
                      <w:szCs w:val="21"/>
                      <w:shd w:val="clear" w:color="auto" w:fill="FFFFFF"/>
                    </w:rPr>
                    <w:t>编号</w:t>
                  </w:r>
                </w:p>
              </w:tc>
              <w:tc>
                <w:tcPr>
                  <w:tcW w:w="1534" w:type="dxa"/>
                  <w:tcBorders>
                    <w:tl2br w:val="nil"/>
                    <w:tr2bl w:val="nil"/>
                  </w:tcBorders>
                  <w:shd w:val="clear" w:color="auto" w:fill="auto"/>
                  <w:vAlign w:val="center"/>
                </w:tcPr>
                <w:p>
                  <w:pPr>
                    <w:adjustRightInd w:val="0"/>
                    <w:snapToGrid w:val="0"/>
                    <w:jc w:val="center"/>
                    <w:rPr>
                      <w:sz w:val="21"/>
                      <w:szCs w:val="21"/>
                      <w:shd w:val="clear" w:color="auto" w:fill="FFFFFF"/>
                    </w:rPr>
                  </w:pPr>
                  <w:r>
                    <w:rPr>
                      <w:rFonts w:hint="eastAsia" w:ascii="Times New Roman" w:hAnsi="Times New Roman" w:cs="宋体"/>
                      <w:sz w:val="21"/>
                      <w:szCs w:val="21"/>
                      <w:shd w:val="clear" w:color="auto" w:fill="FFFFFF"/>
                    </w:rPr>
                    <w:t>预测点</w:t>
                  </w:r>
                  <w:r>
                    <w:rPr>
                      <w:rFonts w:hint="eastAsia" w:ascii="Times New Roman" w:hAnsi="Times New Roman" w:cs="宋体"/>
                      <w:kern w:val="0"/>
                      <w:sz w:val="21"/>
                      <w:szCs w:val="21"/>
                      <w:shd w:val="clear" w:color="auto" w:fill="FFFFFF"/>
                      <w:vertAlign w:val="superscript"/>
                    </w:rPr>
                    <w:t>注</w:t>
                  </w:r>
                </w:p>
              </w:tc>
              <w:tc>
                <w:tcPr>
                  <w:tcW w:w="2722" w:type="dxa"/>
                  <w:tcBorders>
                    <w:tl2br w:val="nil"/>
                    <w:tr2bl w:val="nil"/>
                  </w:tcBorders>
                  <w:shd w:val="clear" w:color="auto" w:fill="auto"/>
                  <w:vAlign w:val="center"/>
                </w:tcPr>
                <w:p>
                  <w:pPr>
                    <w:adjustRightInd w:val="0"/>
                    <w:snapToGrid w:val="0"/>
                    <w:jc w:val="center"/>
                    <w:rPr>
                      <w:sz w:val="21"/>
                      <w:szCs w:val="21"/>
                      <w:shd w:val="clear" w:color="auto" w:fill="FFFFFF"/>
                    </w:rPr>
                  </w:pPr>
                  <w:r>
                    <w:rPr>
                      <w:rFonts w:hint="eastAsia" w:ascii="Times New Roman" w:hAnsi="Times New Roman" w:cs="宋体"/>
                      <w:sz w:val="21"/>
                      <w:szCs w:val="21"/>
                      <w:shd w:val="clear" w:color="auto" w:fill="FFFFFF"/>
                      <w:lang w:bidi="ar"/>
                    </w:rPr>
                    <w:t>贡献值</w:t>
                  </w:r>
                  <w:r>
                    <w:rPr>
                      <w:rFonts w:hint="eastAsia" w:ascii="Times New Roman" w:hAnsi="Times New Roman" w:cs="宋体"/>
                      <w:sz w:val="21"/>
                      <w:szCs w:val="21"/>
                      <w:shd w:val="clear" w:color="auto" w:fill="FFFFFF"/>
                    </w:rPr>
                    <w:t>（</w:t>
                  </w:r>
                  <w:r>
                    <w:rPr>
                      <w:sz w:val="21"/>
                      <w:szCs w:val="21"/>
                      <w:shd w:val="clear" w:color="auto" w:fill="FFFFFF"/>
                    </w:rPr>
                    <w:t>dB(A)</w:t>
                  </w:r>
                  <w:r>
                    <w:rPr>
                      <w:rFonts w:hint="eastAsia" w:ascii="Times New Roman" w:hAnsi="Times New Roman" w:cs="宋体"/>
                      <w:sz w:val="21"/>
                      <w:szCs w:val="21"/>
                      <w:shd w:val="clear" w:color="auto" w:fill="FFFFFF"/>
                    </w:rPr>
                    <w:t>）</w:t>
                  </w:r>
                </w:p>
              </w:tc>
              <w:tc>
                <w:tcPr>
                  <w:tcW w:w="1553" w:type="dxa"/>
                  <w:tcBorders>
                    <w:tl2br w:val="nil"/>
                    <w:tr2bl w:val="nil"/>
                  </w:tcBorders>
                  <w:shd w:val="clear" w:color="auto" w:fill="auto"/>
                  <w:vAlign w:val="center"/>
                </w:tcPr>
                <w:p>
                  <w:pPr>
                    <w:autoSpaceDE w:val="0"/>
                    <w:autoSpaceDN w:val="0"/>
                    <w:adjustRightInd w:val="0"/>
                    <w:jc w:val="center"/>
                    <w:rPr>
                      <w:kern w:val="0"/>
                      <w:sz w:val="21"/>
                      <w:szCs w:val="21"/>
                      <w:shd w:val="clear" w:color="auto" w:fill="FFFFFF"/>
                    </w:rPr>
                  </w:pPr>
                  <w:r>
                    <w:rPr>
                      <w:rFonts w:hint="eastAsia" w:ascii="Times New Roman" w:hAnsi="Times New Roman" w:cs="宋体"/>
                      <w:kern w:val="0"/>
                      <w:sz w:val="21"/>
                      <w:szCs w:val="21"/>
                      <w:shd w:val="clear" w:color="auto" w:fill="FFFFFF"/>
                    </w:rPr>
                    <w:t>执行标准</w:t>
                  </w:r>
                </w:p>
              </w:tc>
              <w:tc>
                <w:tcPr>
                  <w:tcW w:w="2014" w:type="dxa"/>
                  <w:tcBorders>
                    <w:tl2br w:val="nil"/>
                    <w:tr2bl w:val="nil"/>
                  </w:tcBorders>
                  <w:shd w:val="clear" w:color="auto" w:fill="auto"/>
                  <w:vAlign w:val="center"/>
                </w:tcPr>
                <w:p>
                  <w:pPr>
                    <w:autoSpaceDE w:val="0"/>
                    <w:autoSpaceDN w:val="0"/>
                    <w:adjustRightInd w:val="0"/>
                    <w:jc w:val="center"/>
                    <w:rPr>
                      <w:kern w:val="0"/>
                      <w:sz w:val="21"/>
                      <w:szCs w:val="21"/>
                      <w:shd w:val="clear" w:color="auto" w:fill="FFFFFF"/>
                    </w:rPr>
                  </w:pPr>
                  <w:r>
                    <w:rPr>
                      <w:rFonts w:hint="eastAsia" w:ascii="Times New Roman" w:hAnsi="Times New Roman" w:cs="宋体"/>
                      <w:kern w:val="0"/>
                      <w:sz w:val="21"/>
                      <w:szCs w:val="21"/>
                      <w:shd w:val="clear" w:color="auto" w:fill="FFFFFF"/>
                    </w:rPr>
                    <w:t>达标情况</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911" w:type="dxa"/>
                  <w:tcBorders>
                    <w:tl2br w:val="nil"/>
                    <w:tr2bl w:val="nil"/>
                  </w:tcBorders>
                  <w:shd w:val="clear" w:color="auto" w:fill="auto"/>
                  <w:vAlign w:val="center"/>
                </w:tcPr>
                <w:p>
                  <w:pPr>
                    <w:adjustRightInd w:val="0"/>
                    <w:snapToGrid w:val="0"/>
                    <w:jc w:val="center"/>
                    <w:rPr>
                      <w:sz w:val="21"/>
                      <w:szCs w:val="21"/>
                      <w:shd w:val="clear" w:color="auto" w:fill="FFFFFF"/>
                    </w:rPr>
                  </w:pPr>
                  <w:bookmarkStart w:id="16" w:name="_Hlk298349965"/>
                  <w:r>
                    <w:rPr>
                      <w:sz w:val="21"/>
                      <w:szCs w:val="21"/>
                      <w:shd w:val="clear" w:color="auto" w:fill="FFFFFF"/>
                    </w:rPr>
                    <w:t>N1</w:t>
                  </w:r>
                </w:p>
              </w:tc>
              <w:tc>
                <w:tcPr>
                  <w:tcW w:w="1534" w:type="dxa"/>
                  <w:tcBorders>
                    <w:tl2br w:val="nil"/>
                    <w:tr2bl w:val="nil"/>
                  </w:tcBorders>
                  <w:shd w:val="clear" w:color="auto" w:fill="auto"/>
                  <w:vAlign w:val="center"/>
                </w:tcPr>
                <w:p>
                  <w:pPr>
                    <w:adjustRightInd w:val="0"/>
                    <w:snapToGrid w:val="0"/>
                    <w:jc w:val="center"/>
                    <w:rPr>
                      <w:sz w:val="21"/>
                      <w:szCs w:val="21"/>
                      <w:shd w:val="clear" w:color="auto" w:fill="FFFFFF"/>
                    </w:rPr>
                  </w:pPr>
                  <w:r>
                    <w:rPr>
                      <w:rFonts w:hint="eastAsia" w:ascii="Times New Roman" w:hAnsi="Times New Roman" w:cs="宋体"/>
                      <w:sz w:val="21"/>
                      <w:szCs w:val="21"/>
                      <w:shd w:val="clear" w:color="auto" w:fill="FFFFFF"/>
                    </w:rPr>
                    <w:t>厂界东</w:t>
                  </w:r>
                  <w:r>
                    <w:rPr>
                      <w:sz w:val="21"/>
                      <w:szCs w:val="21"/>
                      <w:shd w:val="clear" w:color="auto" w:fill="FFFFFF"/>
                    </w:rPr>
                    <w:t>1#</w:t>
                  </w:r>
                </w:p>
              </w:tc>
              <w:tc>
                <w:tcPr>
                  <w:tcW w:w="2722" w:type="dxa"/>
                  <w:tcBorders>
                    <w:tl2br w:val="nil"/>
                    <w:tr2bl w:val="nil"/>
                  </w:tcBorders>
                  <w:shd w:val="clear" w:color="auto" w:fill="auto"/>
                  <w:vAlign w:val="center"/>
                </w:tcPr>
                <w:p>
                  <w:pPr>
                    <w:jc w:val="center"/>
                    <w:rPr>
                      <w:sz w:val="21"/>
                      <w:szCs w:val="21"/>
                      <w:shd w:val="clear" w:color="auto" w:fill="FFFFFF"/>
                    </w:rPr>
                  </w:pPr>
                  <w:r>
                    <w:rPr>
                      <w:rFonts w:hint="eastAsia"/>
                      <w:sz w:val="21"/>
                      <w:szCs w:val="21"/>
                      <w:shd w:val="clear" w:color="auto" w:fill="FFFFFF"/>
                    </w:rPr>
                    <w:t>57.77</w:t>
                  </w:r>
                </w:p>
              </w:tc>
              <w:tc>
                <w:tcPr>
                  <w:tcW w:w="1553" w:type="dxa"/>
                  <w:tcBorders>
                    <w:tl2br w:val="nil"/>
                    <w:tr2bl w:val="nil"/>
                  </w:tcBorders>
                  <w:shd w:val="clear" w:color="auto" w:fill="auto"/>
                  <w:vAlign w:val="center"/>
                </w:tcPr>
                <w:p>
                  <w:pPr>
                    <w:autoSpaceDE w:val="0"/>
                    <w:autoSpaceDN w:val="0"/>
                    <w:adjustRightInd w:val="0"/>
                    <w:jc w:val="center"/>
                    <w:rPr>
                      <w:kern w:val="0"/>
                      <w:sz w:val="21"/>
                      <w:szCs w:val="21"/>
                      <w:shd w:val="clear" w:color="auto" w:fill="FFFFFF"/>
                    </w:rPr>
                  </w:pPr>
                  <w:r>
                    <w:rPr>
                      <w:rFonts w:hint="eastAsia"/>
                      <w:kern w:val="0"/>
                      <w:sz w:val="21"/>
                      <w:szCs w:val="21"/>
                      <w:shd w:val="clear" w:color="auto" w:fill="FFFFFF"/>
                    </w:rPr>
                    <w:t>60</w:t>
                  </w:r>
                </w:p>
              </w:tc>
              <w:tc>
                <w:tcPr>
                  <w:tcW w:w="2014" w:type="dxa"/>
                  <w:tcBorders>
                    <w:tl2br w:val="nil"/>
                    <w:tr2bl w:val="nil"/>
                  </w:tcBorders>
                  <w:shd w:val="clear" w:color="auto" w:fill="auto"/>
                  <w:vAlign w:val="center"/>
                </w:tcPr>
                <w:p>
                  <w:pPr>
                    <w:autoSpaceDE w:val="0"/>
                    <w:autoSpaceDN w:val="0"/>
                    <w:adjustRightInd w:val="0"/>
                    <w:jc w:val="center"/>
                    <w:rPr>
                      <w:kern w:val="0"/>
                      <w:sz w:val="21"/>
                      <w:szCs w:val="21"/>
                      <w:shd w:val="clear" w:color="auto" w:fill="FFFFFF"/>
                    </w:rPr>
                  </w:pPr>
                  <w:r>
                    <w:rPr>
                      <w:rFonts w:hint="eastAsia" w:ascii="Times New Roman" w:hAnsi="Times New Roman" w:cs="宋体"/>
                      <w:kern w:val="0"/>
                      <w:sz w:val="21"/>
                      <w:szCs w:val="21"/>
                      <w:shd w:val="clear" w:color="auto" w:fill="FFFFFF"/>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911" w:type="dxa"/>
                  <w:tcBorders>
                    <w:tl2br w:val="nil"/>
                    <w:tr2bl w:val="nil"/>
                  </w:tcBorders>
                  <w:shd w:val="clear" w:color="auto" w:fill="auto"/>
                  <w:vAlign w:val="center"/>
                </w:tcPr>
                <w:p>
                  <w:pPr>
                    <w:adjustRightInd w:val="0"/>
                    <w:snapToGrid w:val="0"/>
                    <w:jc w:val="center"/>
                    <w:rPr>
                      <w:sz w:val="21"/>
                      <w:szCs w:val="21"/>
                      <w:shd w:val="clear" w:color="auto" w:fill="FFFFFF"/>
                    </w:rPr>
                  </w:pPr>
                  <w:r>
                    <w:rPr>
                      <w:sz w:val="21"/>
                      <w:szCs w:val="21"/>
                      <w:shd w:val="clear" w:color="auto" w:fill="FFFFFF"/>
                    </w:rPr>
                    <w:t>N2</w:t>
                  </w:r>
                </w:p>
              </w:tc>
              <w:tc>
                <w:tcPr>
                  <w:tcW w:w="1534" w:type="dxa"/>
                  <w:tcBorders>
                    <w:tl2br w:val="nil"/>
                    <w:tr2bl w:val="nil"/>
                  </w:tcBorders>
                  <w:shd w:val="clear" w:color="auto" w:fill="auto"/>
                  <w:vAlign w:val="center"/>
                </w:tcPr>
                <w:p>
                  <w:pPr>
                    <w:adjustRightInd w:val="0"/>
                    <w:snapToGrid w:val="0"/>
                    <w:jc w:val="center"/>
                    <w:rPr>
                      <w:sz w:val="21"/>
                      <w:szCs w:val="21"/>
                      <w:shd w:val="clear" w:color="auto" w:fill="FFFFFF"/>
                    </w:rPr>
                  </w:pPr>
                  <w:r>
                    <w:rPr>
                      <w:rFonts w:hint="eastAsia" w:ascii="Times New Roman" w:hAnsi="Times New Roman" w:cs="宋体"/>
                      <w:sz w:val="21"/>
                      <w:szCs w:val="21"/>
                      <w:shd w:val="clear" w:color="auto" w:fill="FFFFFF"/>
                    </w:rPr>
                    <w:t>厂界西侧</w:t>
                  </w:r>
                  <w:r>
                    <w:rPr>
                      <w:sz w:val="21"/>
                      <w:szCs w:val="21"/>
                      <w:shd w:val="clear" w:color="auto" w:fill="FFFFFF"/>
                    </w:rPr>
                    <w:t>2#</w:t>
                  </w:r>
                </w:p>
              </w:tc>
              <w:tc>
                <w:tcPr>
                  <w:tcW w:w="2722" w:type="dxa"/>
                  <w:tcBorders>
                    <w:tl2br w:val="nil"/>
                    <w:tr2bl w:val="nil"/>
                  </w:tcBorders>
                  <w:shd w:val="clear" w:color="auto" w:fill="auto"/>
                  <w:vAlign w:val="center"/>
                </w:tcPr>
                <w:p>
                  <w:pPr>
                    <w:jc w:val="center"/>
                    <w:rPr>
                      <w:sz w:val="21"/>
                      <w:szCs w:val="21"/>
                      <w:shd w:val="clear" w:color="auto" w:fill="FFFFFF"/>
                    </w:rPr>
                  </w:pPr>
                  <w:r>
                    <w:rPr>
                      <w:rFonts w:hint="eastAsia"/>
                      <w:sz w:val="21"/>
                      <w:szCs w:val="21"/>
                      <w:shd w:val="clear" w:color="auto" w:fill="FFFFFF"/>
                    </w:rPr>
                    <w:t>58.14</w:t>
                  </w:r>
                </w:p>
              </w:tc>
              <w:tc>
                <w:tcPr>
                  <w:tcW w:w="1553" w:type="dxa"/>
                  <w:tcBorders>
                    <w:tl2br w:val="nil"/>
                    <w:tr2bl w:val="nil"/>
                  </w:tcBorders>
                  <w:shd w:val="clear" w:color="auto" w:fill="auto"/>
                  <w:vAlign w:val="center"/>
                </w:tcPr>
                <w:p>
                  <w:pPr>
                    <w:autoSpaceDE w:val="0"/>
                    <w:autoSpaceDN w:val="0"/>
                    <w:adjustRightInd w:val="0"/>
                    <w:jc w:val="center"/>
                    <w:rPr>
                      <w:kern w:val="0"/>
                      <w:sz w:val="21"/>
                      <w:szCs w:val="21"/>
                      <w:shd w:val="clear" w:color="auto" w:fill="FFFFFF"/>
                    </w:rPr>
                  </w:pPr>
                  <w:r>
                    <w:rPr>
                      <w:rFonts w:hint="eastAsia"/>
                      <w:kern w:val="0"/>
                      <w:sz w:val="21"/>
                      <w:szCs w:val="21"/>
                      <w:shd w:val="clear" w:color="auto" w:fill="FFFFFF"/>
                    </w:rPr>
                    <w:t>60</w:t>
                  </w:r>
                </w:p>
              </w:tc>
              <w:tc>
                <w:tcPr>
                  <w:tcW w:w="2014" w:type="dxa"/>
                  <w:tcBorders>
                    <w:tl2br w:val="nil"/>
                    <w:tr2bl w:val="nil"/>
                  </w:tcBorders>
                  <w:shd w:val="clear" w:color="auto" w:fill="auto"/>
                  <w:vAlign w:val="center"/>
                </w:tcPr>
                <w:p>
                  <w:pPr>
                    <w:autoSpaceDE w:val="0"/>
                    <w:autoSpaceDN w:val="0"/>
                    <w:adjustRightInd w:val="0"/>
                    <w:jc w:val="center"/>
                    <w:rPr>
                      <w:kern w:val="0"/>
                      <w:sz w:val="21"/>
                      <w:szCs w:val="21"/>
                      <w:shd w:val="clear" w:color="auto" w:fill="FFFFFF"/>
                    </w:rPr>
                  </w:pPr>
                  <w:r>
                    <w:rPr>
                      <w:rFonts w:hint="eastAsia" w:ascii="Times New Roman" w:hAnsi="Times New Roman" w:cs="宋体"/>
                      <w:kern w:val="0"/>
                      <w:sz w:val="21"/>
                      <w:szCs w:val="21"/>
                      <w:shd w:val="clear" w:color="auto" w:fill="FFFFFF"/>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911" w:type="dxa"/>
                  <w:tcBorders>
                    <w:tl2br w:val="nil"/>
                    <w:tr2bl w:val="nil"/>
                  </w:tcBorders>
                  <w:shd w:val="clear" w:color="auto" w:fill="auto"/>
                  <w:vAlign w:val="center"/>
                </w:tcPr>
                <w:p>
                  <w:pPr>
                    <w:adjustRightInd w:val="0"/>
                    <w:snapToGrid w:val="0"/>
                    <w:jc w:val="center"/>
                    <w:rPr>
                      <w:sz w:val="21"/>
                      <w:szCs w:val="21"/>
                      <w:shd w:val="clear" w:color="auto" w:fill="FFFFFF"/>
                    </w:rPr>
                  </w:pPr>
                  <w:r>
                    <w:rPr>
                      <w:sz w:val="21"/>
                      <w:szCs w:val="21"/>
                      <w:shd w:val="clear" w:color="auto" w:fill="FFFFFF"/>
                    </w:rPr>
                    <w:t>N</w:t>
                  </w:r>
                  <w:r>
                    <w:rPr>
                      <w:rFonts w:hint="eastAsia"/>
                      <w:sz w:val="21"/>
                      <w:szCs w:val="21"/>
                      <w:shd w:val="clear" w:color="auto" w:fill="FFFFFF"/>
                    </w:rPr>
                    <w:t>3</w:t>
                  </w:r>
                </w:p>
              </w:tc>
              <w:tc>
                <w:tcPr>
                  <w:tcW w:w="1534" w:type="dxa"/>
                  <w:tcBorders>
                    <w:tl2br w:val="nil"/>
                    <w:tr2bl w:val="nil"/>
                  </w:tcBorders>
                  <w:shd w:val="clear" w:color="auto" w:fill="auto"/>
                  <w:vAlign w:val="center"/>
                </w:tcPr>
                <w:p>
                  <w:pPr>
                    <w:adjustRightInd w:val="0"/>
                    <w:snapToGrid w:val="0"/>
                    <w:jc w:val="center"/>
                    <w:rPr>
                      <w:sz w:val="21"/>
                      <w:szCs w:val="21"/>
                      <w:shd w:val="clear" w:color="auto" w:fill="FFFFFF"/>
                    </w:rPr>
                  </w:pPr>
                  <w:r>
                    <w:rPr>
                      <w:rFonts w:hint="eastAsia" w:ascii="Times New Roman" w:hAnsi="Times New Roman" w:cs="宋体"/>
                      <w:sz w:val="21"/>
                      <w:szCs w:val="21"/>
                      <w:shd w:val="clear" w:color="auto" w:fill="FFFFFF"/>
                    </w:rPr>
                    <w:t>厂界西侧</w:t>
                  </w:r>
                  <w:r>
                    <w:rPr>
                      <w:rFonts w:hint="eastAsia"/>
                      <w:sz w:val="21"/>
                      <w:szCs w:val="21"/>
                      <w:shd w:val="clear" w:color="auto" w:fill="FFFFFF"/>
                    </w:rPr>
                    <w:t>3</w:t>
                  </w:r>
                  <w:r>
                    <w:rPr>
                      <w:sz w:val="21"/>
                      <w:szCs w:val="21"/>
                      <w:shd w:val="clear" w:color="auto" w:fill="FFFFFF"/>
                    </w:rPr>
                    <w:t>#</w:t>
                  </w:r>
                </w:p>
              </w:tc>
              <w:tc>
                <w:tcPr>
                  <w:tcW w:w="2722" w:type="dxa"/>
                  <w:tcBorders>
                    <w:tl2br w:val="nil"/>
                    <w:tr2bl w:val="nil"/>
                  </w:tcBorders>
                  <w:shd w:val="clear" w:color="auto" w:fill="auto"/>
                  <w:vAlign w:val="center"/>
                </w:tcPr>
                <w:p>
                  <w:pPr>
                    <w:jc w:val="center"/>
                    <w:rPr>
                      <w:sz w:val="21"/>
                      <w:szCs w:val="21"/>
                      <w:shd w:val="clear" w:color="auto" w:fill="FFFFFF"/>
                    </w:rPr>
                  </w:pPr>
                  <w:r>
                    <w:rPr>
                      <w:rFonts w:hint="eastAsia"/>
                      <w:sz w:val="21"/>
                      <w:szCs w:val="21"/>
                      <w:shd w:val="clear" w:color="auto" w:fill="FFFFFF"/>
                    </w:rPr>
                    <w:t>55.92</w:t>
                  </w:r>
                </w:p>
              </w:tc>
              <w:tc>
                <w:tcPr>
                  <w:tcW w:w="1553" w:type="dxa"/>
                  <w:tcBorders>
                    <w:tl2br w:val="nil"/>
                    <w:tr2bl w:val="nil"/>
                  </w:tcBorders>
                  <w:shd w:val="clear" w:color="auto" w:fill="auto"/>
                  <w:vAlign w:val="center"/>
                </w:tcPr>
                <w:p>
                  <w:pPr>
                    <w:autoSpaceDE w:val="0"/>
                    <w:autoSpaceDN w:val="0"/>
                    <w:adjustRightInd w:val="0"/>
                    <w:jc w:val="center"/>
                    <w:rPr>
                      <w:kern w:val="0"/>
                      <w:sz w:val="21"/>
                      <w:szCs w:val="21"/>
                      <w:shd w:val="clear" w:color="auto" w:fill="FFFFFF"/>
                    </w:rPr>
                  </w:pPr>
                  <w:r>
                    <w:rPr>
                      <w:rFonts w:hint="eastAsia"/>
                      <w:kern w:val="0"/>
                      <w:sz w:val="21"/>
                      <w:szCs w:val="21"/>
                      <w:shd w:val="clear" w:color="auto" w:fill="FFFFFF"/>
                    </w:rPr>
                    <w:t>60</w:t>
                  </w:r>
                </w:p>
              </w:tc>
              <w:tc>
                <w:tcPr>
                  <w:tcW w:w="2014" w:type="dxa"/>
                  <w:tcBorders>
                    <w:tl2br w:val="nil"/>
                    <w:tr2bl w:val="nil"/>
                  </w:tcBorders>
                  <w:shd w:val="clear" w:color="auto" w:fill="auto"/>
                  <w:vAlign w:val="center"/>
                </w:tcPr>
                <w:p>
                  <w:pPr>
                    <w:autoSpaceDE w:val="0"/>
                    <w:autoSpaceDN w:val="0"/>
                    <w:adjustRightInd w:val="0"/>
                    <w:jc w:val="center"/>
                    <w:rPr>
                      <w:kern w:val="0"/>
                      <w:sz w:val="21"/>
                      <w:szCs w:val="21"/>
                      <w:shd w:val="clear" w:color="auto" w:fill="FFFFFF"/>
                    </w:rPr>
                  </w:pPr>
                  <w:r>
                    <w:rPr>
                      <w:rFonts w:hint="eastAsia" w:ascii="Times New Roman" w:hAnsi="Times New Roman" w:cs="宋体"/>
                      <w:kern w:val="0"/>
                      <w:sz w:val="21"/>
                      <w:szCs w:val="21"/>
                      <w:shd w:val="clear" w:color="auto" w:fill="FFFFFF"/>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734" w:type="dxa"/>
                  <w:gridSpan w:val="5"/>
                  <w:tcBorders>
                    <w:tl2br w:val="nil"/>
                    <w:tr2bl w:val="nil"/>
                  </w:tcBorders>
                  <w:shd w:val="clear" w:color="auto" w:fill="auto"/>
                  <w:vAlign w:val="center"/>
                </w:tcPr>
                <w:p>
                  <w:pPr>
                    <w:autoSpaceDE w:val="0"/>
                    <w:autoSpaceDN w:val="0"/>
                    <w:adjustRightInd w:val="0"/>
                    <w:jc w:val="left"/>
                    <w:rPr>
                      <w:rFonts w:ascii="Times New Roman" w:hAnsi="Times New Roman" w:cs="宋体"/>
                      <w:kern w:val="0"/>
                      <w:sz w:val="21"/>
                      <w:szCs w:val="21"/>
                      <w:shd w:val="clear" w:color="auto" w:fill="FFFFFF"/>
                    </w:rPr>
                  </w:pPr>
                  <w:r>
                    <w:rPr>
                      <w:rFonts w:hint="eastAsia" w:ascii="Times New Roman" w:hAnsi="Times New Roman" w:cs="宋体"/>
                      <w:kern w:val="0"/>
                      <w:sz w:val="21"/>
                      <w:szCs w:val="21"/>
                      <w:shd w:val="clear" w:color="auto" w:fill="FFFFFF"/>
                    </w:rPr>
                    <w:t>备注：项目厂界南侧受限地理位置，故不设置预测点；项目夜间不生产，故夜间不进行预测</w:t>
                  </w:r>
                </w:p>
              </w:tc>
            </w:tr>
            <w:bookmarkEnd w:id="15"/>
            <w:bookmarkEnd w:id="16"/>
          </w:tbl>
          <w:p>
            <w:pPr>
              <w:spacing w:line="420" w:lineRule="atLeast"/>
              <w:ind w:firstLine="480" w:firstLineChars="200"/>
              <w:rPr>
                <w:highlight w:val="yellow"/>
              </w:rPr>
            </w:pPr>
            <w:r>
              <w:rPr>
                <w:rFonts w:hint="eastAsia" w:ascii="Times New Roman" w:hAnsi="Times New Roman" w:cs="宋体"/>
                <w:shd w:val="clear" w:color="auto" w:fill="FFFFFF"/>
                <w:lang w:bidi="ar"/>
              </w:rPr>
              <w:t>根据预测结果，项目厂界昼间噪声贡献值可达到《工业企业厂界环境噪声排放标准》</w:t>
            </w:r>
            <w:r>
              <w:rPr>
                <w:rFonts w:ascii="Times New Roman" w:hAnsi="Times New Roman"/>
                <w:shd w:val="clear" w:color="auto" w:fill="FFFFFF"/>
                <w:lang w:bidi="ar"/>
              </w:rPr>
              <w:t>(GB12348-2008)</w:t>
            </w:r>
            <w:r>
              <w:rPr>
                <w:rFonts w:hint="eastAsia" w:ascii="Times New Roman" w:hAnsi="Times New Roman"/>
                <w:shd w:val="clear" w:color="auto" w:fill="FFFFFF"/>
                <w:lang w:bidi="ar"/>
              </w:rPr>
              <w:t>2</w:t>
            </w:r>
            <w:r>
              <w:rPr>
                <w:rFonts w:hint="eastAsia" w:ascii="Times New Roman" w:hAnsi="Times New Roman" w:cs="宋体"/>
                <w:shd w:val="clear" w:color="auto" w:fill="FFFFFF"/>
                <w:lang w:bidi="ar"/>
              </w:rPr>
              <w:t>类标准</w:t>
            </w:r>
            <w:bookmarkEnd w:id="14"/>
            <w:r>
              <w:t>。</w:t>
            </w:r>
          </w:p>
          <w:p>
            <w:pPr>
              <w:pStyle w:val="8"/>
              <w:numPr>
                <w:ilvl w:val="0"/>
                <w:numId w:val="0"/>
              </w:numPr>
              <w:spacing w:line="440" w:lineRule="exact"/>
              <w:rPr>
                <w:rFonts w:ascii="Times New Roman" w:hAnsi="Times New Roman"/>
                <w:szCs w:val="24"/>
              </w:rPr>
            </w:pPr>
            <w:r>
              <w:rPr>
                <w:rFonts w:ascii="Times New Roman" w:hAnsi="Times New Roman"/>
                <w:szCs w:val="24"/>
              </w:rPr>
              <w:t>4.2.</w:t>
            </w:r>
            <w:r>
              <w:rPr>
                <w:rFonts w:hint="eastAsia" w:ascii="Times New Roman" w:hAnsi="Times New Roman"/>
                <w:szCs w:val="24"/>
              </w:rPr>
              <w:t>5</w:t>
            </w:r>
            <w:r>
              <w:rPr>
                <w:rFonts w:ascii="Times New Roman" w:hAnsi="Times New Roman"/>
                <w:szCs w:val="24"/>
              </w:rPr>
              <w:t>固体废物</w:t>
            </w:r>
          </w:p>
          <w:p>
            <w:pPr>
              <w:widowControl/>
              <w:spacing w:line="440" w:lineRule="exact"/>
              <w:rPr>
                <w:rFonts w:ascii="Times New Roman" w:hAnsi="Times New Roman"/>
                <w:b/>
              </w:rPr>
            </w:pPr>
            <w:r>
              <w:rPr>
                <w:rFonts w:ascii="Times New Roman" w:hAnsi="Times New Roman"/>
                <w:b/>
              </w:rPr>
              <w:t>4.2.</w:t>
            </w:r>
            <w:r>
              <w:rPr>
                <w:rFonts w:hint="eastAsia" w:ascii="Times New Roman" w:hAnsi="Times New Roman"/>
                <w:b/>
              </w:rPr>
              <w:t>5</w:t>
            </w:r>
            <w:r>
              <w:rPr>
                <w:rFonts w:ascii="Times New Roman" w:hAnsi="Times New Roman"/>
                <w:b/>
              </w:rPr>
              <w:t>.1固体废物产生及处置情况</w:t>
            </w:r>
          </w:p>
          <w:p>
            <w:pPr>
              <w:widowControl/>
              <w:spacing w:line="440" w:lineRule="exact"/>
              <w:ind w:firstLine="480" w:firstLineChars="200"/>
              <w:rPr>
                <w:rFonts w:ascii="Times New Roman" w:hAnsi="Times New Roman"/>
              </w:rPr>
            </w:pPr>
            <w:r>
              <w:rPr>
                <w:rFonts w:ascii="Times New Roman" w:hAnsi="Times New Roman"/>
              </w:rPr>
              <w:t>项目</w:t>
            </w:r>
            <w:r>
              <w:rPr>
                <w:rFonts w:hint="eastAsia" w:ascii="Times New Roman" w:hAnsi="Times New Roman"/>
              </w:rPr>
              <w:t>运营期</w:t>
            </w:r>
            <w:r>
              <w:rPr>
                <w:rFonts w:ascii="Times New Roman" w:hAnsi="Times New Roman"/>
              </w:rPr>
              <w:t>固废主要</w:t>
            </w:r>
            <w:r>
              <w:rPr>
                <w:rFonts w:hint="eastAsia" w:ascii="Times New Roman" w:hAnsi="Times New Roman"/>
              </w:rPr>
              <w:t>为</w:t>
            </w:r>
            <w:r>
              <w:rPr>
                <w:rFonts w:ascii="Times New Roman" w:hAnsi="Times New Roman"/>
              </w:rPr>
              <w:t>污泥</w:t>
            </w:r>
            <w:r>
              <w:rPr>
                <w:rFonts w:hint="eastAsia" w:ascii="Times New Roman" w:hAnsi="Times New Roman"/>
              </w:rPr>
              <w:t>、压滤机废滤布、尾渣、</w:t>
            </w:r>
            <w:r>
              <w:rPr>
                <w:rFonts w:ascii="Times New Roman" w:hAnsi="Times New Roman"/>
              </w:rPr>
              <w:t>设备运营过程中产生的少量废机油</w:t>
            </w:r>
            <w:r>
              <w:rPr>
                <w:rFonts w:hint="eastAsia" w:ascii="Times New Roman" w:hAnsi="Times New Roman"/>
              </w:rPr>
              <w:t>、隔油池产生的少量浮油及</w:t>
            </w:r>
            <w:r>
              <w:rPr>
                <w:rFonts w:ascii="Times New Roman" w:hAnsi="Times New Roman"/>
              </w:rPr>
              <w:t>生活垃圾</w:t>
            </w:r>
            <w:r>
              <w:rPr>
                <w:rFonts w:hint="eastAsia" w:ascii="Times New Roman" w:hAnsi="Times New Roman"/>
              </w:rPr>
              <w:t>。</w:t>
            </w:r>
          </w:p>
          <w:p>
            <w:pPr>
              <w:widowControl/>
              <w:spacing w:line="440" w:lineRule="exact"/>
              <w:ind w:firstLine="480" w:firstLineChars="200"/>
              <w:rPr>
                <w:rFonts w:ascii="Times New Roman" w:hAnsi="Times New Roman"/>
              </w:rPr>
            </w:pPr>
            <w:r>
              <w:rPr>
                <w:rFonts w:ascii="Times New Roman" w:hAnsi="Times New Roman"/>
              </w:rPr>
              <w:t>（1）污泥</w:t>
            </w:r>
          </w:p>
          <w:p>
            <w:pPr>
              <w:pStyle w:val="46"/>
              <w:rPr>
                <w:color w:val="auto"/>
              </w:rPr>
            </w:pPr>
            <w:r>
              <w:rPr>
                <w:color w:val="auto"/>
              </w:rPr>
              <w:t>项目生产废水经</w:t>
            </w:r>
            <w:r>
              <w:rPr>
                <w:rFonts w:hint="eastAsia"/>
                <w:color w:val="auto"/>
              </w:rPr>
              <w:t>“隔油池+沉淀池”</w:t>
            </w:r>
            <w:r>
              <w:rPr>
                <w:color w:val="auto"/>
              </w:rPr>
              <w:t>处理后，下层为泥水混合物，</w:t>
            </w:r>
            <w:r>
              <w:rPr>
                <w:rFonts w:hint="eastAsia"/>
                <w:color w:val="auto"/>
              </w:rPr>
              <w:t>通过渣浆泵将其抽至板框压滤机压滤，污泥产生量约为30t/a，污泥含水率约20%，废物代码为900-999-61。压滤后的污泥外运至机砖厂作为原料利用。</w:t>
            </w:r>
          </w:p>
          <w:p>
            <w:pPr>
              <w:pStyle w:val="46"/>
              <w:rPr>
                <w:color w:val="auto"/>
              </w:rPr>
            </w:pPr>
            <w:r>
              <w:rPr>
                <w:rFonts w:hint="eastAsia"/>
                <w:color w:val="auto"/>
              </w:rPr>
              <w:t>（2）压滤机废滤布</w:t>
            </w:r>
          </w:p>
          <w:p>
            <w:pPr>
              <w:pStyle w:val="46"/>
              <w:rPr>
                <w:color w:val="auto"/>
              </w:rPr>
            </w:pPr>
            <w:r>
              <w:rPr>
                <w:bCs/>
                <w:color w:val="auto"/>
              </w:rPr>
              <w:t>项目压滤机设有72块</w:t>
            </w:r>
            <w:r>
              <w:rPr>
                <w:rFonts w:hint="eastAsia"/>
                <w:bCs/>
                <w:color w:val="auto"/>
              </w:rPr>
              <w:t>滤布</w:t>
            </w:r>
            <w:r>
              <w:rPr>
                <w:bCs/>
                <w:color w:val="auto"/>
              </w:rPr>
              <w:t>，</w:t>
            </w:r>
            <w:r>
              <w:rPr>
                <w:rFonts w:hint="eastAsia"/>
                <w:bCs/>
                <w:color w:val="auto"/>
              </w:rPr>
              <w:t>滤布</w:t>
            </w:r>
            <w:r>
              <w:rPr>
                <w:bCs/>
                <w:color w:val="auto"/>
              </w:rPr>
              <w:t>一般不同时损坏、更换，采用每破损一块更换一块的方式。</w:t>
            </w:r>
            <w:r>
              <w:rPr>
                <w:rFonts w:hint="eastAsia"/>
                <w:bCs/>
                <w:color w:val="auto"/>
              </w:rPr>
              <w:t>滤布</w:t>
            </w:r>
            <w:r>
              <w:rPr>
                <w:bCs/>
                <w:color w:val="auto"/>
              </w:rPr>
              <w:t>平均寿命按一年，每</w:t>
            </w:r>
            <w:r>
              <w:rPr>
                <w:rFonts w:hint="eastAsia"/>
                <w:bCs/>
                <w:color w:val="auto"/>
              </w:rPr>
              <w:t>个滤布的</w:t>
            </w:r>
            <w:r>
              <w:rPr>
                <w:bCs/>
                <w:color w:val="auto"/>
              </w:rPr>
              <w:t>质量约3kg，则年产生废滤布约0.2t，固态，属于一般固体废物，废物代码为900-999-99，临时暂存于一般固废区，最后由可回收利用的厂家回收。</w:t>
            </w:r>
          </w:p>
          <w:p>
            <w:pPr>
              <w:pStyle w:val="46"/>
              <w:rPr>
                <w:color w:val="auto"/>
              </w:rPr>
            </w:pPr>
            <w:r>
              <w:rPr>
                <w:rFonts w:hint="eastAsia"/>
                <w:color w:val="auto"/>
              </w:rPr>
              <w:t>（3）尾渣</w:t>
            </w:r>
          </w:p>
          <w:p>
            <w:pPr>
              <w:pStyle w:val="46"/>
              <w:rPr>
                <w:color w:val="auto"/>
              </w:rPr>
            </w:pPr>
            <w:r>
              <w:rPr>
                <w:rFonts w:hint="eastAsia"/>
                <w:color w:val="auto"/>
              </w:rPr>
              <w:t>项目干选会产生干选尾渣，湿式磁选产生磁选尾渣，属于一般固体废物，干选为尾渣（含水率8%）、磁选尾渣（含水率12-17%）的产生量分别为40000t/a、32800t/a，废物代码为900-999-99。尾渣运至机砖厂作为原料利用。</w:t>
            </w:r>
          </w:p>
          <w:p>
            <w:pPr>
              <w:pStyle w:val="46"/>
              <w:rPr>
                <w:color w:val="auto"/>
              </w:rPr>
            </w:pPr>
            <w:r>
              <w:rPr>
                <w:color w:val="auto"/>
              </w:rPr>
              <w:t>（</w:t>
            </w:r>
            <w:r>
              <w:rPr>
                <w:rFonts w:hint="eastAsia"/>
                <w:color w:val="auto"/>
              </w:rPr>
              <w:t>4</w:t>
            </w:r>
            <w:r>
              <w:rPr>
                <w:color w:val="auto"/>
              </w:rPr>
              <w:t>）废机油</w:t>
            </w:r>
          </w:p>
          <w:p>
            <w:pPr>
              <w:pStyle w:val="46"/>
              <w:rPr>
                <w:color w:val="auto"/>
              </w:rPr>
            </w:pPr>
            <w:r>
              <w:rPr>
                <w:color w:val="auto"/>
              </w:rPr>
              <w:t>项目在运营后，在机修过程中会产生少量废机油，废机油属于危险废物，产生量约0.</w:t>
            </w:r>
            <w:r>
              <w:rPr>
                <w:rFonts w:hint="eastAsia"/>
                <w:color w:val="auto"/>
              </w:rPr>
              <w:t>1</w:t>
            </w:r>
            <w:r>
              <w:rPr>
                <w:color w:val="auto"/>
              </w:rPr>
              <w:t>t/a，</w:t>
            </w:r>
            <w:r>
              <w:rPr>
                <w:rFonts w:hint="eastAsia"/>
                <w:color w:val="auto"/>
              </w:rPr>
              <w:t>危废代码为900-218-08，</w:t>
            </w:r>
            <w:r>
              <w:rPr>
                <w:color w:val="auto"/>
              </w:rPr>
              <w:t>经桶装收集后，统一贮存在危废间，并建立台账，委托有资质的单位处置。</w:t>
            </w:r>
          </w:p>
          <w:p>
            <w:pPr>
              <w:pStyle w:val="46"/>
              <w:rPr>
                <w:color w:val="auto"/>
              </w:rPr>
            </w:pPr>
            <w:r>
              <w:rPr>
                <w:rFonts w:hint="eastAsia"/>
                <w:color w:val="auto"/>
              </w:rPr>
              <w:t>（5）浮油</w:t>
            </w:r>
          </w:p>
          <w:p>
            <w:pPr>
              <w:pStyle w:val="46"/>
              <w:rPr>
                <w:color w:val="auto"/>
              </w:rPr>
            </w:pPr>
            <w:r>
              <w:rPr>
                <w:rFonts w:hint="eastAsia"/>
                <w:color w:val="auto"/>
              </w:rPr>
              <w:t>本项目石油类物质来源于废铁渣、铸造砂、转炉渣、钢渣等原辅材料烧结过程中残余的油类物质，烧结温度远高于油类物质的沸点，基本无油类物质残留。保守取值，进入隔油池的石油类浓度取10mg/L，隔油池的去除效率除油效率取70%，进入废水处理设施的废水量约60m</w:t>
            </w:r>
            <w:r>
              <w:rPr>
                <w:rFonts w:hint="eastAsia"/>
                <w:color w:val="auto"/>
                <w:vertAlign w:val="superscript"/>
              </w:rPr>
              <w:t>3</w:t>
            </w:r>
            <w:r>
              <w:rPr>
                <w:rFonts w:hint="eastAsia"/>
                <w:color w:val="auto"/>
              </w:rPr>
              <w:t>/d，则产生的浮油量约为0.42kg/d，年产生量为0.13t，危废代码为900-210-08。</w:t>
            </w:r>
          </w:p>
          <w:p>
            <w:pPr>
              <w:pStyle w:val="46"/>
              <w:rPr>
                <w:color w:val="auto"/>
              </w:rPr>
            </w:pPr>
            <w:r>
              <w:rPr>
                <w:color w:val="auto"/>
              </w:rPr>
              <w:t>（</w:t>
            </w:r>
            <w:r>
              <w:rPr>
                <w:rFonts w:hint="eastAsia"/>
                <w:color w:val="auto"/>
              </w:rPr>
              <w:t>6</w:t>
            </w:r>
            <w:r>
              <w:rPr>
                <w:color w:val="auto"/>
              </w:rPr>
              <w:t>）生活垃圾</w:t>
            </w:r>
          </w:p>
          <w:p>
            <w:pPr>
              <w:pStyle w:val="46"/>
              <w:rPr>
                <w:color w:val="auto"/>
              </w:rPr>
            </w:pPr>
            <w:r>
              <w:rPr>
                <w:color w:val="auto"/>
              </w:rPr>
              <w:t>项目员工</w:t>
            </w:r>
            <w:r>
              <w:rPr>
                <w:rFonts w:hint="eastAsia"/>
                <w:color w:val="auto"/>
              </w:rPr>
              <w:t>10</w:t>
            </w:r>
            <w:r>
              <w:rPr>
                <w:color w:val="auto"/>
              </w:rPr>
              <w:t>人，均不住厂，参照我国生活污染物排放系数，不住厂职工垃圾排放系数取0.3kg/人·天，则项目生活垃圾产生量为</w:t>
            </w:r>
            <w:r>
              <w:rPr>
                <w:rFonts w:hint="eastAsia"/>
                <w:color w:val="auto"/>
              </w:rPr>
              <w:t>3</w:t>
            </w:r>
            <w:r>
              <w:rPr>
                <w:color w:val="auto"/>
              </w:rPr>
              <w:t>kg/d（</w:t>
            </w:r>
            <w:r>
              <w:rPr>
                <w:rFonts w:hint="eastAsia"/>
                <w:color w:val="auto"/>
              </w:rPr>
              <w:t>0.9</w:t>
            </w:r>
            <w:r>
              <w:rPr>
                <w:color w:val="auto"/>
              </w:rPr>
              <w:t>t/a）。</w:t>
            </w:r>
          </w:p>
          <w:p>
            <w:pPr>
              <w:widowControl/>
              <w:spacing w:line="440" w:lineRule="exact"/>
              <w:ind w:firstLine="480" w:firstLineChars="200"/>
              <w:rPr>
                <w:rFonts w:ascii="Times New Roman" w:hAnsi="Times New Roman"/>
              </w:rPr>
            </w:pPr>
            <w:r>
              <w:rPr>
                <w:rFonts w:ascii="Times New Roman" w:hAnsi="Times New Roman"/>
              </w:rPr>
              <w:t>项目固体废物产生、处置情况见下表。</w:t>
            </w:r>
          </w:p>
          <w:p>
            <w:pPr>
              <w:widowControl/>
              <w:spacing w:line="440" w:lineRule="exact"/>
              <w:ind w:firstLine="422"/>
              <w:jc w:val="center"/>
              <w:rPr>
                <w:rFonts w:ascii="Times New Roman" w:hAnsi="Times New Roman" w:eastAsia="黑体"/>
                <w:b/>
                <w:bCs/>
                <w:kern w:val="0"/>
                <w:sz w:val="21"/>
                <w:szCs w:val="21"/>
              </w:rPr>
            </w:pPr>
            <w:r>
              <w:rPr>
                <w:rFonts w:ascii="Times New Roman" w:hAnsi="Times New Roman" w:eastAsia="黑体"/>
                <w:b/>
                <w:bCs/>
                <w:kern w:val="0"/>
                <w:sz w:val="21"/>
                <w:szCs w:val="21"/>
              </w:rPr>
              <w:t>表4.2-</w:t>
            </w:r>
            <w:r>
              <w:rPr>
                <w:rFonts w:hint="eastAsia" w:ascii="Times New Roman" w:hAnsi="Times New Roman" w:eastAsia="黑体"/>
                <w:b/>
                <w:bCs/>
                <w:kern w:val="0"/>
                <w:sz w:val="21"/>
                <w:szCs w:val="21"/>
              </w:rPr>
              <w:t>8</w:t>
            </w:r>
            <w:r>
              <w:rPr>
                <w:rFonts w:ascii="Times New Roman" w:hAnsi="Times New Roman" w:eastAsia="黑体"/>
                <w:b/>
                <w:bCs/>
                <w:kern w:val="0"/>
                <w:sz w:val="21"/>
                <w:szCs w:val="21"/>
              </w:rPr>
              <w:t xml:space="preserve"> 项目固体废物产生、处置情况一览表</w:t>
            </w:r>
          </w:p>
          <w:tbl>
            <w:tblPr>
              <w:tblStyle w:val="25"/>
              <w:tblW w:w="8734" w:type="dxa"/>
              <w:tblInd w:w="0"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autofit"/>
              <w:tblCellMar>
                <w:top w:w="0" w:type="dxa"/>
                <w:left w:w="108" w:type="dxa"/>
                <w:bottom w:w="0" w:type="dxa"/>
                <w:right w:w="108" w:type="dxa"/>
              </w:tblCellMar>
            </w:tblPr>
            <w:tblGrid>
              <w:gridCol w:w="716"/>
              <w:gridCol w:w="848"/>
              <w:gridCol w:w="1033"/>
              <w:gridCol w:w="1059"/>
              <w:gridCol w:w="1136"/>
              <w:gridCol w:w="1187"/>
              <w:gridCol w:w="2755"/>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85" w:hRule="atLeast"/>
                <w:tblHeader/>
              </w:trPr>
              <w:tc>
                <w:tcPr>
                  <w:tcW w:w="716" w:type="dxa"/>
                  <w:vAlign w:val="center"/>
                </w:tcPr>
                <w:p>
                  <w:pPr>
                    <w:spacing w:line="200" w:lineRule="exact"/>
                    <w:jc w:val="center"/>
                    <w:rPr>
                      <w:rFonts w:ascii="Times New Roman" w:hAnsi="Times New Roman"/>
                      <w:sz w:val="18"/>
                      <w:szCs w:val="18"/>
                    </w:rPr>
                  </w:pPr>
                  <w:r>
                    <w:rPr>
                      <w:rFonts w:ascii="Times New Roman" w:hAnsi="Times New Roman"/>
                      <w:sz w:val="18"/>
                      <w:szCs w:val="18"/>
                    </w:rPr>
                    <w:t>序号</w:t>
                  </w:r>
                </w:p>
              </w:tc>
              <w:tc>
                <w:tcPr>
                  <w:tcW w:w="848" w:type="dxa"/>
                  <w:vAlign w:val="center"/>
                </w:tcPr>
                <w:p>
                  <w:pPr>
                    <w:spacing w:line="200" w:lineRule="exact"/>
                    <w:jc w:val="center"/>
                    <w:rPr>
                      <w:rFonts w:ascii="Times New Roman" w:hAnsi="Times New Roman"/>
                      <w:sz w:val="18"/>
                      <w:szCs w:val="18"/>
                    </w:rPr>
                  </w:pPr>
                  <w:r>
                    <w:rPr>
                      <w:rFonts w:ascii="Times New Roman" w:hAnsi="Times New Roman"/>
                      <w:sz w:val="18"/>
                      <w:szCs w:val="18"/>
                    </w:rPr>
                    <w:t>工序</w:t>
                  </w:r>
                </w:p>
              </w:tc>
              <w:tc>
                <w:tcPr>
                  <w:tcW w:w="1033" w:type="dxa"/>
                  <w:vAlign w:val="center"/>
                </w:tcPr>
                <w:p>
                  <w:pPr>
                    <w:spacing w:line="200" w:lineRule="exact"/>
                    <w:jc w:val="center"/>
                    <w:rPr>
                      <w:rFonts w:ascii="Times New Roman" w:hAnsi="Times New Roman"/>
                      <w:sz w:val="18"/>
                      <w:szCs w:val="18"/>
                    </w:rPr>
                  </w:pPr>
                  <w:r>
                    <w:rPr>
                      <w:rFonts w:ascii="Times New Roman" w:hAnsi="Times New Roman"/>
                      <w:sz w:val="18"/>
                      <w:szCs w:val="18"/>
                    </w:rPr>
                    <w:t>固废名称</w:t>
                  </w:r>
                </w:p>
              </w:tc>
              <w:tc>
                <w:tcPr>
                  <w:tcW w:w="1059" w:type="dxa"/>
                  <w:vAlign w:val="center"/>
                </w:tcPr>
                <w:p>
                  <w:pPr>
                    <w:spacing w:line="200" w:lineRule="exact"/>
                    <w:jc w:val="center"/>
                    <w:rPr>
                      <w:rFonts w:ascii="Times New Roman" w:hAnsi="Times New Roman"/>
                      <w:sz w:val="18"/>
                      <w:szCs w:val="18"/>
                    </w:rPr>
                  </w:pPr>
                  <w:r>
                    <w:rPr>
                      <w:rFonts w:ascii="Times New Roman" w:hAnsi="Times New Roman"/>
                      <w:sz w:val="18"/>
                      <w:szCs w:val="18"/>
                    </w:rPr>
                    <w:t>固废属性</w:t>
                  </w:r>
                </w:p>
              </w:tc>
              <w:tc>
                <w:tcPr>
                  <w:tcW w:w="1136" w:type="dxa"/>
                  <w:vAlign w:val="center"/>
                </w:tcPr>
                <w:p>
                  <w:pPr>
                    <w:spacing w:line="200" w:lineRule="exact"/>
                    <w:jc w:val="center"/>
                    <w:rPr>
                      <w:rFonts w:ascii="Times New Roman" w:hAnsi="Times New Roman"/>
                      <w:sz w:val="18"/>
                      <w:szCs w:val="18"/>
                    </w:rPr>
                  </w:pPr>
                  <w:r>
                    <w:rPr>
                      <w:rFonts w:ascii="Times New Roman" w:hAnsi="Times New Roman"/>
                      <w:sz w:val="18"/>
                      <w:szCs w:val="18"/>
                    </w:rPr>
                    <w:t>代码</w:t>
                  </w:r>
                </w:p>
              </w:tc>
              <w:tc>
                <w:tcPr>
                  <w:tcW w:w="1187" w:type="dxa"/>
                  <w:vAlign w:val="center"/>
                </w:tcPr>
                <w:p>
                  <w:pPr>
                    <w:spacing w:line="200" w:lineRule="exact"/>
                    <w:jc w:val="center"/>
                    <w:rPr>
                      <w:rFonts w:ascii="Times New Roman" w:hAnsi="Times New Roman"/>
                      <w:sz w:val="18"/>
                      <w:szCs w:val="18"/>
                    </w:rPr>
                  </w:pPr>
                  <w:r>
                    <w:rPr>
                      <w:rFonts w:ascii="Times New Roman" w:hAnsi="Times New Roman"/>
                      <w:sz w:val="18"/>
                      <w:szCs w:val="18"/>
                    </w:rPr>
                    <w:t>产生量（t/a）</w:t>
                  </w:r>
                </w:p>
              </w:tc>
              <w:tc>
                <w:tcPr>
                  <w:tcW w:w="2755" w:type="dxa"/>
                  <w:vAlign w:val="center"/>
                </w:tcPr>
                <w:p>
                  <w:pPr>
                    <w:spacing w:line="200" w:lineRule="exact"/>
                    <w:jc w:val="center"/>
                    <w:rPr>
                      <w:rFonts w:ascii="Times New Roman" w:hAnsi="Times New Roman"/>
                      <w:sz w:val="18"/>
                      <w:szCs w:val="18"/>
                    </w:rPr>
                  </w:pPr>
                  <w:r>
                    <w:rPr>
                      <w:rFonts w:ascii="Times New Roman" w:hAnsi="Times New Roman"/>
                      <w:sz w:val="18"/>
                      <w:szCs w:val="18"/>
                    </w:rPr>
                    <w:t>处置措施及去向</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98" w:hRule="atLeast"/>
              </w:trPr>
              <w:tc>
                <w:tcPr>
                  <w:tcW w:w="716" w:type="dxa"/>
                  <w:vAlign w:val="center"/>
                </w:tcPr>
                <w:p>
                  <w:pPr>
                    <w:spacing w:line="200" w:lineRule="exact"/>
                    <w:jc w:val="center"/>
                    <w:rPr>
                      <w:rFonts w:ascii="Times New Roman" w:hAnsi="Times New Roman"/>
                      <w:sz w:val="18"/>
                      <w:szCs w:val="18"/>
                    </w:rPr>
                  </w:pPr>
                  <w:r>
                    <w:rPr>
                      <w:rFonts w:ascii="Times New Roman" w:hAnsi="Times New Roman"/>
                      <w:sz w:val="18"/>
                      <w:szCs w:val="18"/>
                    </w:rPr>
                    <w:t>1</w:t>
                  </w:r>
                </w:p>
              </w:tc>
              <w:tc>
                <w:tcPr>
                  <w:tcW w:w="848" w:type="dxa"/>
                  <w:vAlign w:val="center"/>
                </w:tcPr>
                <w:p>
                  <w:pPr>
                    <w:spacing w:line="200" w:lineRule="exact"/>
                    <w:jc w:val="center"/>
                    <w:rPr>
                      <w:rFonts w:ascii="Times New Roman" w:hAnsi="Times New Roman"/>
                      <w:sz w:val="18"/>
                      <w:szCs w:val="18"/>
                    </w:rPr>
                  </w:pPr>
                  <w:r>
                    <w:rPr>
                      <w:rFonts w:hint="eastAsia" w:ascii="Times New Roman" w:hAnsi="Times New Roman"/>
                      <w:sz w:val="18"/>
                      <w:szCs w:val="18"/>
                    </w:rPr>
                    <w:t>废水</w:t>
                  </w:r>
                  <w:r>
                    <w:rPr>
                      <w:rFonts w:ascii="Times New Roman" w:hAnsi="Times New Roman"/>
                      <w:sz w:val="18"/>
                      <w:szCs w:val="18"/>
                    </w:rPr>
                    <w:t>压滤</w:t>
                  </w:r>
                </w:p>
              </w:tc>
              <w:tc>
                <w:tcPr>
                  <w:tcW w:w="1033" w:type="dxa"/>
                  <w:vAlign w:val="center"/>
                </w:tcPr>
                <w:p>
                  <w:pPr>
                    <w:spacing w:line="200" w:lineRule="exact"/>
                    <w:jc w:val="center"/>
                    <w:rPr>
                      <w:rFonts w:ascii="Times New Roman" w:hAnsi="Times New Roman"/>
                      <w:sz w:val="18"/>
                      <w:szCs w:val="18"/>
                    </w:rPr>
                  </w:pPr>
                  <w:r>
                    <w:rPr>
                      <w:rFonts w:ascii="Times New Roman" w:hAnsi="Times New Roman"/>
                      <w:sz w:val="18"/>
                      <w:szCs w:val="18"/>
                    </w:rPr>
                    <w:t>污泥</w:t>
                  </w:r>
                </w:p>
              </w:tc>
              <w:tc>
                <w:tcPr>
                  <w:tcW w:w="1059" w:type="dxa"/>
                  <w:vAlign w:val="center"/>
                </w:tcPr>
                <w:p>
                  <w:pPr>
                    <w:spacing w:line="200" w:lineRule="exact"/>
                    <w:jc w:val="center"/>
                    <w:rPr>
                      <w:rFonts w:ascii="Times New Roman" w:hAnsi="Times New Roman"/>
                      <w:sz w:val="18"/>
                      <w:szCs w:val="18"/>
                    </w:rPr>
                  </w:pPr>
                  <w:r>
                    <w:rPr>
                      <w:rFonts w:ascii="Times New Roman" w:hAnsi="Times New Roman"/>
                      <w:sz w:val="18"/>
                      <w:szCs w:val="18"/>
                    </w:rPr>
                    <w:t>一般工业固废</w:t>
                  </w:r>
                </w:p>
              </w:tc>
              <w:tc>
                <w:tcPr>
                  <w:tcW w:w="1136" w:type="dxa"/>
                  <w:noWrap/>
                  <w:vAlign w:val="center"/>
                </w:tcPr>
                <w:p>
                  <w:pPr>
                    <w:spacing w:line="200" w:lineRule="exact"/>
                    <w:jc w:val="center"/>
                    <w:rPr>
                      <w:rFonts w:ascii="Times New Roman" w:hAnsi="Times New Roman"/>
                      <w:sz w:val="18"/>
                      <w:szCs w:val="18"/>
                    </w:rPr>
                  </w:pPr>
                  <w:r>
                    <w:rPr>
                      <w:rFonts w:hint="eastAsia" w:ascii="Times New Roman" w:hAnsi="Times New Roman"/>
                      <w:sz w:val="18"/>
                      <w:szCs w:val="18"/>
                    </w:rPr>
                    <w:t>900-999-61</w:t>
                  </w:r>
                </w:p>
              </w:tc>
              <w:tc>
                <w:tcPr>
                  <w:tcW w:w="1187" w:type="dxa"/>
                  <w:vAlign w:val="center"/>
                </w:tcPr>
                <w:p>
                  <w:pPr>
                    <w:spacing w:line="200" w:lineRule="exact"/>
                    <w:jc w:val="center"/>
                    <w:rPr>
                      <w:rFonts w:ascii="Times New Roman" w:hAnsi="Times New Roman"/>
                      <w:sz w:val="18"/>
                      <w:szCs w:val="18"/>
                    </w:rPr>
                  </w:pPr>
                  <w:r>
                    <w:rPr>
                      <w:rFonts w:hint="eastAsia" w:ascii="Times New Roman" w:hAnsi="Times New Roman"/>
                      <w:sz w:val="18"/>
                      <w:szCs w:val="18"/>
                    </w:rPr>
                    <w:t>30</w:t>
                  </w:r>
                </w:p>
              </w:tc>
              <w:tc>
                <w:tcPr>
                  <w:tcW w:w="2755" w:type="dxa"/>
                  <w:vAlign w:val="center"/>
                </w:tcPr>
                <w:p>
                  <w:pPr>
                    <w:spacing w:line="200" w:lineRule="exact"/>
                    <w:rPr>
                      <w:rFonts w:ascii="Times New Roman" w:hAnsi="Times New Roman"/>
                      <w:sz w:val="18"/>
                      <w:szCs w:val="18"/>
                    </w:rPr>
                  </w:pPr>
                  <w:r>
                    <w:rPr>
                      <w:rFonts w:ascii="Times New Roman" w:hAnsi="Times New Roman"/>
                      <w:sz w:val="18"/>
                      <w:szCs w:val="18"/>
                    </w:rPr>
                    <w:t>存放于</w:t>
                  </w:r>
                  <w:r>
                    <w:rPr>
                      <w:rFonts w:hint="eastAsia" w:ascii="Times New Roman" w:hAnsi="Times New Roman"/>
                      <w:sz w:val="18"/>
                      <w:szCs w:val="18"/>
                    </w:rPr>
                    <w:t>尾渣堆场</w:t>
                  </w:r>
                  <w:r>
                    <w:rPr>
                      <w:rFonts w:ascii="Times New Roman" w:hAnsi="Times New Roman"/>
                      <w:sz w:val="18"/>
                      <w:szCs w:val="18"/>
                    </w:rPr>
                    <w:t>，定期转运至</w:t>
                  </w:r>
                  <w:r>
                    <w:rPr>
                      <w:rFonts w:hint="eastAsia" w:ascii="Times New Roman" w:hAnsi="Times New Roman"/>
                      <w:sz w:val="18"/>
                      <w:szCs w:val="18"/>
                    </w:rPr>
                    <w:t>外部单位作为原料利用</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98" w:hRule="atLeast"/>
              </w:trPr>
              <w:tc>
                <w:tcPr>
                  <w:tcW w:w="716" w:type="dxa"/>
                  <w:vAlign w:val="center"/>
                </w:tcPr>
                <w:p>
                  <w:pPr>
                    <w:spacing w:line="200" w:lineRule="exact"/>
                    <w:jc w:val="center"/>
                    <w:rPr>
                      <w:rFonts w:ascii="Times New Roman" w:hAnsi="Times New Roman"/>
                      <w:sz w:val="18"/>
                      <w:szCs w:val="18"/>
                    </w:rPr>
                  </w:pPr>
                  <w:r>
                    <w:rPr>
                      <w:rFonts w:hint="eastAsia" w:ascii="Times New Roman" w:hAnsi="Times New Roman"/>
                      <w:sz w:val="18"/>
                      <w:szCs w:val="18"/>
                    </w:rPr>
                    <w:t>2</w:t>
                  </w:r>
                </w:p>
              </w:tc>
              <w:tc>
                <w:tcPr>
                  <w:tcW w:w="848" w:type="dxa"/>
                  <w:vAlign w:val="center"/>
                </w:tcPr>
                <w:p>
                  <w:pPr>
                    <w:spacing w:line="200" w:lineRule="exact"/>
                    <w:jc w:val="center"/>
                    <w:rPr>
                      <w:rFonts w:ascii="Times New Roman" w:hAnsi="Times New Roman"/>
                      <w:sz w:val="18"/>
                      <w:szCs w:val="18"/>
                    </w:rPr>
                  </w:pPr>
                  <w:r>
                    <w:rPr>
                      <w:rFonts w:hint="eastAsia" w:ascii="Times New Roman" w:hAnsi="Times New Roman"/>
                      <w:sz w:val="18"/>
                      <w:szCs w:val="18"/>
                    </w:rPr>
                    <w:t>压滤</w:t>
                  </w:r>
                </w:p>
              </w:tc>
              <w:tc>
                <w:tcPr>
                  <w:tcW w:w="1033" w:type="dxa"/>
                  <w:vAlign w:val="center"/>
                </w:tcPr>
                <w:p>
                  <w:pPr>
                    <w:pStyle w:val="42"/>
                    <w:rPr>
                      <w:rFonts w:ascii="Times New Roman" w:hAnsi="Times New Roman"/>
                      <w:sz w:val="18"/>
                      <w:szCs w:val="18"/>
                    </w:rPr>
                  </w:pPr>
                  <w:r>
                    <w:rPr>
                      <w:rFonts w:ascii="Times New Roman" w:hAnsi="Times New Roman"/>
                      <w:sz w:val="18"/>
                      <w:szCs w:val="18"/>
                    </w:rPr>
                    <w:t>压滤机废滤布</w:t>
                  </w:r>
                </w:p>
              </w:tc>
              <w:tc>
                <w:tcPr>
                  <w:tcW w:w="1059" w:type="dxa"/>
                  <w:vAlign w:val="center"/>
                </w:tcPr>
                <w:p>
                  <w:pPr>
                    <w:pStyle w:val="42"/>
                    <w:rPr>
                      <w:rFonts w:ascii="Times New Roman" w:hAnsi="Times New Roman"/>
                      <w:sz w:val="18"/>
                      <w:szCs w:val="18"/>
                    </w:rPr>
                  </w:pPr>
                  <w:r>
                    <w:rPr>
                      <w:rFonts w:ascii="Times New Roman" w:hAnsi="Times New Roman"/>
                      <w:sz w:val="18"/>
                      <w:szCs w:val="18"/>
                    </w:rPr>
                    <w:t>一般固废</w:t>
                  </w:r>
                </w:p>
              </w:tc>
              <w:tc>
                <w:tcPr>
                  <w:tcW w:w="1136" w:type="dxa"/>
                  <w:noWrap/>
                  <w:vAlign w:val="center"/>
                </w:tcPr>
                <w:p>
                  <w:pPr>
                    <w:pStyle w:val="42"/>
                    <w:rPr>
                      <w:rFonts w:ascii="Times New Roman" w:hAnsi="Times New Roman"/>
                      <w:sz w:val="18"/>
                      <w:szCs w:val="18"/>
                    </w:rPr>
                  </w:pPr>
                  <w:r>
                    <w:rPr>
                      <w:rFonts w:ascii="Times New Roman" w:hAnsi="Times New Roman"/>
                      <w:sz w:val="18"/>
                      <w:szCs w:val="18"/>
                    </w:rPr>
                    <w:t>900-999-99</w:t>
                  </w:r>
                </w:p>
              </w:tc>
              <w:tc>
                <w:tcPr>
                  <w:tcW w:w="1187" w:type="dxa"/>
                  <w:vAlign w:val="center"/>
                </w:tcPr>
                <w:p>
                  <w:pPr>
                    <w:pStyle w:val="42"/>
                    <w:rPr>
                      <w:rFonts w:ascii="Times New Roman" w:hAnsi="Times New Roman"/>
                      <w:sz w:val="18"/>
                      <w:szCs w:val="18"/>
                    </w:rPr>
                  </w:pPr>
                  <w:r>
                    <w:rPr>
                      <w:rFonts w:ascii="Times New Roman" w:hAnsi="Times New Roman"/>
                      <w:sz w:val="18"/>
                      <w:szCs w:val="18"/>
                    </w:rPr>
                    <w:t>0.2</w:t>
                  </w:r>
                </w:p>
              </w:tc>
              <w:tc>
                <w:tcPr>
                  <w:tcW w:w="2755" w:type="dxa"/>
                  <w:vAlign w:val="center"/>
                </w:tcPr>
                <w:p>
                  <w:pPr>
                    <w:pStyle w:val="42"/>
                    <w:rPr>
                      <w:rFonts w:ascii="Times New Roman" w:hAnsi="Times New Roman"/>
                      <w:sz w:val="18"/>
                      <w:szCs w:val="18"/>
                    </w:rPr>
                  </w:pPr>
                  <w:r>
                    <w:rPr>
                      <w:rFonts w:ascii="Times New Roman" w:hAnsi="Times New Roman"/>
                      <w:sz w:val="18"/>
                      <w:szCs w:val="18"/>
                    </w:rPr>
                    <w:t>可回收利用的厂家回收</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PrEx>
              <w:trPr>
                <w:trHeight w:val="286" w:hRule="atLeast"/>
              </w:trPr>
              <w:tc>
                <w:tcPr>
                  <w:tcW w:w="716" w:type="dxa"/>
                  <w:vAlign w:val="center"/>
                </w:tcPr>
                <w:p>
                  <w:pPr>
                    <w:spacing w:line="200" w:lineRule="exact"/>
                    <w:jc w:val="center"/>
                    <w:rPr>
                      <w:rFonts w:ascii="Times New Roman" w:hAnsi="Times New Roman"/>
                      <w:sz w:val="18"/>
                      <w:szCs w:val="18"/>
                    </w:rPr>
                  </w:pPr>
                  <w:r>
                    <w:rPr>
                      <w:rFonts w:hint="eastAsia" w:ascii="Times New Roman" w:hAnsi="Times New Roman"/>
                      <w:sz w:val="18"/>
                      <w:szCs w:val="18"/>
                    </w:rPr>
                    <w:t>2</w:t>
                  </w:r>
                </w:p>
              </w:tc>
              <w:tc>
                <w:tcPr>
                  <w:tcW w:w="848" w:type="dxa"/>
                  <w:vAlign w:val="center"/>
                </w:tcPr>
                <w:p>
                  <w:pPr>
                    <w:spacing w:line="200" w:lineRule="exact"/>
                    <w:jc w:val="center"/>
                    <w:rPr>
                      <w:rFonts w:ascii="Times New Roman" w:hAnsi="Times New Roman"/>
                      <w:sz w:val="18"/>
                      <w:szCs w:val="18"/>
                    </w:rPr>
                  </w:pPr>
                  <w:r>
                    <w:rPr>
                      <w:rFonts w:hint="eastAsia" w:ascii="Times New Roman" w:hAnsi="Times New Roman"/>
                      <w:sz w:val="18"/>
                      <w:szCs w:val="18"/>
                    </w:rPr>
                    <w:t>干选、脱水筛、板框压滤</w:t>
                  </w:r>
                </w:p>
              </w:tc>
              <w:tc>
                <w:tcPr>
                  <w:tcW w:w="1033" w:type="dxa"/>
                  <w:vAlign w:val="center"/>
                </w:tcPr>
                <w:p>
                  <w:pPr>
                    <w:spacing w:line="200" w:lineRule="exact"/>
                    <w:jc w:val="center"/>
                    <w:rPr>
                      <w:rFonts w:ascii="Times New Roman" w:hAnsi="Times New Roman"/>
                      <w:sz w:val="18"/>
                      <w:szCs w:val="18"/>
                    </w:rPr>
                  </w:pPr>
                  <w:r>
                    <w:rPr>
                      <w:rFonts w:hint="eastAsia" w:ascii="Times New Roman" w:hAnsi="Times New Roman"/>
                      <w:sz w:val="18"/>
                      <w:szCs w:val="18"/>
                    </w:rPr>
                    <w:t>干选尾渣、磁选尾渣</w:t>
                  </w:r>
                </w:p>
              </w:tc>
              <w:tc>
                <w:tcPr>
                  <w:tcW w:w="1059" w:type="dxa"/>
                  <w:vAlign w:val="center"/>
                </w:tcPr>
                <w:p>
                  <w:pPr>
                    <w:spacing w:line="200" w:lineRule="exact"/>
                    <w:jc w:val="center"/>
                    <w:rPr>
                      <w:rFonts w:ascii="Times New Roman" w:hAnsi="Times New Roman"/>
                      <w:sz w:val="18"/>
                      <w:szCs w:val="18"/>
                    </w:rPr>
                  </w:pPr>
                  <w:r>
                    <w:rPr>
                      <w:rFonts w:ascii="Times New Roman" w:hAnsi="Times New Roman"/>
                      <w:sz w:val="18"/>
                      <w:szCs w:val="18"/>
                    </w:rPr>
                    <w:t>一般工业固废</w:t>
                  </w:r>
                </w:p>
              </w:tc>
              <w:tc>
                <w:tcPr>
                  <w:tcW w:w="1136" w:type="dxa"/>
                  <w:noWrap/>
                  <w:vAlign w:val="center"/>
                </w:tcPr>
                <w:p>
                  <w:pPr>
                    <w:spacing w:line="200" w:lineRule="exact"/>
                    <w:jc w:val="center"/>
                    <w:rPr>
                      <w:rFonts w:ascii="Times New Roman" w:hAnsi="Times New Roman"/>
                      <w:sz w:val="18"/>
                      <w:szCs w:val="18"/>
                    </w:rPr>
                  </w:pPr>
                  <w:r>
                    <w:rPr>
                      <w:rFonts w:ascii="Times New Roman" w:hAnsi="Times New Roman"/>
                      <w:sz w:val="18"/>
                      <w:szCs w:val="18"/>
                    </w:rPr>
                    <w:t>900-999-9</w:t>
                  </w:r>
                  <w:r>
                    <w:rPr>
                      <w:rFonts w:hint="eastAsia" w:ascii="Times New Roman" w:hAnsi="Times New Roman"/>
                      <w:sz w:val="18"/>
                      <w:szCs w:val="18"/>
                    </w:rPr>
                    <w:t>9</w:t>
                  </w:r>
                </w:p>
              </w:tc>
              <w:tc>
                <w:tcPr>
                  <w:tcW w:w="1187" w:type="dxa"/>
                  <w:vAlign w:val="center"/>
                </w:tcPr>
                <w:p>
                  <w:pPr>
                    <w:spacing w:line="200" w:lineRule="exact"/>
                    <w:jc w:val="center"/>
                    <w:rPr>
                      <w:rFonts w:ascii="Times New Roman" w:hAnsi="Times New Roman"/>
                      <w:sz w:val="18"/>
                      <w:szCs w:val="18"/>
                    </w:rPr>
                  </w:pPr>
                  <w:r>
                    <w:rPr>
                      <w:rFonts w:hint="eastAsia" w:ascii="Times New Roman" w:hAnsi="Times New Roman"/>
                      <w:sz w:val="18"/>
                      <w:szCs w:val="18"/>
                    </w:rPr>
                    <w:t>72800</w:t>
                  </w:r>
                </w:p>
              </w:tc>
              <w:tc>
                <w:tcPr>
                  <w:tcW w:w="2755" w:type="dxa"/>
                  <w:vAlign w:val="center"/>
                </w:tcPr>
                <w:p>
                  <w:pPr>
                    <w:spacing w:line="200" w:lineRule="exact"/>
                    <w:jc w:val="center"/>
                    <w:rPr>
                      <w:rFonts w:ascii="Times New Roman" w:hAnsi="Times New Roman"/>
                      <w:sz w:val="18"/>
                      <w:szCs w:val="18"/>
                    </w:rPr>
                  </w:pPr>
                  <w:r>
                    <w:rPr>
                      <w:rFonts w:ascii="Times New Roman" w:hAnsi="Times New Roman"/>
                      <w:sz w:val="18"/>
                      <w:szCs w:val="18"/>
                    </w:rPr>
                    <w:t>存放于</w:t>
                  </w:r>
                  <w:r>
                    <w:rPr>
                      <w:rFonts w:hint="eastAsia" w:ascii="Times New Roman" w:hAnsi="Times New Roman"/>
                      <w:sz w:val="18"/>
                      <w:szCs w:val="18"/>
                    </w:rPr>
                    <w:t>尾渣堆场</w:t>
                  </w:r>
                  <w:r>
                    <w:rPr>
                      <w:rFonts w:ascii="Times New Roman" w:hAnsi="Times New Roman"/>
                      <w:sz w:val="18"/>
                      <w:szCs w:val="18"/>
                    </w:rPr>
                    <w:t>，定期转运至</w:t>
                  </w:r>
                  <w:r>
                    <w:rPr>
                      <w:rFonts w:hint="eastAsia" w:ascii="Times New Roman" w:hAnsi="Times New Roman"/>
                      <w:sz w:val="18"/>
                      <w:szCs w:val="18"/>
                    </w:rPr>
                    <w:t>外部单位作为原料利用</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98" w:hRule="atLeast"/>
              </w:trPr>
              <w:tc>
                <w:tcPr>
                  <w:tcW w:w="716" w:type="dxa"/>
                  <w:vAlign w:val="center"/>
                </w:tcPr>
                <w:p>
                  <w:pPr>
                    <w:spacing w:line="200" w:lineRule="exact"/>
                    <w:jc w:val="center"/>
                    <w:rPr>
                      <w:rFonts w:ascii="Times New Roman" w:hAnsi="Times New Roman"/>
                      <w:sz w:val="18"/>
                      <w:szCs w:val="18"/>
                    </w:rPr>
                  </w:pPr>
                  <w:r>
                    <w:rPr>
                      <w:rFonts w:hint="eastAsia" w:ascii="Times New Roman" w:hAnsi="Times New Roman"/>
                      <w:sz w:val="18"/>
                      <w:szCs w:val="18"/>
                    </w:rPr>
                    <w:t>3</w:t>
                  </w:r>
                </w:p>
              </w:tc>
              <w:tc>
                <w:tcPr>
                  <w:tcW w:w="848" w:type="dxa"/>
                  <w:vAlign w:val="center"/>
                </w:tcPr>
                <w:p>
                  <w:pPr>
                    <w:spacing w:line="200" w:lineRule="exact"/>
                    <w:jc w:val="center"/>
                    <w:rPr>
                      <w:rFonts w:ascii="Times New Roman" w:hAnsi="Times New Roman"/>
                      <w:sz w:val="18"/>
                      <w:szCs w:val="18"/>
                    </w:rPr>
                  </w:pPr>
                  <w:r>
                    <w:rPr>
                      <w:rFonts w:ascii="Times New Roman" w:hAnsi="Times New Roman"/>
                      <w:sz w:val="18"/>
                      <w:szCs w:val="18"/>
                    </w:rPr>
                    <w:t>生产过程设备</w:t>
                  </w:r>
                </w:p>
              </w:tc>
              <w:tc>
                <w:tcPr>
                  <w:tcW w:w="1033" w:type="dxa"/>
                  <w:vAlign w:val="center"/>
                </w:tcPr>
                <w:p>
                  <w:pPr>
                    <w:spacing w:line="200" w:lineRule="exact"/>
                    <w:jc w:val="center"/>
                    <w:rPr>
                      <w:rFonts w:ascii="Times New Roman" w:hAnsi="Times New Roman"/>
                      <w:sz w:val="18"/>
                      <w:szCs w:val="18"/>
                    </w:rPr>
                  </w:pPr>
                  <w:r>
                    <w:rPr>
                      <w:rFonts w:ascii="Times New Roman" w:hAnsi="Times New Roman"/>
                      <w:sz w:val="18"/>
                      <w:szCs w:val="18"/>
                    </w:rPr>
                    <w:t>废机油</w:t>
                  </w:r>
                </w:p>
              </w:tc>
              <w:tc>
                <w:tcPr>
                  <w:tcW w:w="1059" w:type="dxa"/>
                  <w:vAlign w:val="center"/>
                </w:tcPr>
                <w:p>
                  <w:pPr>
                    <w:spacing w:line="200" w:lineRule="exact"/>
                    <w:jc w:val="center"/>
                    <w:rPr>
                      <w:rFonts w:ascii="Times New Roman" w:hAnsi="Times New Roman"/>
                      <w:sz w:val="18"/>
                      <w:szCs w:val="18"/>
                    </w:rPr>
                  </w:pPr>
                  <w:r>
                    <w:rPr>
                      <w:rFonts w:ascii="Times New Roman" w:hAnsi="Times New Roman"/>
                      <w:sz w:val="18"/>
                      <w:szCs w:val="18"/>
                    </w:rPr>
                    <w:t>危废</w:t>
                  </w:r>
                </w:p>
              </w:tc>
              <w:tc>
                <w:tcPr>
                  <w:tcW w:w="1136" w:type="dxa"/>
                  <w:noWrap/>
                  <w:vAlign w:val="center"/>
                </w:tcPr>
                <w:p>
                  <w:pPr>
                    <w:spacing w:line="200" w:lineRule="exact"/>
                    <w:jc w:val="center"/>
                    <w:rPr>
                      <w:rFonts w:ascii="Times New Roman" w:hAnsi="Times New Roman"/>
                      <w:sz w:val="18"/>
                      <w:szCs w:val="18"/>
                    </w:rPr>
                  </w:pPr>
                  <w:r>
                    <w:rPr>
                      <w:rFonts w:ascii="Times New Roman" w:hAnsi="Times New Roman"/>
                      <w:sz w:val="18"/>
                      <w:szCs w:val="18"/>
                    </w:rPr>
                    <w:t>900-21</w:t>
                  </w:r>
                  <w:r>
                    <w:rPr>
                      <w:rFonts w:hint="eastAsia" w:ascii="Times New Roman" w:hAnsi="Times New Roman"/>
                      <w:sz w:val="18"/>
                      <w:szCs w:val="18"/>
                    </w:rPr>
                    <w:t>8</w:t>
                  </w:r>
                  <w:r>
                    <w:rPr>
                      <w:rFonts w:ascii="Times New Roman" w:hAnsi="Times New Roman"/>
                      <w:sz w:val="18"/>
                      <w:szCs w:val="18"/>
                    </w:rPr>
                    <w:t>-08</w:t>
                  </w:r>
                </w:p>
              </w:tc>
              <w:tc>
                <w:tcPr>
                  <w:tcW w:w="1187" w:type="dxa"/>
                  <w:vAlign w:val="center"/>
                </w:tcPr>
                <w:p>
                  <w:pPr>
                    <w:spacing w:line="200" w:lineRule="exact"/>
                    <w:jc w:val="center"/>
                    <w:rPr>
                      <w:rFonts w:ascii="Times New Roman" w:hAnsi="Times New Roman"/>
                      <w:sz w:val="18"/>
                      <w:szCs w:val="18"/>
                    </w:rPr>
                  </w:pPr>
                  <w:r>
                    <w:rPr>
                      <w:rFonts w:ascii="Times New Roman" w:hAnsi="Times New Roman"/>
                      <w:sz w:val="18"/>
                      <w:szCs w:val="18"/>
                    </w:rPr>
                    <w:t>0.</w:t>
                  </w:r>
                  <w:r>
                    <w:rPr>
                      <w:rFonts w:hint="eastAsia" w:ascii="Times New Roman" w:hAnsi="Times New Roman"/>
                      <w:sz w:val="18"/>
                      <w:szCs w:val="18"/>
                    </w:rPr>
                    <w:t>1</w:t>
                  </w:r>
                </w:p>
              </w:tc>
              <w:tc>
                <w:tcPr>
                  <w:tcW w:w="2755" w:type="dxa"/>
                  <w:vAlign w:val="center"/>
                </w:tcPr>
                <w:p>
                  <w:pPr>
                    <w:spacing w:line="200" w:lineRule="exact"/>
                    <w:jc w:val="center"/>
                    <w:rPr>
                      <w:rFonts w:ascii="Times New Roman" w:hAnsi="Times New Roman"/>
                      <w:sz w:val="18"/>
                      <w:szCs w:val="18"/>
                    </w:rPr>
                  </w:pPr>
                  <w:r>
                    <w:rPr>
                      <w:rFonts w:ascii="Times New Roman" w:hAnsi="Times New Roman"/>
                      <w:sz w:val="18"/>
                      <w:szCs w:val="18"/>
                    </w:rPr>
                    <w:t>统一贮存在危废间，并建立台账，委托有资质的单位处置</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98" w:hRule="atLeast"/>
              </w:trPr>
              <w:tc>
                <w:tcPr>
                  <w:tcW w:w="716" w:type="dxa"/>
                  <w:vAlign w:val="center"/>
                </w:tcPr>
                <w:p>
                  <w:pPr>
                    <w:spacing w:line="200" w:lineRule="exact"/>
                    <w:jc w:val="center"/>
                    <w:rPr>
                      <w:rFonts w:ascii="Times New Roman" w:hAnsi="Times New Roman"/>
                      <w:sz w:val="18"/>
                      <w:szCs w:val="18"/>
                    </w:rPr>
                  </w:pPr>
                  <w:r>
                    <w:rPr>
                      <w:rFonts w:hint="eastAsia" w:ascii="Times New Roman" w:hAnsi="Times New Roman"/>
                      <w:sz w:val="18"/>
                      <w:szCs w:val="18"/>
                    </w:rPr>
                    <w:t>4</w:t>
                  </w:r>
                </w:p>
              </w:tc>
              <w:tc>
                <w:tcPr>
                  <w:tcW w:w="848" w:type="dxa"/>
                  <w:vAlign w:val="center"/>
                </w:tcPr>
                <w:p>
                  <w:pPr>
                    <w:spacing w:line="200" w:lineRule="exact"/>
                    <w:jc w:val="center"/>
                    <w:rPr>
                      <w:rFonts w:ascii="Times New Roman" w:hAnsi="Times New Roman"/>
                      <w:sz w:val="18"/>
                      <w:szCs w:val="18"/>
                    </w:rPr>
                  </w:pPr>
                  <w:r>
                    <w:rPr>
                      <w:rFonts w:hint="eastAsia" w:ascii="Times New Roman" w:hAnsi="Times New Roman"/>
                      <w:sz w:val="18"/>
                      <w:szCs w:val="18"/>
                    </w:rPr>
                    <w:t>隔油池隔油</w:t>
                  </w:r>
                </w:p>
              </w:tc>
              <w:tc>
                <w:tcPr>
                  <w:tcW w:w="1033" w:type="dxa"/>
                  <w:vAlign w:val="center"/>
                </w:tcPr>
                <w:p>
                  <w:pPr>
                    <w:spacing w:line="200" w:lineRule="exact"/>
                    <w:jc w:val="center"/>
                    <w:rPr>
                      <w:rFonts w:ascii="Times New Roman" w:hAnsi="Times New Roman"/>
                      <w:sz w:val="18"/>
                      <w:szCs w:val="18"/>
                    </w:rPr>
                  </w:pPr>
                  <w:r>
                    <w:rPr>
                      <w:rFonts w:hint="eastAsia" w:ascii="Times New Roman" w:hAnsi="Times New Roman"/>
                      <w:sz w:val="18"/>
                      <w:szCs w:val="18"/>
                    </w:rPr>
                    <w:t>浮油</w:t>
                  </w:r>
                </w:p>
              </w:tc>
              <w:tc>
                <w:tcPr>
                  <w:tcW w:w="1059" w:type="dxa"/>
                  <w:vAlign w:val="center"/>
                </w:tcPr>
                <w:p>
                  <w:pPr>
                    <w:spacing w:line="200" w:lineRule="exact"/>
                    <w:jc w:val="center"/>
                    <w:rPr>
                      <w:rFonts w:ascii="Times New Roman" w:hAnsi="Times New Roman"/>
                      <w:sz w:val="18"/>
                      <w:szCs w:val="18"/>
                    </w:rPr>
                  </w:pPr>
                  <w:r>
                    <w:rPr>
                      <w:rFonts w:hint="eastAsia" w:ascii="Times New Roman" w:hAnsi="Times New Roman"/>
                      <w:sz w:val="18"/>
                      <w:szCs w:val="18"/>
                    </w:rPr>
                    <w:t>危废</w:t>
                  </w:r>
                </w:p>
              </w:tc>
              <w:tc>
                <w:tcPr>
                  <w:tcW w:w="1136" w:type="dxa"/>
                  <w:noWrap/>
                  <w:vAlign w:val="center"/>
                </w:tcPr>
                <w:p>
                  <w:pPr>
                    <w:spacing w:line="200" w:lineRule="exact"/>
                    <w:jc w:val="center"/>
                    <w:rPr>
                      <w:rFonts w:ascii="Times New Roman" w:hAnsi="Times New Roman"/>
                      <w:sz w:val="18"/>
                      <w:szCs w:val="18"/>
                    </w:rPr>
                  </w:pPr>
                  <w:r>
                    <w:rPr>
                      <w:rFonts w:hint="eastAsia" w:ascii="Times New Roman" w:hAnsi="Times New Roman"/>
                      <w:sz w:val="18"/>
                      <w:szCs w:val="18"/>
                    </w:rPr>
                    <w:t>900-210-08</w:t>
                  </w:r>
                </w:p>
              </w:tc>
              <w:tc>
                <w:tcPr>
                  <w:tcW w:w="1187" w:type="dxa"/>
                  <w:vAlign w:val="center"/>
                </w:tcPr>
                <w:p>
                  <w:pPr>
                    <w:spacing w:line="200" w:lineRule="exact"/>
                    <w:jc w:val="center"/>
                    <w:rPr>
                      <w:rFonts w:ascii="Times New Roman" w:hAnsi="Times New Roman"/>
                      <w:sz w:val="18"/>
                      <w:szCs w:val="18"/>
                    </w:rPr>
                  </w:pPr>
                  <w:r>
                    <w:rPr>
                      <w:rFonts w:hint="eastAsia" w:ascii="Times New Roman" w:hAnsi="Times New Roman"/>
                      <w:sz w:val="18"/>
                      <w:szCs w:val="18"/>
                    </w:rPr>
                    <w:t>0.13</w:t>
                  </w:r>
                </w:p>
              </w:tc>
              <w:tc>
                <w:tcPr>
                  <w:tcW w:w="2755" w:type="dxa"/>
                  <w:vAlign w:val="center"/>
                </w:tcPr>
                <w:p>
                  <w:pPr>
                    <w:spacing w:line="200" w:lineRule="exact"/>
                    <w:jc w:val="center"/>
                    <w:rPr>
                      <w:rFonts w:ascii="Times New Roman" w:hAnsi="Times New Roman"/>
                      <w:sz w:val="18"/>
                      <w:szCs w:val="18"/>
                    </w:rPr>
                  </w:pPr>
                  <w:r>
                    <w:rPr>
                      <w:rFonts w:hint="eastAsia" w:ascii="Times New Roman" w:hAnsi="Times New Roman"/>
                      <w:sz w:val="18"/>
                      <w:szCs w:val="18"/>
                    </w:rPr>
                    <w:t>收集后</w:t>
                  </w:r>
                  <w:r>
                    <w:rPr>
                      <w:rFonts w:ascii="Times New Roman" w:hAnsi="Times New Roman"/>
                      <w:sz w:val="18"/>
                      <w:szCs w:val="18"/>
                    </w:rPr>
                    <w:t>统一贮存在危废间，并建立台账，委托有资质的单位处置</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98" w:hRule="atLeast"/>
              </w:trPr>
              <w:tc>
                <w:tcPr>
                  <w:tcW w:w="716" w:type="dxa"/>
                  <w:vAlign w:val="center"/>
                </w:tcPr>
                <w:p>
                  <w:pPr>
                    <w:spacing w:line="200" w:lineRule="exact"/>
                    <w:jc w:val="center"/>
                    <w:rPr>
                      <w:rFonts w:ascii="Times New Roman" w:hAnsi="Times New Roman"/>
                      <w:sz w:val="18"/>
                      <w:szCs w:val="18"/>
                    </w:rPr>
                  </w:pPr>
                  <w:r>
                    <w:rPr>
                      <w:rFonts w:hint="eastAsia" w:ascii="Times New Roman" w:hAnsi="Times New Roman"/>
                      <w:sz w:val="18"/>
                      <w:szCs w:val="18"/>
                    </w:rPr>
                    <w:t>5</w:t>
                  </w:r>
                </w:p>
              </w:tc>
              <w:tc>
                <w:tcPr>
                  <w:tcW w:w="848" w:type="dxa"/>
                  <w:vAlign w:val="center"/>
                </w:tcPr>
                <w:p>
                  <w:pPr>
                    <w:spacing w:line="200" w:lineRule="exact"/>
                    <w:jc w:val="center"/>
                    <w:rPr>
                      <w:rFonts w:ascii="Times New Roman" w:hAnsi="Times New Roman"/>
                      <w:sz w:val="18"/>
                      <w:szCs w:val="18"/>
                    </w:rPr>
                  </w:pPr>
                  <w:r>
                    <w:rPr>
                      <w:rFonts w:ascii="Times New Roman" w:hAnsi="Times New Roman"/>
                      <w:sz w:val="18"/>
                      <w:szCs w:val="18"/>
                    </w:rPr>
                    <w:t>职工生活</w:t>
                  </w:r>
                </w:p>
              </w:tc>
              <w:tc>
                <w:tcPr>
                  <w:tcW w:w="1033" w:type="dxa"/>
                  <w:vAlign w:val="center"/>
                </w:tcPr>
                <w:p>
                  <w:pPr>
                    <w:spacing w:line="200" w:lineRule="exact"/>
                    <w:jc w:val="center"/>
                    <w:rPr>
                      <w:rFonts w:ascii="Times New Roman" w:hAnsi="Times New Roman"/>
                      <w:sz w:val="18"/>
                      <w:szCs w:val="18"/>
                    </w:rPr>
                  </w:pPr>
                  <w:r>
                    <w:rPr>
                      <w:rFonts w:ascii="Times New Roman" w:hAnsi="Times New Roman"/>
                      <w:sz w:val="18"/>
                      <w:szCs w:val="18"/>
                    </w:rPr>
                    <w:t>生活垃圾</w:t>
                  </w:r>
                </w:p>
              </w:tc>
              <w:tc>
                <w:tcPr>
                  <w:tcW w:w="1059" w:type="dxa"/>
                  <w:vAlign w:val="center"/>
                </w:tcPr>
                <w:p>
                  <w:pPr>
                    <w:spacing w:line="200" w:lineRule="exact"/>
                    <w:jc w:val="center"/>
                    <w:rPr>
                      <w:rFonts w:ascii="Times New Roman" w:hAnsi="Times New Roman"/>
                      <w:sz w:val="18"/>
                      <w:szCs w:val="18"/>
                    </w:rPr>
                  </w:pPr>
                  <w:r>
                    <w:rPr>
                      <w:rFonts w:ascii="Times New Roman" w:hAnsi="Times New Roman"/>
                      <w:sz w:val="18"/>
                      <w:szCs w:val="18"/>
                    </w:rPr>
                    <w:t>生活垃圾</w:t>
                  </w:r>
                </w:p>
              </w:tc>
              <w:tc>
                <w:tcPr>
                  <w:tcW w:w="1136" w:type="dxa"/>
                  <w:noWrap/>
                  <w:vAlign w:val="center"/>
                </w:tcPr>
                <w:p>
                  <w:pPr>
                    <w:spacing w:line="200" w:lineRule="exact"/>
                    <w:jc w:val="center"/>
                    <w:rPr>
                      <w:rFonts w:ascii="Times New Roman" w:hAnsi="Times New Roman"/>
                      <w:sz w:val="18"/>
                      <w:szCs w:val="18"/>
                    </w:rPr>
                  </w:pPr>
                  <w:r>
                    <w:rPr>
                      <w:rFonts w:ascii="Times New Roman" w:hAnsi="Times New Roman"/>
                      <w:sz w:val="18"/>
                      <w:szCs w:val="18"/>
                    </w:rPr>
                    <w:t>/</w:t>
                  </w:r>
                </w:p>
              </w:tc>
              <w:tc>
                <w:tcPr>
                  <w:tcW w:w="1187" w:type="dxa"/>
                  <w:vAlign w:val="center"/>
                </w:tcPr>
                <w:p>
                  <w:pPr>
                    <w:spacing w:line="200" w:lineRule="exact"/>
                    <w:jc w:val="center"/>
                    <w:rPr>
                      <w:rFonts w:ascii="Times New Roman" w:hAnsi="Times New Roman"/>
                      <w:sz w:val="18"/>
                      <w:szCs w:val="18"/>
                    </w:rPr>
                  </w:pPr>
                  <w:r>
                    <w:rPr>
                      <w:rFonts w:hint="eastAsia" w:ascii="Times New Roman" w:hAnsi="Times New Roman"/>
                      <w:sz w:val="18"/>
                      <w:szCs w:val="18"/>
                    </w:rPr>
                    <w:t>0.9</w:t>
                  </w:r>
                </w:p>
              </w:tc>
              <w:tc>
                <w:tcPr>
                  <w:tcW w:w="2755" w:type="dxa"/>
                  <w:vAlign w:val="center"/>
                </w:tcPr>
                <w:p>
                  <w:pPr>
                    <w:spacing w:line="200" w:lineRule="exact"/>
                    <w:jc w:val="center"/>
                    <w:rPr>
                      <w:rFonts w:ascii="Times New Roman" w:hAnsi="Times New Roman"/>
                      <w:sz w:val="18"/>
                      <w:szCs w:val="18"/>
                    </w:rPr>
                  </w:pPr>
                  <w:r>
                    <w:rPr>
                      <w:rFonts w:ascii="Times New Roman" w:hAnsi="Times New Roman"/>
                      <w:sz w:val="18"/>
                      <w:szCs w:val="18"/>
                    </w:rPr>
                    <w:t>委托当地环卫部门统一清运处理</w:t>
                  </w:r>
                </w:p>
              </w:tc>
            </w:tr>
          </w:tbl>
          <w:p>
            <w:pPr>
              <w:autoSpaceDE w:val="0"/>
              <w:autoSpaceDN w:val="0"/>
              <w:adjustRightInd w:val="0"/>
              <w:snapToGrid w:val="0"/>
              <w:spacing w:line="440" w:lineRule="exact"/>
              <w:rPr>
                <w:rFonts w:ascii="Times New Roman" w:hAnsi="Times New Roman"/>
                <w:b/>
                <w:bCs/>
                <w:kern w:val="21"/>
              </w:rPr>
            </w:pPr>
            <w:r>
              <w:rPr>
                <w:rFonts w:ascii="Times New Roman" w:hAnsi="Times New Roman"/>
                <w:b/>
              </w:rPr>
              <w:t>4.2.</w:t>
            </w:r>
            <w:r>
              <w:rPr>
                <w:rFonts w:hint="eastAsia" w:ascii="Times New Roman" w:hAnsi="Times New Roman"/>
                <w:b/>
              </w:rPr>
              <w:t>5</w:t>
            </w:r>
            <w:r>
              <w:rPr>
                <w:rFonts w:ascii="Times New Roman" w:hAnsi="Times New Roman"/>
                <w:b/>
              </w:rPr>
              <w:t>.2</w:t>
            </w:r>
            <w:r>
              <w:rPr>
                <w:rFonts w:ascii="Times New Roman" w:hAnsi="Times New Roman"/>
                <w:b/>
                <w:bCs/>
                <w:kern w:val="21"/>
              </w:rPr>
              <w:t>固体废物处置措施及可行性分析</w:t>
            </w:r>
          </w:p>
          <w:p>
            <w:pPr>
              <w:keepNext w:val="0"/>
              <w:keepLines w:val="0"/>
              <w:pageBreakBefore w:val="0"/>
              <w:widowControl w:val="0"/>
              <w:numPr>
                <w:ilvl w:val="0"/>
                <w:numId w:val="16"/>
              </w:numPr>
              <w:kinsoku/>
              <w:wordWrap/>
              <w:overflowPunct/>
              <w:topLinePunct w:val="0"/>
              <w:autoSpaceDE/>
              <w:autoSpaceDN/>
              <w:bidi w:val="0"/>
              <w:adjustRightInd w:val="0"/>
              <w:snapToGrid w:val="0"/>
              <w:spacing w:line="420" w:lineRule="exact"/>
              <w:ind w:left="601"/>
              <w:textAlignment w:val="auto"/>
              <w:rPr>
                <w:rFonts w:ascii="Times New Roman" w:hAnsi="Times New Roman"/>
                <w:b/>
                <w:bCs/>
              </w:rPr>
            </w:pPr>
            <w:r>
              <w:rPr>
                <w:rFonts w:ascii="Times New Roman" w:hAnsi="Times New Roman"/>
                <w:b/>
                <w:bCs/>
              </w:rPr>
              <w:t>危险废物</w:t>
            </w:r>
            <w:r>
              <w:rPr>
                <w:rFonts w:hint="eastAsia" w:ascii="Times New Roman" w:hAnsi="Times New Roman"/>
                <w:b/>
                <w:bCs/>
              </w:rPr>
              <w:t>收集、暂存、转运相关要求</w:t>
            </w:r>
          </w:p>
          <w:p>
            <w:pPr>
              <w:spacing w:line="420" w:lineRule="exact"/>
              <w:ind w:firstLine="480" w:firstLineChars="200"/>
              <w:rPr>
                <w:rFonts w:hAnsi="Tahoma"/>
              </w:rPr>
            </w:pPr>
            <w:r>
              <w:rPr>
                <w:rFonts w:hint="eastAsia" w:ascii="Times New Roman" w:hAnsi="Times New Roman"/>
              </w:rPr>
              <w:t>根据</w:t>
            </w:r>
            <w:r>
              <w:rPr>
                <w:rFonts w:ascii="Times New Roman" w:hAnsi="Times New Roman"/>
              </w:rPr>
              <w:t>《危险废物贮存污染控制标准》(GB18597-2023)</w:t>
            </w:r>
            <w:r>
              <w:rPr>
                <w:rFonts w:hint="eastAsia" w:hAnsi="Tahoma"/>
              </w:rPr>
              <w:t>有关规定对危废进行管理、收集、暂存和运输，具体要求如下：</w:t>
            </w:r>
          </w:p>
          <w:p>
            <w:pPr>
              <w:keepNext w:val="0"/>
              <w:keepLines w:val="0"/>
              <w:pageBreakBefore w:val="0"/>
              <w:widowControl/>
              <w:numPr>
                <w:ilvl w:val="0"/>
                <w:numId w:val="17"/>
              </w:numPr>
              <w:kinsoku/>
              <w:wordWrap/>
              <w:overflowPunct/>
              <w:topLinePunct w:val="0"/>
              <w:autoSpaceDE/>
              <w:autoSpaceDN/>
              <w:bidi w:val="0"/>
              <w:adjustRightInd/>
              <w:snapToGrid/>
              <w:spacing w:line="400" w:lineRule="exact"/>
              <w:ind w:left="-119" w:firstLine="420"/>
              <w:jc w:val="left"/>
              <w:textAlignment w:val="auto"/>
              <w:rPr>
                <w:rFonts w:hint="eastAsia" w:ascii="Times New Roman" w:hAnsi="Tahoma"/>
                <w:b/>
                <w:bCs/>
              </w:rPr>
            </w:pPr>
            <w:r>
              <w:rPr>
                <w:rFonts w:hint="eastAsia" w:ascii="Times New Roman" w:hAnsi="Tahoma"/>
                <w:b/>
                <w:bCs/>
              </w:rPr>
              <w:t>危险废物的收集包装</w:t>
            </w:r>
          </w:p>
          <w:p>
            <w:pPr>
              <w:spacing w:line="420" w:lineRule="exact"/>
              <w:ind w:firstLine="480" w:firstLineChars="200"/>
              <w:rPr>
                <w:rFonts w:hAnsi="Tahoma"/>
              </w:rPr>
            </w:pPr>
            <w:r>
              <w:rPr>
                <w:rFonts w:hint="eastAsia" w:hAnsi="Tahoma"/>
              </w:rPr>
              <w:t>①配置专职人员专门负责厂区危险废物的收集，并采用符合要求的收集容器进行收集，收集人员配备个人防护设备；</w:t>
            </w:r>
          </w:p>
          <w:p>
            <w:pPr>
              <w:spacing w:line="420" w:lineRule="exact"/>
              <w:ind w:firstLine="480" w:firstLineChars="200"/>
              <w:rPr>
                <w:rFonts w:hAnsi="Tahoma"/>
              </w:rPr>
            </w:pPr>
            <w:r>
              <w:rPr>
                <w:rFonts w:hint="eastAsia" w:hAnsi="Tahoma"/>
              </w:rPr>
              <w:t>②危险废物的收集容器应在醒目位置贴有危险废物标签，在收集场所醒目的地方设置危险废物警告标识。</w:t>
            </w:r>
          </w:p>
          <w:p>
            <w:pPr>
              <w:spacing w:line="420" w:lineRule="exact"/>
              <w:ind w:firstLine="480" w:firstLineChars="200"/>
              <w:rPr>
                <w:rFonts w:hAnsi="Tahoma"/>
              </w:rPr>
            </w:pPr>
            <w:r>
              <w:rPr>
                <w:rFonts w:hint="eastAsia" w:hAnsi="Tahoma"/>
              </w:rPr>
              <w:t>③危险废物标签应标明以下信息：主要化学成分或危险废物名称、数量、物理形态、危险类别、安全措施以及危险废物产生单位名称、地址、联系人及电话。</w:t>
            </w:r>
          </w:p>
          <w:p>
            <w:pPr>
              <w:spacing w:line="420" w:lineRule="exact"/>
              <w:ind w:firstLine="480" w:firstLineChars="200"/>
              <w:rPr>
                <w:rFonts w:hAnsi="Tahoma"/>
              </w:rPr>
            </w:pPr>
            <w:r>
              <w:rPr>
                <w:rFonts w:hint="eastAsia" w:hAnsi="Tahoma"/>
              </w:rPr>
              <w:t>④危险废物在产生点收集后严格按照指定路线转移运输至危险废物暂存间，运输过程采用专用手推车。</w:t>
            </w:r>
          </w:p>
          <w:p>
            <w:pPr>
              <w:spacing w:line="420" w:lineRule="exact"/>
              <w:ind w:firstLine="480" w:firstLineChars="200"/>
              <w:rPr>
                <w:rFonts w:hAnsi="Tahoma"/>
              </w:rPr>
            </w:pPr>
            <w:r>
              <w:rPr>
                <w:rFonts w:hint="eastAsia" w:hAnsi="Tahoma"/>
              </w:rPr>
              <w:t>⑤加强运输过程中的管理，严防洒落现象，若发生洒落及时进行收集处置。</w:t>
            </w:r>
          </w:p>
          <w:p>
            <w:pPr>
              <w:keepNext w:val="0"/>
              <w:keepLines w:val="0"/>
              <w:pageBreakBefore w:val="0"/>
              <w:widowControl/>
              <w:numPr>
                <w:ilvl w:val="0"/>
                <w:numId w:val="17"/>
              </w:numPr>
              <w:kinsoku/>
              <w:wordWrap/>
              <w:overflowPunct/>
              <w:topLinePunct w:val="0"/>
              <w:autoSpaceDE/>
              <w:autoSpaceDN/>
              <w:bidi w:val="0"/>
              <w:adjustRightInd/>
              <w:snapToGrid/>
              <w:spacing w:line="400" w:lineRule="exact"/>
              <w:ind w:left="-119" w:firstLine="420"/>
              <w:jc w:val="left"/>
              <w:textAlignment w:val="auto"/>
              <w:rPr>
                <w:rFonts w:hint="eastAsia" w:ascii="Times New Roman" w:hAnsi="Tahoma"/>
                <w:b/>
                <w:bCs/>
              </w:rPr>
            </w:pPr>
            <w:r>
              <w:rPr>
                <w:rFonts w:hint="eastAsia" w:ascii="Times New Roman" w:hAnsi="Tahoma"/>
                <w:b/>
                <w:bCs/>
              </w:rPr>
              <w:t>危险废物的暂存要求</w:t>
            </w:r>
          </w:p>
          <w:p>
            <w:pPr>
              <w:spacing w:line="420" w:lineRule="exact"/>
              <w:ind w:firstLine="480" w:firstLineChars="200"/>
              <w:rPr>
                <w:rFonts w:hint="eastAsia" w:hAnsi="Tahoma"/>
              </w:rPr>
            </w:pPr>
            <w:r>
              <w:rPr>
                <w:rFonts w:hint="eastAsia" w:hAnsi="Tahoma"/>
                <w:lang w:val="en-US" w:eastAsia="zh-CN"/>
              </w:rPr>
              <w:t>①</w:t>
            </w:r>
            <w:r>
              <w:rPr>
                <w:rFonts w:hint="eastAsia" w:hAnsi="Tahoma"/>
              </w:rPr>
              <w:t>危废暂存间按《危险废物识别标志设置技术规范》(HJ 1276-2022)设置警示标志。</w:t>
            </w:r>
          </w:p>
          <w:p>
            <w:pPr>
              <w:spacing w:line="420" w:lineRule="exact"/>
              <w:ind w:firstLine="480" w:firstLineChars="200"/>
              <w:rPr>
                <w:rFonts w:hint="eastAsia" w:hAnsi="Tahoma"/>
              </w:rPr>
            </w:pPr>
            <w:r>
              <w:rPr>
                <w:rFonts w:hint="eastAsia" w:hAnsi="Tahoma"/>
              </w:rPr>
              <w:t>②必须有耐腐蚀的硬化地面和基础防渗层，地面无裂隙；</w:t>
            </w:r>
          </w:p>
          <w:p>
            <w:pPr>
              <w:spacing w:line="420" w:lineRule="exact"/>
              <w:ind w:firstLine="480" w:firstLineChars="200"/>
              <w:rPr>
                <w:rFonts w:hint="eastAsia" w:hAnsi="Tahoma"/>
              </w:rPr>
            </w:pPr>
            <w:r>
              <w:rPr>
                <w:rFonts w:hint="eastAsia" w:hAnsi="Tahoma"/>
              </w:rPr>
              <w:t>③危废暂存间所地面采用地下水重点防渗措施进行防渗。</w:t>
            </w:r>
          </w:p>
          <w:p>
            <w:pPr>
              <w:spacing w:line="420" w:lineRule="exact"/>
              <w:ind w:firstLine="480" w:firstLineChars="200"/>
              <w:rPr>
                <w:rFonts w:hint="eastAsia" w:hAnsi="Tahoma"/>
              </w:rPr>
            </w:pPr>
            <w:r>
              <w:rPr>
                <w:rFonts w:hint="eastAsia" w:hAnsi="Tahoma"/>
              </w:rPr>
              <w:t>④要求必要的防风、防雨、防晒措施，并设立明显废物识别标志，临时储存场所应具备一个月以上的贮存能力。</w:t>
            </w:r>
          </w:p>
          <w:p>
            <w:pPr>
              <w:spacing w:line="420" w:lineRule="exact"/>
              <w:ind w:firstLine="480" w:firstLineChars="200"/>
              <w:rPr>
                <w:rFonts w:hint="eastAsia" w:hAnsi="Tahoma"/>
              </w:rPr>
            </w:pPr>
            <w:r>
              <w:rPr>
                <w:rFonts w:hint="eastAsia" w:hAnsi="Tahoma"/>
              </w:rPr>
              <w:t>⑤不得将不相容的废物混合或合并存放。</w:t>
            </w:r>
          </w:p>
          <w:p>
            <w:pPr>
              <w:spacing w:line="420" w:lineRule="exact"/>
              <w:ind w:firstLine="480" w:firstLineChars="200"/>
              <w:rPr>
                <w:rFonts w:hint="eastAsia" w:hAnsi="Tahoma"/>
              </w:rPr>
            </w:pPr>
            <w:r>
              <w:rPr>
                <w:rFonts w:hint="eastAsia" w:hAnsi="Tahoma"/>
              </w:rPr>
              <w:t>⑥应配备通讯设备、照明设施、安全防护服装及工具，并设有报警装置和应急防护设施。</w:t>
            </w:r>
          </w:p>
          <w:p>
            <w:pPr>
              <w:keepNext w:val="0"/>
              <w:keepLines w:val="0"/>
              <w:pageBreakBefore w:val="0"/>
              <w:widowControl/>
              <w:numPr>
                <w:ilvl w:val="0"/>
                <w:numId w:val="17"/>
              </w:numPr>
              <w:kinsoku/>
              <w:wordWrap/>
              <w:overflowPunct/>
              <w:topLinePunct w:val="0"/>
              <w:autoSpaceDE/>
              <w:autoSpaceDN/>
              <w:bidi w:val="0"/>
              <w:adjustRightInd/>
              <w:snapToGrid/>
              <w:spacing w:line="400" w:lineRule="exact"/>
              <w:ind w:left="-119" w:firstLine="420"/>
              <w:jc w:val="left"/>
              <w:textAlignment w:val="auto"/>
              <w:rPr>
                <w:rFonts w:ascii="Times New Roman" w:hAnsi="Tahoma"/>
                <w:b/>
                <w:bCs/>
              </w:rPr>
            </w:pPr>
            <w:r>
              <w:rPr>
                <w:rFonts w:hint="eastAsia" w:ascii="Times New Roman" w:hAnsi="Tahoma"/>
                <w:b/>
                <w:bCs/>
              </w:rPr>
              <w:t>危险废物的运输要求</w:t>
            </w:r>
          </w:p>
          <w:p>
            <w:pPr>
              <w:spacing w:line="400" w:lineRule="exact"/>
              <w:ind w:firstLine="480" w:firstLineChars="200"/>
              <w:rPr>
                <w:rFonts w:hAnsi="Tahoma"/>
              </w:rPr>
            </w:pPr>
            <w:r>
              <w:rPr>
                <w:rFonts w:hint="eastAsia" w:hAnsi="Tahoma"/>
              </w:rPr>
              <w:t>危险废物的运输由有资质的单位运输，转运环节执行“电子联单”制度，保证运输安全，防止非法转移和非法处置，保证危险废物的安全监控，防止危险废物污染事故发生。</w:t>
            </w:r>
          </w:p>
          <w:p>
            <w:pPr>
              <w:keepNext w:val="0"/>
              <w:keepLines w:val="0"/>
              <w:pageBreakBefore w:val="0"/>
              <w:widowControl/>
              <w:numPr>
                <w:ilvl w:val="0"/>
                <w:numId w:val="17"/>
              </w:numPr>
              <w:kinsoku/>
              <w:wordWrap/>
              <w:overflowPunct/>
              <w:topLinePunct w:val="0"/>
              <w:autoSpaceDE/>
              <w:autoSpaceDN/>
              <w:bidi w:val="0"/>
              <w:adjustRightInd/>
              <w:snapToGrid/>
              <w:spacing w:line="400" w:lineRule="exact"/>
              <w:ind w:left="-119" w:firstLine="420"/>
              <w:jc w:val="left"/>
              <w:textAlignment w:val="auto"/>
              <w:rPr>
                <w:rFonts w:hint="eastAsia" w:ascii="Times New Roman" w:hAnsi="Tahoma"/>
                <w:b/>
                <w:bCs/>
              </w:rPr>
            </w:pPr>
            <w:r>
              <w:rPr>
                <w:rFonts w:hint="eastAsia" w:ascii="Times New Roman" w:hAnsi="Tahoma"/>
                <w:b/>
                <w:bCs/>
              </w:rPr>
              <w:t>危险废物处置要求</w:t>
            </w:r>
          </w:p>
          <w:p>
            <w:pPr>
              <w:spacing w:line="400" w:lineRule="exact"/>
              <w:ind w:firstLine="480" w:firstLineChars="200"/>
              <w:rPr>
                <w:rFonts w:hAnsi="Tahoma"/>
              </w:rPr>
            </w:pPr>
            <w:r>
              <w:rPr>
                <w:rFonts w:hint="eastAsia" w:hAnsi="Tahoma"/>
              </w:rPr>
              <w:t>项目产生的危险废物在厂区内规范化暂存后，委托有资质的单位进行处置，严禁委托无相关处置资质的单位违规进行处置。</w:t>
            </w:r>
          </w:p>
          <w:p>
            <w:pPr>
              <w:keepNext w:val="0"/>
              <w:keepLines w:val="0"/>
              <w:pageBreakBefore w:val="0"/>
              <w:widowControl/>
              <w:numPr>
                <w:ilvl w:val="0"/>
                <w:numId w:val="17"/>
              </w:numPr>
              <w:kinsoku/>
              <w:wordWrap/>
              <w:overflowPunct/>
              <w:topLinePunct w:val="0"/>
              <w:autoSpaceDE/>
              <w:autoSpaceDN/>
              <w:bidi w:val="0"/>
              <w:adjustRightInd/>
              <w:snapToGrid/>
              <w:spacing w:line="400" w:lineRule="exact"/>
              <w:ind w:left="-119" w:firstLine="420"/>
              <w:jc w:val="left"/>
              <w:textAlignment w:val="auto"/>
              <w:rPr>
                <w:rFonts w:hint="eastAsia" w:ascii="Times New Roman" w:hAnsi="Tahoma"/>
                <w:b/>
                <w:bCs/>
              </w:rPr>
            </w:pPr>
            <w:r>
              <w:rPr>
                <w:rFonts w:hint="eastAsia" w:ascii="Times New Roman" w:hAnsi="Tahoma"/>
                <w:b/>
                <w:bCs/>
              </w:rPr>
              <w:t>环境管理要求</w:t>
            </w:r>
          </w:p>
          <w:p>
            <w:pPr>
              <w:widowControl/>
              <w:numPr>
                <w:ilvl w:val="0"/>
                <w:numId w:val="18"/>
              </w:numPr>
              <w:spacing w:line="400" w:lineRule="exact"/>
              <w:ind w:left="-120" w:firstLine="482"/>
              <w:jc w:val="left"/>
              <w:rPr>
                <w:rFonts w:ascii="Times New Roman" w:hAnsi="Tahoma"/>
              </w:rPr>
            </w:pPr>
            <w:r>
              <w:rPr>
                <w:rFonts w:hint="eastAsia" w:ascii="Times New Roman" w:hAnsi="Tahoma"/>
              </w:rPr>
              <w:t>安排专职人员负责危险废物的收集、暂存管理及后续处置；</w:t>
            </w:r>
          </w:p>
          <w:p>
            <w:pPr>
              <w:widowControl/>
              <w:numPr>
                <w:ilvl w:val="0"/>
                <w:numId w:val="18"/>
              </w:numPr>
              <w:spacing w:line="400" w:lineRule="exact"/>
              <w:ind w:left="-120" w:firstLine="482"/>
              <w:jc w:val="left"/>
              <w:rPr>
                <w:rFonts w:ascii="Times New Roman" w:hAnsi="Tahoma"/>
              </w:rPr>
            </w:pPr>
            <w:r>
              <w:rPr>
                <w:rFonts w:hint="eastAsia" w:ascii="Times New Roman" w:hAnsi="Tahoma"/>
              </w:rPr>
              <w:t>建设规范的危废暂存场所，危险废物应在临时贮存场内分别堆放，禁止将不相容的危险废物混装；</w:t>
            </w:r>
          </w:p>
          <w:p>
            <w:pPr>
              <w:widowControl/>
              <w:numPr>
                <w:ilvl w:val="0"/>
                <w:numId w:val="18"/>
              </w:numPr>
              <w:spacing w:line="400" w:lineRule="exact"/>
              <w:ind w:left="-120" w:firstLine="482"/>
              <w:jc w:val="left"/>
              <w:rPr>
                <w:rFonts w:ascii="Times New Roman" w:hAnsi="Tahoma"/>
              </w:rPr>
            </w:pPr>
            <w:r>
              <w:rPr>
                <w:rFonts w:hint="eastAsia" w:ascii="Times New Roman" w:hAnsi="Tahoma"/>
              </w:rPr>
              <w:t>对危险废物的容器和包装物以及收集、贮存、运输、处置危险废物的设施、场所，必须设置危险废物识别标志；</w:t>
            </w:r>
          </w:p>
          <w:p>
            <w:pPr>
              <w:widowControl/>
              <w:numPr>
                <w:ilvl w:val="0"/>
                <w:numId w:val="18"/>
              </w:numPr>
              <w:spacing w:line="400" w:lineRule="exact"/>
              <w:ind w:left="-120" w:firstLine="482"/>
              <w:jc w:val="left"/>
              <w:rPr>
                <w:rFonts w:ascii="Times New Roman" w:hAnsi="Tahoma"/>
              </w:rPr>
            </w:pPr>
            <w:r>
              <w:rPr>
                <w:rFonts w:hint="eastAsia" w:ascii="Times New Roman" w:hAnsi="Tahoma"/>
              </w:rPr>
              <w:t>禁止将危险废物提供或者委托给无经营许可证的单位从事收集、贮存、利用、处置的经营活动。</w:t>
            </w:r>
          </w:p>
          <w:p>
            <w:pPr>
              <w:widowControl/>
              <w:numPr>
                <w:ilvl w:val="0"/>
                <w:numId w:val="18"/>
              </w:numPr>
              <w:spacing w:line="400" w:lineRule="exact"/>
              <w:ind w:left="-120" w:firstLine="482"/>
              <w:jc w:val="left"/>
              <w:rPr>
                <w:rFonts w:ascii="Times New Roman" w:hAnsi="Tahoma"/>
              </w:rPr>
            </w:pPr>
            <w:r>
              <w:rPr>
                <w:rFonts w:hint="eastAsia" w:ascii="Times New Roman" w:hAnsi="Tahoma"/>
              </w:rPr>
              <w:t>建立危险废物管理台账，记录厂区内危险废物的产生、贮存、处置等情况。</w:t>
            </w:r>
          </w:p>
          <w:p>
            <w:pPr>
              <w:numPr>
                <w:ilvl w:val="0"/>
                <w:numId w:val="16"/>
              </w:numPr>
              <w:adjustRightInd w:val="0"/>
              <w:snapToGrid w:val="0"/>
              <w:spacing w:line="400" w:lineRule="exact"/>
              <w:ind w:left="600"/>
              <w:rPr>
                <w:rFonts w:ascii="Times New Roman" w:hAnsi="Times New Roman"/>
                <w:b/>
                <w:bCs/>
              </w:rPr>
            </w:pPr>
            <w:r>
              <w:rPr>
                <w:rFonts w:ascii="Times New Roman" w:hAnsi="Times New Roman"/>
                <w:b/>
                <w:bCs/>
              </w:rPr>
              <w:t>危险废物</w:t>
            </w:r>
            <w:r>
              <w:rPr>
                <w:rFonts w:hint="eastAsia" w:ascii="Times New Roman" w:hAnsi="Times New Roman"/>
                <w:b/>
                <w:bCs/>
              </w:rPr>
              <w:t>暂存设施可行性分析</w:t>
            </w:r>
          </w:p>
          <w:p>
            <w:pPr>
              <w:spacing w:line="400" w:lineRule="exact"/>
              <w:ind w:firstLine="480" w:firstLineChars="200"/>
              <w:rPr>
                <w:rFonts w:ascii="Times New Roman" w:hAnsi="Times New Roman"/>
                <w:szCs w:val="21"/>
              </w:rPr>
            </w:pPr>
            <w:r>
              <w:rPr>
                <w:rFonts w:hint="eastAsia" w:hAnsi="Tahoma"/>
              </w:rPr>
              <w:t>厂区按规范设置危废暂存间</w:t>
            </w:r>
            <w:r>
              <w:rPr>
                <w:rFonts w:ascii="Times New Roman" w:hAnsi="Times New Roman"/>
              </w:rPr>
              <w:t>1个，</w:t>
            </w:r>
            <w:r>
              <w:rPr>
                <w:rFonts w:hint="eastAsia" w:ascii="Times New Roman" w:hAnsi="Times New Roman"/>
              </w:rPr>
              <w:t>占地</w:t>
            </w:r>
            <w:r>
              <w:rPr>
                <w:rFonts w:ascii="Times New Roman" w:hAnsi="Times New Roman"/>
              </w:rPr>
              <w:t>面积约为15m</w:t>
            </w:r>
            <w:r>
              <w:rPr>
                <w:rFonts w:ascii="Times New Roman" w:hAnsi="Times New Roman"/>
                <w:vertAlign w:val="superscript"/>
              </w:rPr>
              <w:t>2</w:t>
            </w:r>
            <w:r>
              <w:rPr>
                <w:rFonts w:ascii="Times New Roman" w:hAnsi="Times New Roman"/>
              </w:rPr>
              <w:t>，</w:t>
            </w:r>
            <w:r>
              <w:rPr>
                <w:rFonts w:hint="eastAsia" w:hAnsi="Tahoma"/>
              </w:rPr>
              <w:t>地面采取“防渗混凝土硬化</w:t>
            </w:r>
            <w:r>
              <w:rPr>
                <w:rFonts w:hAnsi="Tahoma"/>
              </w:rPr>
              <w:t>+</w:t>
            </w:r>
            <w:r>
              <w:rPr>
                <w:rFonts w:hint="eastAsia" w:hAnsi="Tahoma"/>
              </w:rPr>
              <w:t>环氧树脂地坪漆”防渗，并设置防风、防雨、防晒及截流措施，废机油及浮油采用专用容器包装后贮存在危废暂存间，并设置警示牌。本项目设置的危废暂存间基本满足相关规范要求，暂存场贮存能力满足暂存要求</w:t>
            </w:r>
            <w:r>
              <w:rPr>
                <w:rFonts w:ascii="Times New Roman" w:hAnsi="Times New Roman"/>
                <w:szCs w:val="21"/>
              </w:rPr>
              <w:t>。</w:t>
            </w:r>
          </w:p>
          <w:p>
            <w:pPr>
              <w:widowControl/>
              <w:spacing w:line="440" w:lineRule="exact"/>
              <w:ind w:firstLine="422"/>
              <w:jc w:val="center"/>
              <w:rPr>
                <w:rFonts w:ascii="Times New Roman" w:hAnsi="Times New Roman" w:eastAsia="黑体"/>
                <w:b/>
                <w:bCs/>
                <w:kern w:val="0"/>
                <w:sz w:val="21"/>
                <w:szCs w:val="21"/>
              </w:rPr>
            </w:pPr>
            <w:r>
              <w:rPr>
                <w:rFonts w:ascii="Times New Roman" w:hAnsi="Times New Roman" w:eastAsia="黑体"/>
                <w:b/>
                <w:bCs/>
                <w:kern w:val="0"/>
                <w:sz w:val="21"/>
                <w:szCs w:val="21"/>
              </w:rPr>
              <w:t>表4.2-</w:t>
            </w:r>
            <w:r>
              <w:rPr>
                <w:rFonts w:hint="eastAsia" w:ascii="Times New Roman" w:hAnsi="Times New Roman" w:eastAsia="黑体"/>
                <w:b/>
                <w:bCs/>
                <w:kern w:val="0"/>
                <w:sz w:val="21"/>
                <w:szCs w:val="21"/>
              </w:rPr>
              <w:t>9</w:t>
            </w:r>
            <w:r>
              <w:rPr>
                <w:rFonts w:ascii="Times New Roman" w:hAnsi="Times New Roman" w:eastAsia="黑体"/>
                <w:b/>
                <w:bCs/>
                <w:kern w:val="0"/>
                <w:sz w:val="21"/>
                <w:szCs w:val="21"/>
              </w:rPr>
              <w:t xml:space="preserve"> </w:t>
            </w:r>
            <w:r>
              <w:rPr>
                <w:rFonts w:hint="eastAsia" w:ascii="Times New Roman" w:hAnsi="Times New Roman" w:eastAsia="黑体"/>
                <w:b/>
                <w:bCs/>
                <w:kern w:val="0"/>
                <w:sz w:val="21"/>
                <w:szCs w:val="21"/>
              </w:rPr>
              <w:t>建设项目危险废物贮存库基本情况</w:t>
            </w:r>
          </w:p>
          <w:tbl>
            <w:tblPr>
              <w:tblStyle w:val="25"/>
              <w:tblW w:w="8729"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240"/>
              <w:gridCol w:w="961"/>
              <w:gridCol w:w="1532"/>
              <w:gridCol w:w="804"/>
              <w:gridCol w:w="1048"/>
              <w:gridCol w:w="1102"/>
              <w:gridCol w:w="800"/>
              <w:gridCol w:w="1242"/>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40" w:type="dxa"/>
                  <w:vAlign w:val="center"/>
                </w:tcPr>
                <w:p>
                  <w:pPr>
                    <w:jc w:val="center"/>
                    <w:rPr>
                      <w:rFonts w:ascii="Times New Roman" w:hAnsi="Times New Roman"/>
                      <w:sz w:val="21"/>
                      <w:szCs w:val="21"/>
                    </w:rPr>
                  </w:pPr>
                  <w:r>
                    <w:rPr>
                      <w:rFonts w:hint="eastAsia" w:ascii="Times New Roman" w:hAnsi="Times New Roman"/>
                      <w:sz w:val="21"/>
                      <w:szCs w:val="21"/>
                    </w:rPr>
                    <w:t>贮存场所名称</w:t>
                  </w:r>
                </w:p>
              </w:tc>
              <w:tc>
                <w:tcPr>
                  <w:tcW w:w="961" w:type="dxa"/>
                  <w:vAlign w:val="center"/>
                </w:tcPr>
                <w:p>
                  <w:pPr>
                    <w:jc w:val="center"/>
                    <w:rPr>
                      <w:rFonts w:ascii="Times New Roman" w:hAnsi="Times New Roman"/>
                      <w:sz w:val="21"/>
                      <w:szCs w:val="21"/>
                    </w:rPr>
                  </w:pPr>
                  <w:r>
                    <w:rPr>
                      <w:rFonts w:hint="eastAsia" w:ascii="Times New Roman" w:hAnsi="Times New Roman"/>
                      <w:sz w:val="21"/>
                      <w:szCs w:val="21"/>
                    </w:rPr>
                    <w:t>危废名称</w:t>
                  </w:r>
                </w:p>
              </w:tc>
              <w:tc>
                <w:tcPr>
                  <w:tcW w:w="1532" w:type="dxa"/>
                  <w:vAlign w:val="center"/>
                </w:tcPr>
                <w:p>
                  <w:pPr>
                    <w:jc w:val="center"/>
                    <w:rPr>
                      <w:rFonts w:ascii="Times New Roman" w:hAnsi="Times New Roman"/>
                      <w:sz w:val="21"/>
                      <w:szCs w:val="21"/>
                    </w:rPr>
                  </w:pPr>
                  <w:r>
                    <w:rPr>
                      <w:rFonts w:hint="eastAsia" w:ascii="Times New Roman" w:hAnsi="Times New Roman"/>
                      <w:sz w:val="21"/>
                      <w:szCs w:val="21"/>
                    </w:rPr>
                    <w:t>危废代码</w:t>
                  </w:r>
                </w:p>
              </w:tc>
              <w:tc>
                <w:tcPr>
                  <w:tcW w:w="804" w:type="dxa"/>
                  <w:vAlign w:val="center"/>
                </w:tcPr>
                <w:p>
                  <w:pPr>
                    <w:jc w:val="center"/>
                    <w:rPr>
                      <w:rFonts w:ascii="Times New Roman" w:hAnsi="Times New Roman"/>
                      <w:sz w:val="21"/>
                      <w:szCs w:val="21"/>
                    </w:rPr>
                  </w:pPr>
                  <w:r>
                    <w:rPr>
                      <w:rFonts w:hint="eastAsia" w:ascii="Times New Roman" w:hAnsi="Times New Roman"/>
                      <w:sz w:val="21"/>
                      <w:szCs w:val="21"/>
                    </w:rPr>
                    <w:t>占地面积</w:t>
                  </w:r>
                </w:p>
              </w:tc>
              <w:tc>
                <w:tcPr>
                  <w:tcW w:w="1048" w:type="dxa"/>
                  <w:vAlign w:val="center"/>
                </w:tcPr>
                <w:p>
                  <w:pPr>
                    <w:jc w:val="center"/>
                    <w:rPr>
                      <w:rFonts w:ascii="Times New Roman" w:hAnsi="Times New Roman"/>
                      <w:sz w:val="21"/>
                      <w:szCs w:val="21"/>
                    </w:rPr>
                  </w:pPr>
                  <w:r>
                    <w:rPr>
                      <w:rFonts w:hint="eastAsia" w:ascii="Times New Roman" w:hAnsi="Times New Roman"/>
                      <w:sz w:val="21"/>
                      <w:szCs w:val="21"/>
                    </w:rPr>
                    <w:t>贮存</w:t>
                  </w:r>
                </w:p>
                <w:p>
                  <w:pPr>
                    <w:jc w:val="center"/>
                    <w:rPr>
                      <w:rFonts w:ascii="Times New Roman" w:hAnsi="Times New Roman"/>
                      <w:sz w:val="21"/>
                      <w:szCs w:val="21"/>
                    </w:rPr>
                  </w:pPr>
                  <w:r>
                    <w:rPr>
                      <w:rFonts w:hint="eastAsia" w:ascii="Times New Roman" w:hAnsi="Times New Roman"/>
                      <w:sz w:val="21"/>
                      <w:szCs w:val="21"/>
                    </w:rPr>
                    <w:t>方式</w:t>
                  </w:r>
                </w:p>
              </w:tc>
              <w:tc>
                <w:tcPr>
                  <w:tcW w:w="1102" w:type="dxa"/>
                  <w:vAlign w:val="center"/>
                </w:tcPr>
                <w:p>
                  <w:pPr>
                    <w:jc w:val="center"/>
                    <w:rPr>
                      <w:rFonts w:ascii="Times New Roman" w:hAnsi="Times New Roman"/>
                      <w:sz w:val="21"/>
                      <w:szCs w:val="21"/>
                    </w:rPr>
                  </w:pPr>
                  <w:r>
                    <w:rPr>
                      <w:rFonts w:hint="eastAsia" w:ascii="Times New Roman" w:hAnsi="Times New Roman"/>
                      <w:sz w:val="21"/>
                      <w:szCs w:val="21"/>
                    </w:rPr>
                    <w:t>产生量</w:t>
                  </w:r>
                </w:p>
              </w:tc>
              <w:tc>
                <w:tcPr>
                  <w:tcW w:w="800" w:type="dxa"/>
                  <w:vAlign w:val="center"/>
                </w:tcPr>
                <w:p>
                  <w:pPr>
                    <w:jc w:val="center"/>
                    <w:rPr>
                      <w:rFonts w:ascii="Times New Roman" w:hAnsi="Times New Roman"/>
                      <w:sz w:val="21"/>
                      <w:szCs w:val="21"/>
                    </w:rPr>
                  </w:pPr>
                  <w:r>
                    <w:rPr>
                      <w:rFonts w:hint="eastAsia" w:ascii="Times New Roman" w:hAnsi="Times New Roman"/>
                      <w:sz w:val="21"/>
                      <w:szCs w:val="21"/>
                    </w:rPr>
                    <w:t>贮存能力</w:t>
                  </w:r>
                </w:p>
              </w:tc>
              <w:tc>
                <w:tcPr>
                  <w:tcW w:w="1242" w:type="dxa"/>
                  <w:vAlign w:val="center"/>
                </w:tcPr>
                <w:p>
                  <w:pPr>
                    <w:jc w:val="center"/>
                    <w:rPr>
                      <w:rFonts w:ascii="Times New Roman" w:hAnsi="Times New Roman"/>
                      <w:sz w:val="21"/>
                      <w:szCs w:val="21"/>
                    </w:rPr>
                  </w:pPr>
                  <w:r>
                    <w:rPr>
                      <w:rFonts w:hint="eastAsia" w:ascii="Times New Roman" w:hAnsi="Times New Roman"/>
                      <w:sz w:val="21"/>
                      <w:szCs w:val="21"/>
                    </w:rPr>
                    <w:t>贮存周期</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40" w:type="dxa"/>
                  <w:vMerge w:val="restart"/>
                  <w:vAlign w:val="center"/>
                </w:tcPr>
                <w:p>
                  <w:pPr>
                    <w:jc w:val="center"/>
                    <w:rPr>
                      <w:rFonts w:ascii="Times New Roman" w:hAnsi="Times New Roman"/>
                      <w:sz w:val="21"/>
                      <w:szCs w:val="21"/>
                    </w:rPr>
                  </w:pPr>
                  <w:r>
                    <w:rPr>
                      <w:rFonts w:hint="eastAsia" w:ascii="Times New Roman" w:hAnsi="Times New Roman"/>
                      <w:sz w:val="21"/>
                      <w:szCs w:val="21"/>
                    </w:rPr>
                    <w:t>危废暂存间</w:t>
                  </w:r>
                </w:p>
              </w:tc>
              <w:tc>
                <w:tcPr>
                  <w:tcW w:w="961" w:type="dxa"/>
                  <w:vAlign w:val="center"/>
                </w:tcPr>
                <w:p>
                  <w:pPr>
                    <w:jc w:val="center"/>
                    <w:rPr>
                      <w:rFonts w:ascii="Times New Roman" w:hAnsi="Times New Roman"/>
                      <w:sz w:val="21"/>
                      <w:szCs w:val="21"/>
                    </w:rPr>
                  </w:pPr>
                  <w:r>
                    <w:rPr>
                      <w:rFonts w:hint="eastAsia" w:ascii="Times New Roman" w:hAnsi="Times New Roman"/>
                      <w:sz w:val="21"/>
                      <w:szCs w:val="21"/>
                    </w:rPr>
                    <w:t>废机油</w:t>
                  </w:r>
                </w:p>
              </w:tc>
              <w:tc>
                <w:tcPr>
                  <w:tcW w:w="1532" w:type="dxa"/>
                  <w:vAlign w:val="center"/>
                </w:tcPr>
                <w:p>
                  <w:pPr>
                    <w:jc w:val="center"/>
                    <w:rPr>
                      <w:rFonts w:ascii="Times New Roman" w:hAnsi="Times New Roman"/>
                      <w:sz w:val="21"/>
                      <w:szCs w:val="21"/>
                    </w:rPr>
                  </w:pPr>
                  <w:r>
                    <w:rPr>
                      <w:rFonts w:hint="eastAsia" w:ascii="Times New Roman" w:hAnsi="Times New Roman"/>
                      <w:sz w:val="21"/>
                      <w:szCs w:val="21"/>
                    </w:rPr>
                    <w:t>900-218-08</w:t>
                  </w:r>
                </w:p>
              </w:tc>
              <w:tc>
                <w:tcPr>
                  <w:tcW w:w="804" w:type="dxa"/>
                  <w:vMerge w:val="restart"/>
                  <w:vAlign w:val="center"/>
                </w:tcPr>
                <w:p>
                  <w:pPr>
                    <w:jc w:val="center"/>
                    <w:rPr>
                      <w:rFonts w:ascii="Times New Roman" w:hAnsi="Times New Roman"/>
                      <w:sz w:val="21"/>
                      <w:szCs w:val="21"/>
                    </w:rPr>
                  </w:pPr>
                  <w:r>
                    <w:rPr>
                      <w:rFonts w:hint="eastAsia" w:ascii="Times New Roman" w:hAnsi="Times New Roman"/>
                      <w:sz w:val="21"/>
                      <w:szCs w:val="21"/>
                    </w:rPr>
                    <w:t>15m</w:t>
                  </w:r>
                  <w:r>
                    <w:rPr>
                      <w:rFonts w:hint="eastAsia" w:ascii="Times New Roman" w:hAnsi="Times New Roman"/>
                      <w:sz w:val="21"/>
                      <w:szCs w:val="21"/>
                      <w:vertAlign w:val="superscript"/>
                    </w:rPr>
                    <w:t>2</w:t>
                  </w:r>
                </w:p>
              </w:tc>
              <w:tc>
                <w:tcPr>
                  <w:tcW w:w="1048" w:type="dxa"/>
                  <w:vAlign w:val="center"/>
                </w:tcPr>
                <w:p>
                  <w:pPr>
                    <w:jc w:val="center"/>
                    <w:rPr>
                      <w:rFonts w:ascii="Times New Roman" w:hAnsi="Times New Roman"/>
                      <w:sz w:val="21"/>
                      <w:szCs w:val="21"/>
                    </w:rPr>
                  </w:pPr>
                  <w:r>
                    <w:rPr>
                      <w:rFonts w:hint="eastAsia" w:ascii="Times New Roman" w:hAnsi="Times New Roman"/>
                      <w:sz w:val="21"/>
                      <w:szCs w:val="21"/>
                    </w:rPr>
                    <w:t>桶装密闭贮存</w:t>
                  </w:r>
                </w:p>
              </w:tc>
              <w:tc>
                <w:tcPr>
                  <w:tcW w:w="1102" w:type="dxa"/>
                  <w:vAlign w:val="center"/>
                </w:tcPr>
                <w:p>
                  <w:pPr>
                    <w:jc w:val="center"/>
                    <w:rPr>
                      <w:rFonts w:ascii="Times New Roman" w:hAnsi="Times New Roman"/>
                      <w:sz w:val="21"/>
                      <w:szCs w:val="21"/>
                    </w:rPr>
                  </w:pPr>
                  <w:r>
                    <w:rPr>
                      <w:rFonts w:hint="eastAsia" w:ascii="Times New Roman" w:hAnsi="Times New Roman"/>
                      <w:sz w:val="21"/>
                      <w:szCs w:val="21"/>
                    </w:rPr>
                    <w:t>0.1t/a</w:t>
                  </w:r>
                </w:p>
              </w:tc>
              <w:tc>
                <w:tcPr>
                  <w:tcW w:w="800" w:type="dxa"/>
                  <w:vAlign w:val="center"/>
                </w:tcPr>
                <w:p>
                  <w:pPr>
                    <w:jc w:val="center"/>
                    <w:rPr>
                      <w:rFonts w:ascii="Times New Roman" w:hAnsi="Times New Roman"/>
                      <w:sz w:val="21"/>
                      <w:szCs w:val="21"/>
                    </w:rPr>
                  </w:pPr>
                  <w:r>
                    <w:rPr>
                      <w:rFonts w:hint="eastAsia" w:ascii="Times New Roman" w:hAnsi="Times New Roman"/>
                      <w:sz w:val="21"/>
                      <w:szCs w:val="21"/>
                    </w:rPr>
                    <w:t>5t</w:t>
                  </w:r>
                </w:p>
              </w:tc>
              <w:tc>
                <w:tcPr>
                  <w:tcW w:w="1242" w:type="dxa"/>
                  <w:vAlign w:val="center"/>
                </w:tcPr>
                <w:p>
                  <w:pPr>
                    <w:jc w:val="center"/>
                    <w:rPr>
                      <w:rFonts w:ascii="Times New Roman" w:hAnsi="Times New Roman"/>
                      <w:sz w:val="21"/>
                      <w:szCs w:val="21"/>
                    </w:rPr>
                  </w:pPr>
                  <w:r>
                    <w:rPr>
                      <w:rFonts w:hint="eastAsia" w:ascii="Times New Roman" w:hAnsi="Times New Roman"/>
                      <w:sz w:val="21"/>
                      <w:szCs w:val="21"/>
                    </w:rPr>
                    <w:t>1~3个月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40" w:type="dxa"/>
                  <w:vMerge w:val="continue"/>
                  <w:vAlign w:val="center"/>
                </w:tcPr>
                <w:p>
                  <w:pPr>
                    <w:jc w:val="center"/>
                    <w:rPr>
                      <w:rFonts w:ascii="Times New Roman" w:hAnsi="Times New Roman"/>
                      <w:sz w:val="21"/>
                      <w:szCs w:val="21"/>
                    </w:rPr>
                  </w:pPr>
                </w:p>
              </w:tc>
              <w:tc>
                <w:tcPr>
                  <w:tcW w:w="961" w:type="dxa"/>
                  <w:vAlign w:val="center"/>
                </w:tcPr>
                <w:p>
                  <w:pPr>
                    <w:jc w:val="center"/>
                    <w:rPr>
                      <w:rFonts w:ascii="Times New Roman" w:hAnsi="Times New Roman"/>
                      <w:sz w:val="21"/>
                      <w:szCs w:val="21"/>
                    </w:rPr>
                  </w:pPr>
                  <w:r>
                    <w:rPr>
                      <w:rFonts w:hint="eastAsia" w:ascii="Times New Roman" w:hAnsi="Times New Roman"/>
                      <w:sz w:val="21"/>
                      <w:szCs w:val="21"/>
                    </w:rPr>
                    <w:t>浮油</w:t>
                  </w:r>
                </w:p>
              </w:tc>
              <w:tc>
                <w:tcPr>
                  <w:tcW w:w="1532" w:type="dxa"/>
                  <w:vAlign w:val="center"/>
                </w:tcPr>
                <w:p>
                  <w:pPr>
                    <w:jc w:val="center"/>
                    <w:rPr>
                      <w:rFonts w:ascii="Times New Roman" w:hAnsi="Times New Roman"/>
                      <w:sz w:val="21"/>
                      <w:szCs w:val="21"/>
                    </w:rPr>
                  </w:pPr>
                  <w:r>
                    <w:rPr>
                      <w:rFonts w:hint="eastAsia" w:ascii="Times New Roman" w:hAnsi="Times New Roman"/>
                      <w:sz w:val="21"/>
                      <w:szCs w:val="21"/>
                    </w:rPr>
                    <w:t>900-210-08</w:t>
                  </w:r>
                </w:p>
              </w:tc>
              <w:tc>
                <w:tcPr>
                  <w:tcW w:w="804" w:type="dxa"/>
                  <w:vMerge w:val="continue"/>
                  <w:vAlign w:val="center"/>
                </w:tcPr>
                <w:p>
                  <w:pPr>
                    <w:jc w:val="center"/>
                    <w:rPr>
                      <w:rFonts w:ascii="Times New Roman" w:hAnsi="Times New Roman"/>
                      <w:sz w:val="21"/>
                      <w:szCs w:val="21"/>
                    </w:rPr>
                  </w:pPr>
                </w:p>
              </w:tc>
              <w:tc>
                <w:tcPr>
                  <w:tcW w:w="1048" w:type="dxa"/>
                  <w:vAlign w:val="center"/>
                </w:tcPr>
                <w:p>
                  <w:pPr>
                    <w:jc w:val="center"/>
                    <w:rPr>
                      <w:rFonts w:ascii="Times New Roman" w:hAnsi="Times New Roman"/>
                      <w:sz w:val="21"/>
                      <w:szCs w:val="21"/>
                    </w:rPr>
                  </w:pPr>
                  <w:r>
                    <w:rPr>
                      <w:rFonts w:hint="eastAsia" w:ascii="Times New Roman" w:hAnsi="Times New Roman"/>
                      <w:sz w:val="21"/>
                      <w:szCs w:val="21"/>
                    </w:rPr>
                    <w:t>桶装密闭贮存</w:t>
                  </w:r>
                </w:p>
              </w:tc>
              <w:tc>
                <w:tcPr>
                  <w:tcW w:w="1102" w:type="dxa"/>
                  <w:vAlign w:val="center"/>
                </w:tcPr>
                <w:p>
                  <w:pPr>
                    <w:jc w:val="center"/>
                    <w:rPr>
                      <w:rFonts w:ascii="Times New Roman" w:hAnsi="Times New Roman"/>
                      <w:sz w:val="21"/>
                      <w:szCs w:val="21"/>
                    </w:rPr>
                  </w:pPr>
                  <w:r>
                    <w:rPr>
                      <w:rFonts w:hint="eastAsia" w:ascii="Times New Roman" w:hAnsi="Times New Roman"/>
                      <w:sz w:val="21"/>
                      <w:szCs w:val="21"/>
                    </w:rPr>
                    <w:t>0.13t/a</w:t>
                  </w:r>
                </w:p>
              </w:tc>
              <w:tc>
                <w:tcPr>
                  <w:tcW w:w="800" w:type="dxa"/>
                  <w:vAlign w:val="center"/>
                </w:tcPr>
                <w:p>
                  <w:pPr>
                    <w:jc w:val="center"/>
                    <w:rPr>
                      <w:rFonts w:ascii="Times New Roman" w:hAnsi="Times New Roman"/>
                      <w:sz w:val="21"/>
                      <w:szCs w:val="21"/>
                    </w:rPr>
                  </w:pPr>
                  <w:r>
                    <w:rPr>
                      <w:rFonts w:hint="eastAsia" w:ascii="Times New Roman" w:hAnsi="Times New Roman"/>
                      <w:sz w:val="21"/>
                      <w:szCs w:val="21"/>
                    </w:rPr>
                    <w:t>5t</w:t>
                  </w:r>
                </w:p>
              </w:tc>
              <w:tc>
                <w:tcPr>
                  <w:tcW w:w="1242" w:type="dxa"/>
                  <w:vAlign w:val="center"/>
                </w:tcPr>
                <w:p>
                  <w:pPr>
                    <w:jc w:val="center"/>
                    <w:rPr>
                      <w:rFonts w:ascii="Times New Roman" w:hAnsi="Times New Roman"/>
                      <w:sz w:val="21"/>
                      <w:szCs w:val="21"/>
                    </w:rPr>
                  </w:pPr>
                  <w:r>
                    <w:rPr>
                      <w:rFonts w:hint="eastAsia" w:ascii="Times New Roman" w:hAnsi="Times New Roman"/>
                      <w:sz w:val="21"/>
                      <w:szCs w:val="21"/>
                    </w:rPr>
                    <w:t>1~3个月</w:t>
                  </w:r>
                </w:p>
              </w:tc>
            </w:tr>
          </w:tbl>
          <w:p>
            <w:pPr>
              <w:numPr>
                <w:ilvl w:val="0"/>
                <w:numId w:val="16"/>
              </w:numPr>
              <w:adjustRightInd w:val="0"/>
              <w:snapToGrid w:val="0"/>
              <w:spacing w:line="400" w:lineRule="exact"/>
              <w:ind w:left="600"/>
              <w:rPr>
                <w:rFonts w:ascii="Times New Roman" w:hAnsi="Times New Roman"/>
                <w:b/>
                <w:bCs/>
              </w:rPr>
            </w:pPr>
            <w:r>
              <w:rPr>
                <w:rFonts w:ascii="Times New Roman" w:hAnsi="Times New Roman"/>
                <w:b/>
                <w:bCs/>
              </w:rPr>
              <w:t>一般工业固体废物</w:t>
            </w:r>
          </w:p>
          <w:p>
            <w:pPr>
              <w:adjustRightInd w:val="0"/>
              <w:snapToGrid w:val="0"/>
              <w:spacing w:line="400" w:lineRule="exact"/>
              <w:ind w:firstLine="480" w:firstLineChars="200"/>
              <w:rPr>
                <w:rFonts w:ascii="Times New Roman" w:hAnsi="Times New Roman"/>
                <w:szCs w:val="21"/>
              </w:rPr>
            </w:pPr>
            <w:r>
              <w:rPr>
                <w:rFonts w:ascii="Times New Roman" w:hAnsi="Times New Roman"/>
              </w:rPr>
              <w:t>项目</w:t>
            </w:r>
            <w:r>
              <w:rPr>
                <w:rFonts w:hint="eastAsia" w:ascii="Times New Roman" w:hAnsi="Times New Roman"/>
              </w:rPr>
              <w:t>尾渣堆场</w:t>
            </w:r>
            <w:r>
              <w:rPr>
                <w:rFonts w:ascii="Times New Roman" w:hAnsi="Times New Roman"/>
              </w:rPr>
              <w:t>采用防渗混凝土硬化，符合《一般工业固体废物贮存和填埋污染控制标准》（GB 18599-2020）。</w:t>
            </w:r>
            <w:r>
              <w:rPr>
                <w:rFonts w:hint="eastAsia" w:ascii="Times New Roman" w:hAnsi="Times New Roman"/>
              </w:rPr>
              <w:t>尾渣、污泥经收集后，委托可利用的单位回收后综合利用</w:t>
            </w:r>
            <w:r>
              <w:rPr>
                <w:rFonts w:ascii="Times New Roman" w:hAnsi="Times New Roman"/>
                <w:szCs w:val="21"/>
              </w:rPr>
              <w:t>。</w:t>
            </w:r>
            <w:r>
              <w:rPr>
                <w:rFonts w:hint="eastAsia" w:ascii="Times New Roman" w:hAnsi="Times New Roman"/>
                <w:szCs w:val="21"/>
              </w:rPr>
              <w:t>压滤机废滤布委托可回收利用的厂家回收。</w:t>
            </w:r>
          </w:p>
          <w:p>
            <w:pPr>
              <w:numPr>
                <w:ilvl w:val="0"/>
                <w:numId w:val="16"/>
              </w:numPr>
              <w:adjustRightInd w:val="0"/>
              <w:snapToGrid w:val="0"/>
              <w:spacing w:line="400" w:lineRule="exact"/>
              <w:ind w:left="600"/>
              <w:rPr>
                <w:rFonts w:ascii="Times New Roman" w:hAnsi="Times New Roman"/>
                <w:b/>
                <w:bCs/>
              </w:rPr>
            </w:pPr>
            <w:r>
              <w:rPr>
                <w:rFonts w:ascii="Times New Roman" w:hAnsi="Times New Roman"/>
                <w:b/>
                <w:bCs/>
              </w:rPr>
              <w:t>生活垃圾</w:t>
            </w:r>
          </w:p>
          <w:p>
            <w:pPr>
              <w:adjustRightInd w:val="0"/>
              <w:snapToGrid w:val="0"/>
              <w:spacing w:line="400" w:lineRule="exact"/>
              <w:ind w:firstLine="480" w:firstLineChars="200"/>
              <w:rPr>
                <w:rFonts w:ascii="Times New Roman" w:hAnsi="Times New Roman"/>
              </w:rPr>
            </w:pPr>
            <w:r>
              <w:rPr>
                <w:rFonts w:ascii="Times New Roman" w:hAnsi="Times New Roman"/>
              </w:rPr>
              <w:t>项目已定点设置垃圾桶，生活垃圾集中收集后由当地环卫部门统一清运。</w:t>
            </w:r>
          </w:p>
          <w:p>
            <w:pPr>
              <w:spacing w:line="440" w:lineRule="exact"/>
              <w:ind w:firstLine="480" w:firstLineChars="200"/>
              <w:rPr>
                <w:rFonts w:ascii="Times New Roman" w:hAnsi="Times New Roman"/>
              </w:rPr>
            </w:pPr>
            <w:r>
              <w:rPr>
                <w:rFonts w:ascii="Times New Roman" w:hAnsi="Times New Roman"/>
              </w:rPr>
              <w:t>综上所述，固体废物均得到有效处置，不会对周围环境产生很大影响</w:t>
            </w:r>
            <w:r>
              <w:rPr>
                <w:rFonts w:hint="eastAsia" w:ascii="Times New Roman" w:hAnsi="Times New Roman"/>
              </w:rPr>
              <w:t>。</w:t>
            </w:r>
          </w:p>
          <w:p>
            <w:pPr>
              <w:pStyle w:val="8"/>
              <w:numPr>
                <w:ilvl w:val="0"/>
                <w:numId w:val="0"/>
              </w:numPr>
              <w:spacing w:line="440" w:lineRule="exact"/>
              <w:rPr>
                <w:rFonts w:ascii="Times New Roman" w:hAnsi="Times New Roman"/>
                <w:szCs w:val="24"/>
              </w:rPr>
            </w:pPr>
            <w:r>
              <w:rPr>
                <w:rFonts w:ascii="Times New Roman" w:hAnsi="Times New Roman"/>
                <w:szCs w:val="24"/>
              </w:rPr>
              <w:t>4.2.</w:t>
            </w:r>
            <w:r>
              <w:rPr>
                <w:rFonts w:hint="eastAsia" w:ascii="Times New Roman" w:hAnsi="Times New Roman"/>
                <w:szCs w:val="24"/>
              </w:rPr>
              <w:t>6地下水</w:t>
            </w:r>
          </w:p>
          <w:p>
            <w:pPr>
              <w:numPr>
                <w:ilvl w:val="0"/>
                <w:numId w:val="19"/>
              </w:numPr>
              <w:spacing w:line="420" w:lineRule="atLeast"/>
              <w:ind w:firstLine="480" w:firstLineChars="200"/>
              <w:rPr>
                <w:rFonts w:ascii="Times New Roman" w:hAnsi="Times New Roman" w:cs="宋体"/>
                <w:shd w:val="clear" w:color="auto" w:fill="FFFFFF"/>
                <w:lang w:bidi="ar"/>
              </w:rPr>
            </w:pPr>
            <w:r>
              <w:rPr>
                <w:rFonts w:hint="eastAsia" w:ascii="Times New Roman" w:hAnsi="Times New Roman" w:cs="宋体"/>
                <w:shd w:val="clear" w:color="auto" w:fill="FFFFFF"/>
                <w:lang w:bidi="ar"/>
              </w:rPr>
              <w:t>地下水污染防治原则</w:t>
            </w:r>
          </w:p>
          <w:p>
            <w:pPr>
              <w:spacing w:line="420" w:lineRule="atLeast"/>
              <w:ind w:firstLine="480" w:firstLineChars="200"/>
              <w:rPr>
                <w:rFonts w:ascii="Times New Roman" w:hAnsi="Times New Roman" w:cs="宋体"/>
                <w:shd w:val="clear" w:color="auto" w:fill="FFFFFF"/>
                <w:lang w:bidi="ar"/>
              </w:rPr>
            </w:pPr>
            <w:r>
              <w:rPr>
                <w:rFonts w:hint="eastAsia" w:ascii="Times New Roman" w:hAnsi="Times New Roman" w:cs="宋体"/>
                <w:shd w:val="clear" w:color="auto" w:fill="FFFFFF"/>
                <w:lang w:bidi="ar"/>
              </w:rPr>
              <w:t>针对本项目可能发生的地下水污染，地下水污染防治措施按照</w:t>
            </w:r>
            <w:r>
              <w:rPr>
                <w:rFonts w:ascii="Times New Roman" w:hAnsi="Times New Roman" w:cs="宋体"/>
                <w:shd w:val="clear" w:color="auto" w:fill="FFFFFF"/>
                <w:lang w:bidi="ar"/>
              </w:rPr>
              <w:t>“</w:t>
            </w:r>
            <w:r>
              <w:rPr>
                <w:rFonts w:hint="eastAsia" w:ascii="Times New Roman" w:hAnsi="Times New Roman" w:cs="宋体"/>
                <w:shd w:val="clear" w:color="auto" w:fill="FFFFFF"/>
                <w:lang w:bidi="ar"/>
              </w:rPr>
              <w:t>源头控制、末端防治、污染监控、应急响应</w:t>
            </w:r>
            <w:r>
              <w:rPr>
                <w:rFonts w:ascii="Times New Roman" w:hAnsi="Times New Roman" w:cs="宋体"/>
                <w:shd w:val="clear" w:color="auto" w:fill="FFFFFF"/>
                <w:lang w:bidi="ar"/>
              </w:rPr>
              <w:t>”</w:t>
            </w:r>
            <w:r>
              <w:rPr>
                <w:rFonts w:hint="eastAsia" w:ascii="Times New Roman" w:hAnsi="Times New Roman" w:cs="宋体"/>
                <w:shd w:val="clear" w:color="auto" w:fill="FFFFFF"/>
                <w:lang w:bidi="ar"/>
              </w:rPr>
              <w:t>相结合的原则，从污染物的产生、入渗、扩散、应急响应全阶段进行控制。</w:t>
            </w:r>
          </w:p>
          <w:p>
            <w:pPr>
              <w:spacing w:line="420" w:lineRule="atLeast"/>
              <w:ind w:firstLine="480" w:firstLineChars="200"/>
              <w:rPr>
                <w:shd w:val="clear" w:color="auto" w:fill="FFFFFF"/>
              </w:rPr>
            </w:pPr>
            <w:r>
              <w:rPr>
                <w:rFonts w:hint="eastAsia" w:ascii="Times New Roman" w:hAnsi="Times New Roman" w:cs="宋体"/>
                <w:shd w:val="clear" w:color="auto" w:fill="FFFFFF"/>
                <w:lang w:bidi="ar"/>
              </w:rPr>
              <w:t>①源头控制措施：主要包括在工艺、管道、设备等采取相应措施，防止和降低污染物跑、冒、滴、漏，将污染物泄漏的环境风险事故降到最低程度；管线敷设尽量采用</w:t>
            </w:r>
            <w:r>
              <w:rPr>
                <w:rFonts w:ascii="Times New Roman" w:hAnsi="Times New Roman"/>
                <w:shd w:val="clear" w:color="auto" w:fill="FFFFFF"/>
                <w:lang w:bidi="ar"/>
              </w:rPr>
              <w:t>“</w:t>
            </w:r>
            <w:r>
              <w:rPr>
                <w:rFonts w:hint="eastAsia" w:ascii="Times New Roman" w:hAnsi="Times New Roman" w:cs="宋体"/>
                <w:shd w:val="clear" w:color="auto" w:fill="FFFFFF"/>
                <w:lang w:bidi="ar"/>
              </w:rPr>
              <w:t>可视化</w:t>
            </w:r>
            <w:r>
              <w:rPr>
                <w:rFonts w:ascii="Times New Roman" w:hAnsi="Times New Roman"/>
                <w:shd w:val="clear" w:color="auto" w:fill="FFFFFF"/>
                <w:lang w:bidi="ar"/>
              </w:rPr>
              <w:t>”</w:t>
            </w:r>
            <w:r>
              <w:rPr>
                <w:rFonts w:hint="eastAsia" w:ascii="Times New Roman" w:hAnsi="Times New Roman" w:cs="宋体"/>
                <w:shd w:val="clear" w:color="auto" w:fill="FFFFFF"/>
                <w:lang w:bidi="ar"/>
              </w:rPr>
              <w:t>原则，即管道尽可能地上敷设，做到污染物</w:t>
            </w:r>
            <w:r>
              <w:rPr>
                <w:rFonts w:ascii="Times New Roman" w:hAnsi="Times New Roman"/>
                <w:shd w:val="clear" w:color="auto" w:fill="FFFFFF"/>
                <w:lang w:bidi="ar"/>
              </w:rPr>
              <w:t>“</w:t>
            </w:r>
            <w:r>
              <w:rPr>
                <w:rFonts w:hint="eastAsia" w:ascii="Times New Roman" w:hAnsi="Times New Roman" w:cs="宋体"/>
                <w:shd w:val="clear" w:color="auto" w:fill="FFFFFF"/>
                <w:lang w:bidi="ar"/>
              </w:rPr>
              <w:t>早发现、早处理</w:t>
            </w:r>
            <w:r>
              <w:rPr>
                <w:rFonts w:ascii="Times New Roman" w:hAnsi="Times New Roman"/>
                <w:shd w:val="clear" w:color="auto" w:fill="FFFFFF"/>
                <w:lang w:bidi="ar"/>
              </w:rPr>
              <w:t>”</w:t>
            </w:r>
            <w:r>
              <w:rPr>
                <w:rFonts w:hint="eastAsia" w:ascii="Times New Roman" w:hAnsi="Times New Roman" w:cs="宋体"/>
                <w:shd w:val="clear" w:color="auto" w:fill="FFFFFF"/>
                <w:lang w:bidi="ar"/>
              </w:rPr>
              <w:t>，减少由于埋地管道泄漏而造成的地下水污染。</w:t>
            </w:r>
          </w:p>
          <w:p>
            <w:pPr>
              <w:spacing w:line="420" w:lineRule="atLeast"/>
              <w:ind w:firstLine="480" w:firstLineChars="200"/>
              <w:rPr>
                <w:rFonts w:ascii="Times New Roman" w:hAnsi="Times New Roman" w:cs="宋体"/>
                <w:shd w:val="clear" w:color="auto" w:fill="FFFFFF"/>
                <w:lang w:bidi="ar"/>
              </w:rPr>
            </w:pPr>
            <w:r>
              <w:rPr>
                <w:rFonts w:hint="eastAsia" w:ascii="Times New Roman" w:hAnsi="Times New Roman" w:cs="宋体"/>
                <w:shd w:val="clear" w:color="auto" w:fill="FFFFFF"/>
                <w:lang w:bidi="ar"/>
              </w:rPr>
              <w:t>②末端控制措施：主要包括针对污染区地面建设防渗措施和泄漏、渗漏污染物收集措施，即在污染区地面进行防渗处理，防止洒落地面的污染物渗入地下，并把滞留在地面的污染物收集后集中处置；末端控制采取分区防渗措施。</w:t>
            </w:r>
          </w:p>
          <w:p>
            <w:pPr>
              <w:numPr>
                <w:ilvl w:val="0"/>
                <w:numId w:val="19"/>
              </w:numPr>
              <w:spacing w:line="420" w:lineRule="atLeast"/>
              <w:ind w:firstLine="480" w:firstLineChars="200"/>
              <w:rPr>
                <w:rFonts w:ascii="Times New Roman" w:hAnsi="Times New Roman" w:cs="宋体"/>
                <w:shd w:val="clear" w:color="auto" w:fill="FFFFFF"/>
                <w:lang w:bidi="ar"/>
              </w:rPr>
            </w:pPr>
            <w:bookmarkStart w:id="17" w:name="_Hlk109756817"/>
            <w:r>
              <w:rPr>
                <w:rFonts w:hint="eastAsia" w:ascii="Times New Roman" w:hAnsi="Times New Roman" w:cs="宋体"/>
                <w:shd w:val="clear" w:color="auto" w:fill="FFFFFF"/>
                <w:lang w:bidi="ar"/>
              </w:rPr>
              <w:t>地下水污染防渗分区</w:t>
            </w:r>
            <w:bookmarkEnd w:id="17"/>
          </w:p>
          <w:p>
            <w:pPr>
              <w:autoSpaceDE w:val="0"/>
              <w:autoSpaceDN w:val="0"/>
              <w:spacing w:line="420" w:lineRule="atLeast"/>
              <w:ind w:firstLine="480" w:firstLineChars="200"/>
              <w:rPr>
                <w:shd w:val="clear" w:color="auto" w:fill="FFFFFF"/>
              </w:rPr>
            </w:pPr>
            <w:r>
              <w:rPr>
                <w:rFonts w:hint="eastAsia" w:ascii="Times New Roman" w:hAnsi="Times New Roman" w:cs="宋体"/>
                <w:shd w:val="clear" w:color="auto" w:fill="FFFFFF"/>
                <w:lang w:bidi="ar"/>
              </w:rPr>
              <w:t>根据项目可能泄漏至地面区域的污染物类型、污染物控制的难易程度和厂区的实际情况，将厂区划分为重点防渗区、</w:t>
            </w:r>
            <w:r>
              <w:rPr>
                <w:rFonts w:hint="eastAsia" w:ascii="Times New Roman" w:hAnsi="Times New Roman" w:cs="宋体"/>
                <w:bCs/>
                <w:snapToGrid w:val="0"/>
                <w:kern w:val="0"/>
                <w:shd w:val="clear" w:color="auto" w:fill="FFFFFF"/>
                <w:lang w:bidi="ar"/>
              </w:rPr>
              <w:t>一般防渗区和简单防渗区</w:t>
            </w:r>
            <w:r>
              <w:rPr>
                <w:rFonts w:hint="eastAsia" w:ascii="Times New Roman" w:hAnsi="Times New Roman" w:cs="宋体"/>
                <w:shd w:val="clear" w:color="auto" w:fill="FFFFFF"/>
                <w:lang w:bidi="ar"/>
              </w:rPr>
              <w:t>。</w:t>
            </w:r>
          </w:p>
          <w:p>
            <w:pPr>
              <w:spacing w:line="420" w:lineRule="atLeast"/>
              <w:ind w:firstLine="480" w:firstLineChars="200"/>
              <w:rPr>
                <w:rFonts w:ascii="Times New Roman" w:hAnsi="Times New Roman" w:cs="宋体"/>
                <w:shd w:val="clear" w:color="auto" w:fill="FFFFFF"/>
                <w:lang w:bidi="ar"/>
              </w:rPr>
            </w:pPr>
            <w:r>
              <w:rPr>
                <w:rFonts w:hint="eastAsia" w:ascii="Times New Roman" w:hAnsi="Times New Roman" w:cs="宋体"/>
                <w:shd w:val="clear" w:color="auto" w:fill="FFFFFF"/>
                <w:lang w:bidi="ar"/>
              </w:rPr>
              <w:t>①重点防渗区</w:t>
            </w:r>
          </w:p>
          <w:p>
            <w:pPr>
              <w:autoSpaceDE w:val="0"/>
              <w:autoSpaceDN w:val="0"/>
              <w:spacing w:line="420" w:lineRule="atLeast"/>
              <w:ind w:firstLine="480" w:firstLineChars="200"/>
              <w:rPr>
                <w:shd w:val="clear" w:color="auto" w:fill="FFFFFF"/>
              </w:rPr>
            </w:pPr>
            <w:r>
              <w:rPr>
                <w:rFonts w:hint="eastAsia" w:ascii="Times New Roman" w:hAnsi="Times New Roman" w:cs="宋体"/>
                <w:shd w:val="clear" w:color="auto" w:fill="FFFFFF"/>
                <w:lang w:bidi="ar"/>
              </w:rPr>
              <w:t>项目重点防渗区主要为危废暂存间。</w:t>
            </w:r>
          </w:p>
          <w:p>
            <w:pPr>
              <w:spacing w:line="420" w:lineRule="atLeast"/>
              <w:ind w:firstLine="480" w:firstLineChars="200"/>
              <w:rPr>
                <w:rFonts w:ascii="Times New Roman" w:hAnsi="Times New Roman" w:cs="宋体"/>
                <w:shd w:val="clear" w:color="auto" w:fill="FFFFFF"/>
                <w:lang w:bidi="ar"/>
              </w:rPr>
            </w:pPr>
            <w:r>
              <w:rPr>
                <w:rFonts w:hint="eastAsia" w:ascii="Times New Roman" w:hAnsi="Times New Roman" w:cs="宋体"/>
                <w:shd w:val="clear" w:color="auto" w:fill="FFFFFF"/>
                <w:lang w:bidi="ar"/>
              </w:rPr>
              <w:t>防渗技术要求：危废暂存间地面及墙裙采用“防渗混凝土+环氧树脂地坪漆”进行防渗。</w:t>
            </w:r>
            <w:r>
              <w:t>要求</w:t>
            </w:r>
            <w:r>
              <w:rPr>
                <w:rFonts w:hint="eastAsia"/>
              </w:rPr>
              <w:t>重点污染防治区</w:t>
            </w:r>
            <w:r>
              <w:t>防渗层的</w:t>
            </w:r>
            <w:r>
              <w:rPr>
                <w:rFonts w:hint="eastAsia"/>
              </w:rPr>
              <w:t>防渗性能不能低于6m厚渗透系数为</w:t>
            </w:r>
            <w:r>
              <w:t>1.0×10</w:t>
            </w:r>
            <w:r>
              <w:rPr>
                <w:vertAlign w:val="superscript"/>
              </w:rPr>
              <w:t>-</w:t>
            </w:r>
            <w:r>
              <w:rPr>
                <w:rFonts w:hint="eastAsia"/>
                <w:vertAlign w:val="superscript"/>
              </w:rPr>
              <w:t>7</w:t>
            </w:r>
            <w:r>
              <w:t>cm/s</w:t>
            </w:r>
            <w:r>
              <w:rPr>
                <w:rFonts w:hint="eastAsia"/>
              </w:rPr>
              <w:t>的黏土层的防渗性能</w:t>
            </w:r>
            <w:r>
              <w:t>。</w:t>
            </w:r>
          </w:p>
          <w:p>
            <w:pPr>
              <w:spacing w:line="420" w:lineRule="atLeast"/>
              <w:ind w:firstLine="480" w:firstLineChars="200"/>
              <w:rPr>
                <w:rFonts w:ascii="Times New Roman" w:hAnsi="Times New Roman" w:cs="宋体"/>
                <w:shd w:val="clear" w:color="auto" w:fill="FFFFFF"/>
                <w:lang w:bidi="ar"/>
              </w:rPr>
            </w:pPr>
            <w:r>
              <w:rPr>
                <w:rFonts w:hint="eastAsia" w:ascii="Times New Roman" w:hAnsi="Times New Roman" w:cs="宋体"/>
                <w:shd w:val="clear" w:color="auto" w:fill="FFFFFF"/>
                <w:lang w:bidi="ar"/>
              </w:rPr>
              <w:t>②一般防渗区</w:t>
            </w:r>
          </w:p>
          <w:p>
            <w:pPr>
              <w:autoSpaceDE w:val="0"/>
              <w:autoSpaceDN w:val="0"/>
              <w:spacing w:line="420" w:lineRule="atLeast"/>
              <w:ind w:firstLine="480" w:firstLineChars="200"/>
              <w:rPr>
                <w:rFonts w:ascii="Times New Roman" w:hAnsi="Times New Roman" w:cs="宋体"/>
                <w:shd w:val="clear" w:color="auto" w:fill="FFFFFF"/>
                <w:lang w:bidi="ar"/>
              </w:rPr>
            </w:pPr>
            <w:r>
              <w:rPr>
                <w:rFonts w:hint="eastAsia" w:ascii="Times New Roman" w:hAnsi="Times New Roman" w:cs="宋体"/>
                <w:shd w:val="clear" w:color="auto" w:fill="FFFFFF"/>
                <w:lang w:bidi="ar"/>
              </w:rPr>
              <w:t>项目一般防渗区主要为隔油池、沉淀池、磁选渣暂存池、回用水池、生产区等。</w:t>
            </w:r>
          </w:p>
          <w:p>
            <w:pPr>
              <w:spacing w:line="420" w:lineRule="atLeast"/>
              <w:ind w:firstLine="480" w:firstLineChars="200"/>
              <w:rPr>
                <w:rFonts w:ascii="Times New Roman" w:hAnsi="Times New Roman" w:cs="宋体"/>
                <w:shd w:val="clear" w:color="auto" w:fill="FFFFFF"/>
                <w:lang w:bidi="ar"/>
              </w:rPr>
            </w:pPr>
            <w:r>
              <w:rPr>
                <w:rFonts w:hint="eastAsia" w:ascii="Times New Roman" w:hAnsi="Times New Roman" w:cs="宋体"/>
                <w:shd w:val="clear" w:color="auto" w:fill="FFFFFF"/>
                <w:lang w:bidi="ar"/>
              </w:rPr>
              <w:t>防渗技术要求：隔油池、沉淀池、磁选渣暂存池等设施在地上建设，池体和池底采用防渗混凝土建设，生产区地面采取防渗混凝土防渗。</w:t>
            </w:r>
            <w:r>
              <w:t>要求一般污染防治区</w:t>
            </w:r>
            <w:r>
              <w:rPr>
                <w:rFonts w:hint="eastAsia"/>
              </w:rPr>
              <w:t>各种</w:t>
            </w:r>
            <w:r>
              <w:t>防渗层的</w:t>
            </w:r>
            <w:r>
              <w:rPr>
                <w:rFonts w:hint="eastAsia"/>
              </w:rPr>
              <w:t>防渗性能不能低于1.5m厚渗透系数为</w:t>
            </w:r>
            <w:r>
              <w:t>1.0×10</w:t>
            </w:r>
            <w:r>
              <w:rPr>
                <w:vertAlign w:val="superscript"/>
              </w:rPr>
              <w:t>-</w:t>
            </w:r>
            <w:r>
              <w:rPr>
                <w:rFonts w:hint="eastAsia"/>
                <w:vertAlign w:val="superscript"/>
              </w:rPr>
              <w:t>7</w:t>
            </w:r>
            <w:r>
              <w:t>cm/s</w:t>
            </w:r>
            <w:r>
              <w:rPr>
                <w:rFonts w:hint="eastAsia"/>
              </w:rPr>
              <w:t>的黏土层的防渗性能</w:t>
            </w:r>
            <w:r>
              <w:t>。</w:t>
            </w:r>
          </w:p>
          <w:p>
            <w:pPr>
              <w:spacing w:line="420" w:lineRule="atLeast"/>
              <w:ind w:firstLine="480" w:firstLineChars="200"/>
              <w:rPr>
                <w:rFonts w:ascii="Times New Roman" w:hAnsi="Times New Roman" w:cs="宋体"/>
                <w:shd w:val="clear" w:color="auto" w:fill="FFFFFF"/>
                <w:lang w:bidi="ar"/>
              </w:rPr>
            </w:pPr>
            <w:r>
              <w:rPr>
                <w:rFonts w:hint="eastAsia" w:ascii="Times New Roman" w:hAnsi="Times New Roman" w:cs="宋体"/>
                <w:shd w:val="clear" w:color="auto" w:fill="FFFFFF"/>
                <w:lang w:bidi="ar"/>
              </w:rPr>
              <w:t>③简单防渗区</w:t>
            </w:r>
          </w:p>
          <w:p>
            <w:pPr>
              <w:spacing w:line="420" w:lineRule="atLeast"/>
              <w:ind w:firstLine="480" w:firstLineChars="200"/>
              <w:rPr>
                <w:rFonts w:ascii="Times New Roman" w:hAnsi="Times New Roman" w:cs="宋体"/>
                <w:shd w:val="clear" w:color="auto" w:fill="FFFFFF"/>
                <w:lang w:bidi="ar"/>
              </w:rPr>
            </w:pPr>
            <w:r>
              <w:rPr>
                <w:rFonts w:hint="eastAsia" w:ascii="Times New Roman" w:hAnsi="Times New Roman" w:cs="宋体"/>
                <w:shd w:val="clear" w:color="auto" w:fill="FFFFFF"/>
                <w:lang w:bidi="ar"/>
              </w:rPr>
              <w:t>项目简单防渗区主要为运输路面等其他区域。</w:t>
            </w:r>
          </w:p>
          <w:p>
            <w:pPr>
              <w:spacing w:line="420" w:lineRule="atLeast"/>
              <w:ind w:firstLine="480" w:firstLineChars="200"/>
              <w:rPr>
                <w:rFonts w:ascii="Times New Roman" w:hAnsi="Times New Roman" w:cs="宋体"/>
                <w:shd w:val="clear" w:color="auto" w:fill="FFFFFF"/>
                <w:lang w:bidi="ar"/>
              </w:rPr>
            </w:pPr>
            <w:r>
              <w:rPr>
                <w:rFonts w:hint="eastAsia" w:ascii="Times New Roman" w:hAnsi="Times New Roman" w:cs="宋体"/>
                <w:shd w:val="clear" w:color="auto" w:fill="FFFFFF"/>
                <w:lang w:bidi="ar"/>
              </w:rPr>
              <w:t>防渗技术要求：采用一般地面硬化的方式进行防渗。</w:t>
            </w:r>
          </w:p>
          <w:p>
            <w:pPr>
              <w:spacing w:line="420" w:lineRule="atLeast"/>
              <w:ind w:firstLine="480" w:firstLineChars="200"/>
              <w:rPr>
                <w:rFonts w:ascii="Times New Roman" w:hAnsi="Times New Roman" w:cs="宋体"/>
                <w:shd w:val="clear" w:color="auto" w:fill="FFFFFF"/>
                <w:lang w:bidi="ar"/>
              </w:rPr>
            </w:pPr>
            <w:r>
              <w:rPr>
                <w:rFonts w:hint="eastAsia" w:ascii="Times New Roman" w:hAnsi="Times New Roman" w:cs="宋体"/>
                <w:shd w:val="clear" w:color="auto" w:fill="FFFFFF"/>
                <w:lang w:bidi="ar"/>
              </w:rPr>
              <w:t>地下水分区防渗图见附图1</w:t>
            </w:r>
            <w:r>
              <w:rPr>
                <w:rFonts w:hint="eastAsia" w:ascii="Times New Roman" w:hAnsi="Times New Roman" w:cs="宋体"/>
                <w:shd w:val="clear" w:color="auto" w:fill="FFFFFF"/>
                <w:lang w:val="en-US" w:eastAsia="zh-CN" w:bidi="ar"/>
              </w:rPr>
              <w:t>1</w:t>
            </w:r>
            <w:r>
              <w:rPr>
                <w:rFonts w:hint="eastAsia" w:ascii="Times New Roman" w:hAnsi="Times New Roman" w:cs="宋体"/>
                <w:shd w:val="clear" w:color="auto" w:fill="FFFFFF"/>
                <w:lang w:bidi="ar"/>
              </w:rPr>
              <w:t>。</w:t>
            </w:r>
          </w:p>
          <w:p>
            <w:pPr>
              <w:pStyle w:val="8"/>
              <w:numPr>
                <w:ilvl w:val="0"/>
                <w:numId w:val="0"/>
              </w:numPr>
              <w:spacing w:line="440" w:lineRule="exact"/>
              <w:rPr>
                <w:rFonts w:ascii="Times New Roman" w:hAnsi="Times New Roman"/>
                <w:szCs w:val="24"/>
              </w:rPr>
            </w:pPr>
            <w:r>
              <w:rPr>
                <w:rFonts w:ascii="Times New Roman" w:hAnsi="Times New Roman"/>
                <w:szCs w:val="24"/>
              </w:rPr>
              <w:t>4.2.</w:t>
            </w:r>
            <w:r>
              <w:rPr>
                <w:rFonts w:hint="eastAsia" w:ascii="Times New Roman" w:hAnsi="Times New Roman"/>
                <w:szCs w:val="24"/>
              </w:rPr>
              <w:t>7</w:t>
            </w:r>
            <w:r>
              <w:rPr>
                <w:rFonts w:ascii="Times New Roman" w:hAnsi="Times New Roman"/>
                <w:szCs w:val="24"/>
              </w:rPr>
              <w:t>生态</w:t>
            </w:r>
          </w:p>
          <w:p>
            <w:pPr>
              <w:pStyle w:val="3"/>
              <w:spacing w:line="460" w:lineRule="exact"/>
              <w:ind w:right="-120" w:firstLine="480" w:firstLineChars="200"/>
              <w:rPr>
                <w:rFonts w:ascii="Times New Roman" w:hAnsi="Times New Roman"/>
                <w:kern w:val="2"/>
                <w:szCs w:val="24"/>
              </w:rPr>
            </w:pPr>
            <w:r>
              <w:rPr>
                <w:rFonts w:ascii="Times New Roman" w:hAnsi="Times New Roman"/>
                <w:kern w:val="2"/>
                <w:szCs w:val="24"/>
              </w:rPr>
              <w:t>本项目租用大田县</w:t>
            </w:r>
            <w:r>
              <w:rPr>
                <w:rFonts w:hint="eastAsia" w:ascii="Times New Roman" w:hAnsi="Times New Roman"/>
                <w:kern w:val="2"/>
                <w:szCs w:val="24"/>
              </w:rPr>
              <w:t>武陵乡大石村249号岩盛公司部分闲置厂房，无新增开发用地</w:t>
            </w:r>
            <w:r>
              <w:rPr>
                <w:rFonts w:ascii="Times New Roman" w:hAnsi="Times New Roman"/>
                <w:kern w:val="2"/>
                <w:szCs w:val="24"/>
              </w:rPr>
              <w:t>，经现场调查，用地周边主要为山地</w:t>
            </w:r>
            <w:r>
              <w:rPr>
                <w:rFonts w:hint="eastAsia" w:ascii="Times New Roman" w:hAnsi="Times New Roman"/>
                <w:kern w:val="2"/>
                <w:szCs w:val="24"/>
              </w:rPr>
              <w:t>及铸造厂</w:t>
            </w:r>
            <w:r>
              <w:rPr>
                <w:rFonts w:ascii="Times New Roman" w:hAnsi="Times New Roman"/>
                <w:kern w:val="2"/>
                <w:szCs w:val="24"/>
              </w:rPr>
              <w:t>，无珍稀濒危物种、自然保护区、风景名胜区等生态敏感目标，不属于生态敏感区</w:t>
            </w:r>
            <w:r>
              <w:rPr>
                <w:rFonts w:hint="eastAsia" w:ascii="Times New Roman" w:hAnsi="Times New Roman"/>
                <w:kern w:val="2"/>
                <w:szCs w:val="24"/>
              </w:rPr>
              <w:t>。</w:t>
            </w:r>
            <w:r>
              <w:rPr>
                <w:rFonts w:ascii="Times New Roman" w:hAnsi="Times New Roman"/>
                <w:kern w:val="2"/>
                <w:szCs w:val="24"/>
              </w:rPr>
              <w:t>项目建设对周边生态环境影响很小。</w:t>
            </w:r>
          </w:p>
          <w:p>
            <w:pPr>
              <w:pStyle w:val="8"/>
              <w:numPr>
                <w:ilvl w:val="0"/>
                <w:numId w:val="0"/>
              </w:numPr>
              <w:spacing w:line="240" w:lineRule="auto"/>
              <w:rPr>
                <w:rFonts w:ascii="Times New Roman" w:hAnsi="Times New Roman"/>
                <w:szCs w:val="24"/>
              </w:rPr>
            </w:pPr>
            <w:r>
              <w:rPr>
                <w:rFonts w:ascii="Times New Roman" w:hAnsi="Times New Roman"/>
                <w:szCs w:val="24"/>
              </w:rPr>
              <w:t>4.2.</w:t>
            </w:r>
            <w:r>
              <w:rPr>
                <w:rFonts w:hint="eastAsia" w:ascii="Times New Roman" w:hAnsi="Times New Roman"/>
                <w:szCs w:val="24"/>
              </w:rPr>
              <w:t>8</w:t>
            </w:r>
            <w:r>
              <w:rPr>
                <w:rFonts w:ascii="Times New Roman" w:hAnsi="Times New Roman"/>
                <w:szCs w:val="24"/>
              </w:rPr>
              <w:t>环境风险</w:t>
            </w:r>
          </w:p>
          <w:p>
            <w:pPr>
              <w:pStyle w:val="3"/>
              <w:spacing w:line="460" w:lineRule="exact"/>
              <w:ind w:right="-120" w:firstLine="480" w:firstLineChars="200"/>
              <w:rPr>
                <w:rFonts w:ascii="Times New Roman" w:hAnsi="Times New Roman"/>
                <w:kern w:val="2"/>
                <w:szCs w:val="24"/>
              </w:rPr>
            </w:pPr>
            <w:r>
              <w:rPr>
                <w:rFonts w:ascii="Times New Roman" w:hAnsi="Times New Roman"/>
                <w:kern w:val="2"/>
                <w:szCs w:val="24"/>
              </w:rPr>
              <w:t>根据环境风险识别与分析，项目</w:t>
            </w:r>
            <w:r>
              <w:rPr>
                <w:rFonts w:hint="eastAsia" w:ascii="Times New Roman" w:hAnsi="Times New Roman"/>
                <w:kern w:val="2"/>
                <w:szCs w:val="24"/>
              </w:rPr>
              <w:t>涉及的环境风险物质为废机油、浮油，储存于危废暂存间内，最大暂存量为0.23t，经计算，Q值为9.2×</w:t>
            </w:r>
            <w:r>
              <w:rPr>
                <w:rFonts w:ascii="Times New Roman" w:hAnsi="Times New Roman"/>
                <w:kern w:val="2"/>
                <w:szCs w:val="24"/>
              </w:rPr>
              <w:t>10</w:t>
            </w:r>
            <w:r>
              <w:rPr>
                <w:rFonts w:ascii="Times New Roman" w:hAnsi="Times New Roman"/>
                <w:kern w:val="2"/>
                <w:szCs w:val="24"/>
                <w:vertAlign w:val="superscript"/>
              </w:rPr>
              <w:t>-</w:t>
            </w:r>
            <w:r>
              <w:rPr>
                <w:rFonts w:hint="eastAsia" w:ascii="Times New Roman" w:hAnsi="Times New Roman"/>
                <w:kern w:val="2"/>
                <w:szCs w:val="24"/>
                <w:vertAlign w:val="superscript"/>
              </w:rPr>
              <w:t>5</w:t>
            </w:r>
            <w:r>
              <w:rPr>
                <w:rFonts w:hint="eastAsia" w:ascii="Times New Roman" w:hAnsi="Times New Roman"/>
                <w:kern w:val="2"/>
                <w:szCs w:val="24"/>
              </w:rPr>
              <w:t>＜1，</w:t>
            </w:r>
            <w:r>
              <w:rPr>
                <w:rFonts w:ascii="Times New Roman" w:hAnsi="Times New Roman"/>
                <w:kern w:val="2"/>
                <w:szCs w:val="24"/>
              </w:rPr>
              <w:t>运营过程的主要环境风险事故为废机油泄漏事故，通过采取以下环境风险防范措施，项目环境风险可控，环境风险防范措施有效</w:t>
            </w:r>
            <w:r>
              <w:rPr>
                <w:rFonts w:hint="eastAsia" w:ascii="Times New Roman" w:hAnsi="Times New Roman"/>
                <w:kern w:val="2"/>
                <w:szCs w:val="24"/>
              </w:rPr>
              <w:t>。Q值计算见表4.2-5，环境风险简单分析内容表见4.2-6。</w:t>
            </w:r>
          </w:p>
          <w:p>
            <w:pPr>
              <w:widowControl/>
              <w:ind w:firstLine="422"/>
              <w:jc w:val="center"/>
              <w:rPr>
                <w:rFonts w:eastAsia="黑体"/>
              </w:rPr>
            </w:pPr>
            <w:r>
              <w:rPr>
                <w:rFonts w:ascii="Times New Roman" w:hAnsi="Times New Roman" w:eastAsia="黑体"/>
                <w:b/>
                <w:bCs/>
                <w:kern w:val="0"/>
                <w:sz w:val="21"/>
                <w:szCs w:val="21"/>
              </w:rPr>
              <w:t>表4.2-</w:t>
            </w:r>
            <w:r>
              <w:rPr>
                <w:rFonts w:hint="eastAsia" w:ascii="Times New Roman" w:hAnsi="Times New Roman" w:eastAsia="黑体"/>
                <w:b/>
                <w:bCs/>
                <w:kern w:val="0"/>
                <w:sz w:val="21"/>
                <w:szCs w:val="21"/>
              </w:rPr>
              <w:t>10</w:t>
            </w:r>
            <w:r>
              <w:rPr>
                <w:rFonts w:ascii="Times New Roman" w:hAnsi="Times New Roman" w:eastAsia="黑体"/>
                <w:b/>
                <w:bCs/>
                <w:kern w:val="0"/>
                <w:sz w:val="21"/>
                <w:szCs w:val="21"/>
              </w:rPr>
              <w:t xml:space="preserve"> </w:t>
            </w:r>
            <w:r>
              <w:rPr>
                <w:rFonts w:hint="eastAsia" w:ascii="Times New Roman" w:hAnsi="Times New Roman" w:eastAsia="黑体"/>
                <w:b/>
                <w:bCs/>
                <w:kern w:val="0"/>
                <w:sz w:val="21"/>
                <w:szCs w:val="21"/>
              </w:rPr>
              <w:t>环境风险物质及临界量</w:t>
            </w:r>
          </w:p>
          <w:tbl>
            <w:tblPr>
              <w:tblStyle w:val="25"/>
              <w:tblW w:w="8731"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051"/>
              <w:gridCol w:w="1401"/>
              <w:gridCol w:w="2349"/>
              <w:gridCol w:w="2080"/>
              <w:gridCol w:w="1850"/>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40" w:hRule="atLeast"/>
                <w:tblHeader/>
              </w:trPr>
              <w:tc>
                <w:tcPr>
                  <w:tcW w:w="1051" w:type="dxa"/>
                  <w:vAlign w:val="center"/>
                </w:tcPr>
                <w:p>
                  <w:pPr>
                    <w:jc w:val="center"/>
                    <w:rPr>
                      <w:rFonts w:ascii="Times New Roman" w:hAnsi="Times New Roman"/>
                      <w:sz w:val="21"/>
                      <w:szCs w:val="21"/>
                    </w:rPr>
                  </w:pPr>
                  <w:r>
                    <w:rPr>
                      <w:rFonts w:ascii="Times New Roman" w:hAnsi="Times New Roman"/>
                      <w:sz w:val="21"/>
                      <w:szCs w:val="21"/>
                    </w:rPr>
                    <w:t>序号</w:t>
                  </w:r>
                </w:p>
              </w:tc>
              <w:tc>
                <w:tcPr>
                  <w:tcW w:w="1401" w:type="dxa"/>
                  <w:vAlign w:val="center"/>
                </w:tcPr>
                <w:p>
                  <w:pPr>
                    <w:jc w:val="center"/>
                    <w:rPr>
                      <w:rFonts w:ascii="Times New Roman" w:hAnsi="Times New Roman"/>
                      <w:sz w:val="21"/>
                      <w:szCs w:val="21"/>
                    </w:rPr>
                  </w:pPr>
                  <w:r>
                    <w:rPr>
                      <w:rFonts w:ascii="Times New Roman" w:hAnsi="Times New Roman"/>
                      <w:sz w:val="21"/>
                      <w:szCs w:val="21"/>
                    </w:rPr>
                    <w:t>名称</w:t>
                  </w:r>
                </w:p>
              </w:tc>
              <w:tc>
                <w:tcPr>
                  <w:tcW w:w="2349" w:type="dxa"/>
                  <w:vAlign w:val="center"/>
                </w:tcPr>
                <w:p>
                  <w:pPr>
                    <w:jc w:val="center"/>
                    <w:rPr>
                      <w:rFonts w:ascii="Times New Roman" w:hAnsi="Times New Roman"/>
                      <w:sz w:val="21"/>
                      <w:szCs w:val="21"/>
                    </w:rPr>
                  </w:pPr>
                  <w:r>
                    <w:rPr>
                      <w:rFonts w:ascii="Times New Roman" w:hAnsi="Times New Roman"/>
                      <w:sz w:val="21"/>
                      <w:szCs w:val="21"/>
                    </w:rPr>
                    <w:t>最大存储(qi)t</w:t>
                  </w:r>
                </w:p>
              </w:tc>
              <w:tc>
                <w:tcPr>
                  <w:tcW w:w="2080" w:type="dxa"/>
                  <w:vAlign w:val="center"/>
                </w:tcPr>
                <w:p>
                  <w:pPr>
                    <w:jc w:val="center"/>
                    <w:rPr>
                      <w:rFonts w:ascii="Times New Roman" w:hAnsi="Times New Roman"/>
                      <w:sz w:val="21"/>
                      <w:szCs w:val="21"/>
                    </w:rPr>
                  </w:pPr>
                  <w:r>
                    <w:rPr>
                      <w:rFonts w:ascii="Times New Roman" w:hAnsi="Times New Roman"/>
                      <w:sz w:val="21"/>
                      <w:szCs w:val="21"/>
                    </w:rPr>
                    <w:t>临界量(Qi)t</w:t>
                  </w:r>
                </w:p>
              </w:tc>
              <w:tc>
                <w:tcPr>
                  <w:tcW w:w="1850" w:type="dxa"/>
                  <w:vAlign w:val="center"/>
                </w:tcPr>
                <w:p>
                  <w:pPr>
                    <w:jc w:val="center"/>
                    <w:rPr>
                      <w:rFonts w:ascii="Times New Roman" w:hAnsi="Times New Roman"/>
                      <w:sz w:val="21"/>
                      <w:szCs w:val="21"/>
                    </w:rPr>
                  </w:pPr>
                  <w:r>
                    <w:rPr>
                      <w:rFonts w:hint="eastAsia" w:ascii="Times New Roman" w:hAnsi="Times New Roman"/>
                      <w:sz w:val="21"/>
                      <w:szCs w:val="21"/>
                    </w:rPr>
                    <w:t>Q=</w:t>
                  </w:r>
                  <w:r>
                    <w:rPr>
                      <w:rFonts w:ascii="Times New Roman" w:hAnsi="Times New Roman"/>
                      <w:sz w:val="21"/>
                      <w:szCs w:val="21"/>
                    </w:rPr>
                    <w:t>qi</w:t>
                  </w:r>
                  <w:r>
                    <w:rPr>
                      <w:rFonts w:hint="eastAsia" w:ascii="Times New Roman" w:hAnsi="Times New Roman"/>
                      <w:sz w:val="21"/>
                      <w:szCs w:val="21"/>
                    </w:rPr>
                    <w:t>/Qi</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51" w:type="dxa"/>
                  <w:vAlign w:val="center"/>
                </w:tcPr>
                <w:p>
                  <w:pPr>
                    <w:jc w:val="center"/>
                    <w:rPr>
                      <w:rFonts w:ascii="Times New Roman" w:hAnsi="Times New Roman"/>
                      <w:sz w:val="21"/>
                      <w:szCs w:val="21"/>
                    </w:rPr>
                  </w:pPr>
                  <w:r>
                    <w:rPr>
                      <w:rFonts w:ascii="Times New Roman" w:hAnsi="Times New Roman"/>
                      <w:sz w:val="21"/>
                      <w:szCs w:val="21"/>
                    </w:rPr>
                    <w:t>1</w:t>
                  </w:r>
                </w:p>
              </w:tc>
              <w:tc>
                <w:tcPr>
                  <w:tcW w:w="1401" w:type="dxa"/>
                  <w:vAlign w:val="center"/>
                </w:tcPr>
                <w:p>
                  <w:pPr>
                    <w:jc w:val="center"/>
                    <w:rPr>
                      <w:rFonts w:ascii="Times New Roman" w:hAnsi="Times New Roman"/>
                      <w:sz w:val="21"/>
                      <w:szCs w:val="21"/>
                    </w:rPr>
                  </w:pPr>
                  <w:r>
                    <w:rPr>
                      <w:rFonts w:hint="eastAsia" w:ascii="Times New Roman" w:hAnsi="Times New Roman"/>
                      <w:sz w:val="21"/>
                      <w:szCs w:val="21"/>
                    </w:rPr>
                    <w:t>废机油</w:t>
                  </w:r>
                </w:p>
              </w:tc>
              <w:tc>
                <w:tcPr>
                  <w:tcW w:w="2349" w:type="dxa"/>
                  <w:vAlign w:val="center"/>
                </w:tcPr>
                <w:p>
                  <w:pPr>
                    <w:jc w:val="center"/>
                    <w:rPr>
                      <w:rFonts w:ascii="Times New Roman" w:hAnsi="Times New Roman"/>
                      <w:sz w:val="21"/>
                      <w:szCs w:val="21"/>
                    </w:rPr>
                  </w:pPr>
                  <w:r>
                    <w:rPr>
                      <w:rFonts w:ascii="Times New Roman" w:hAnsi="Times New Roman"/>
                      <w:sz w:val="21"/>
                      <w:szCs w:val="21"/>
                    </w:rPr>
                    <w:t>0.</w:t>
                  </w:r>
                  <w:r>
                    <w:rPr>
                      <w:rFonts w:hint="eastAsia" w:ascii="Times New Roman" w:hAnsi="Times New Roman"/>
                      <w:sz w:val="21"/>
                      <w:szCs w:val="21"/>
                    </w:rPr>
                    <w:t>1</w:t>
                  </w:r>
                </w:p>
              </w:tc>
              <w:tc>
                <w:tcPr>
                  <w:tcW w:w="2080" w:type="dxa"/>
                  <w:vAlign w:val="center"/>
                </w:tcPr>
                <w:p>
                  <w:pPr>
                    <w:jc w:val="center"/>
                    <w:rPr>
                      <w:rFonts w:ascii="Times New Roman" w:hAnsi="Times New Roman"/>
                      <w:sz w:val="21"/>
                      <w:szCs w:val="21"/>
                    </w:rPr>
                  </w:pPr>
                  <w:r>
                    <w:rPr>
                      <w:rFonts w:ascii="Times New Roman" w:hAnsi="Times New Roman"/>
                      <w:sz w:val="21"/>
                      <w:szCs w:val="21"/>
                    </w:rPr>
                    <w:t>2500</w:t>
                  </w:r>
                </w:p>
              </w:tc>
              <w:tc>
                <w:tcPr>
                  <w:tcW w:w="1850" w:type="dxa"/>
                  <w:vAlign w:val="center"/>
                </w:tcPr>
                <w:p>
                  <w:pPr>
                    <w:jc w:val="center"/>
                    <w:rPr>
                      <w:rFonts w:ascii="Times New Roman" w:hAnsi="Times New Roman"/>
                      <w:sz w:val="21"/>
                      <w:szCs w:val="21"/>
                    </w:rPr>
                  </w:pPr>
                  <w:r>
                    <w:rPr>
                      <w:rFonts w:hint="eastAsia" w:ascii="Times New Roman" w:hAnsi="Times New Roman"/>
                      <w:sz w:val="21"/>
                      <w:szCs w:val="21"/>
                    </w:rPr>
                    <w:t>4×</w:t>
                  </w:r>
                  <w:r>
                    <w:rPr>
                      <w:rFonts w:ascii="Times New Roman" w:hAnsi="Times New Roman"/>
                      <w:sz w:val="21"/>
                      <w:szCs w:val="21"/>
                    </w:rPr>
                    <w:t>10</w:t>
                  </w:r>
                  <w:r>
                    <w:rPr>
                      <w:rFonts w:ascii="Times New Roman" w:hAnsi="Times New Roman"/>
                      <w:sz w:val="21"/>
                      <w:szCs w:val="21"/>
                      <w:vertAlign w:val="superscript"/>
                    </w:rPr>
                    <w:t>-</w:t>
                  </w:r>
                  <w:r>
                    <w:rPr>
                      <w:rFonts w:hint="eastAsia" w:ascii="Times New Roman" w:hAnsi="Times New Roman"/>
                      <w:sz w:val="21"/>
                      <w:szCs w:val="21"/>
                      <w:vertAlign w:val="superscript"/>
                    </w:rPr>
                    <w:t>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51" w:type="dxa"/>
                  <w:vAlign w:val="center"/>
                </w:tcPr>
                <w:p>
                  <w:pPr>
                    <w:jc w:val="center"/>
                    <w:rPr>
                      <w:rFonts w:ascii="Times New Roman" w:hAnsi="Times New Roman"/>
                      <w:sz w:val="21"/>
                      <w:szCs w:val="21"/>
                    </w:rPr>
                  </w:pPr>
                  <w:r>
                    <w:rPr>
                      <w:rFonts w:hint="eastAsia" w:ascii="Times New Roman" w:hAnsi="Times New Roman"/>
                      <w:sz w:val="21"/>
                      <w:szCs w:val="21"/>
                    </w:rPr>
                    <w:t>2</w:t>
                  </w:r>
                </w:p>
              </w:tc>
              <w:tc>
                <w:tcPr>
                  <w:tcW w:w="1401" w:type="dxa"/>
                  <w:vAlign w:val="center"/>
                </w:tcPr>
                <w:p>
                  <w:pPr>
                    <w:jc w:val="center"/>
                    <w:rPr>
                      <w:rFonts w:ascii="Times New Roman" w:hAnsi="Times New Roman"/>
                      <w:sz w:val="21"/>
                      <w:szCs w:val="21"/>
                    </w:rPr>
                  </w:pPr>
                  <w:r>
                    <w:rPr>
                      <w:rFonts w:hint="eastAsia" w:ascii="Times New Roman" w:hAnsi="Times New Roman"/>
                      <w:sz w:val="21"/>
                      <w:szCs w:val="21"/>
                    </w:rPr>
                    <w:t>浮油</w:t>
                  </w:r>
                </w:p>
              </w:tc>
              <w:tc>
                <w:tcPr>
                  <w:tcW w:w="2349" w:type="dxa"/>
                  <w:vAlign w:val="center"/>
                </w:tcPr>
                <w:p>
                  <w:pPr>
                    <w:jc w:val="center"/>
                    <w:rPr>
                      <w:rFonts w:ascii="Times New Roman" w:hAnsi="Times New Roman"/>
                      <w:sz w:val="21"/>
                      <w:szCs w:val="21"/>
                    </w:rPr>
                  </w:pPr>
                  <w:r>
                    <w:rPr>
                      <w:rFonts w:hint="eastAsia" w:ascii="Times New Roman" w:hAnsi="Times New Roman"/>
                      <w:sz w:val="21"/>
                      <w:szCs w:val="21"/>
                    </w:rPr>
                    <w:t>0.13</w:t>
                  </w:r>
                </w:p>
              </w:tc>
              <w:tc>
                <w:tcPr>
                  <w:tcW w:w="2080" w:type="dxa"/>
                  <w:vAlign w:val="center"/>
                </w:tcPr>
                <w:p>
                  <w:pPr>
                    <w:jc w:val="center"/>
                    <w:rPr>
                      <w:rFonts w:ascii="Times New Roman" w:hAnsi="Times New Roman"/>
                      <w:sz w:val="21"/>
                      <w:szCs w:val="21"/>
                    </w:rPr>
                  </w:pPr>
                  <w:r>
                    <w:rPr>
                      <w:rFonts w:hint="eastAsia" w:ascii="Times New Roman" w:hAnsi="Times New Roman"/>
                      <w:sz w:val="21"/>
                      <w:szCs w:val="21"/>
                    </w:rPr>
                    <w:t>2500</w:t>
                  </w:r>
                </w:p>
              </w:tc>
              <w:tc>
                <w:tcPr>
                  <w:tcW w:w="1850" w:type="dxa"/>
                  <w:vAlign w:val="center"/>
                </w:tcPr>
                <w:p>
                  <w:pPr>
                    <w:jc w:val="center"/>
                    <w:rPr>
                      <w:rFonts w:ascii="Times New Roman" w:hAnsi="Times New Roman"/>
                      <w:sz w:val="21"/>
                      <w:szCs w:val="21"/>
                    </w:rPr>
                  </w:pPr>
                  <w:r>
                    <w:rPr>
                      <w:rFonts w:hint="eastAsia" w:ascii="Times New Roman" w:hAnsi="Times New Roman"/>
                      <w:sz w:val="21"/>
                      <w:szCs w:val="21"/>
                    </w:rPr>
                    <w:t>5.2×</w:t>
                  </w:r>
                  <w:r>
                    <w:rPr>
                      <w:rFonts w:ascii="Times New Roman" w:hAnsi="Times New Roman"/>
                      <w:sz w:val="21"/>
                      <w:szCs w:val="21"/>
                    </w:rPr>
                    <w:t>10</w:t>
                  </w:r>
                  <w:r>
                    <w:rPr>
                      <w:rFonts w:ascii="Times New Roman" w:hAnsi="Times New Roman"/>
                      <w:sz w:val="21"/>
                      <w:szCs w:val="21"/>
                      <w:vertAlign w:val="superscript"/>
                    </w:rPr>
                    <w:t>-</w:t>
                  </w:r>
                  <w:r>
                    <w:rPr>
                      <w:rFonts w:hint="eastAsia" w:ascii="Times New Roman" w:hAnsi="Times New Roman"/>
                      <w:sz w:val="21"/>
                      <w:szCs w:val="21"/>
                      <w:vertAlign w:val="superscript"/>
                    </w:rPr>
                    <w:t>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40" w:hRule="atLeast"/>
              </w:trPr>
              <w:tc>
                <w:tcPr>
                  <w:tcW w:w="6881" w:type="dxa"/>
                  <w:gridSpan w:val="4"/>
                  <w:vAlign w:val="center"/>
                </w:tcPr>
                <w:p>
                  <w:pPr>
                    <w:jc w:val="center"/>
                    <w:rPr>
                      <w:rFonts w:ascii="Times New Roman" w:hAnsi="Times New Roman"/>
                      <w:sz w:val="21"/>
                      <w:szCs w:val="21"/>
                    </w:rPr>
                  </w:pPr>
                  <w:r>
                    <w:rPr>
                      <w:rFonts w:ascii="Times New Roman" w:hAnsi="Times New Roman"/>
                      <w:sz w:val="21"/>
                      <w:szCs w:val="21"/>
                    </w:rPr>
                    <w:t>合计</w:t>
                  </w:r>
                </w:p>
              </w:tc>
              <w:tc>
                <w:tcPr>
                  <w:tcW w:w="1850" w:type="dxa"/>
                  <w:vAlign w:val="center"/>
                </w:tcPr>
                <w:p>
                  <w:pPr>
                    <w:jc w:val="center"/>
                    <w:rPr>
                      <w:rFonts w:ascii="Times New Roman" w:hAnsi="Times New Roman"/>
                      <w:sz w:val="21"/>
                      <w:szCs w:val="21"/>
                    </w:rPr>
                  </w:pPr>
                  <w:r>
                    <w:rPr>
                      <w:rFonts w:hint="eastAsia" w:ascii="Times New Roman" w:hAnsi="Times New Roman"/>
                      <w:sz w:val="21"/>
                      <w:szCs w:val="21"/>
                    </w:rPr>
                    <w:t>9.2×</w:t>
                  </w:r>
                  <w:r>
                    <w:rPr>
                      <w:rFonts w:ascii="Times New Roman" w:hAnsi="Times New Roman"/>
                      <w:sz w:val="21"/>
                      <w:szCs w:val="21"/>
                    </w:rPr>
                    <w:t>10</w:t>
                  </w:r>
                  <w:r>
                    <w:rPr>
                      <w:rFonts w:ascii="Times New Roman" w:hAnsi="Times New Roman"/>
                      <w:sz w:val="21"/>
                      <w:szCs w:val="21"/>
                      <w:vertAlign w:val="superscript"/>
                    </w:rPr>
                    <w:t>-</w:t>
                  </w:r>
                  <w:r>
                    <w:rPr>
                      <w:rFonts w:hint="eastAsia" w:ascii="Times New Roman" w:hAnsi="Times New Roman"/>
                      <w:sz w:val="21"/>
                      <w:szCs w:val="21"/>
                      <w:vertAlign w:val="superscript"/>
                    </w:rPr>
                    <w:t>5</w:t>
                  </w:r>
                </w:p>
              </w:tc>
            </w:tr>
          </w:tbl>
          <w:p/>
          <w:p>
            <w:pPr>
              <w:widowControl/>
              <w:ind w:firstLine="422"/>
              <w:jc w:val="center"/>
              <w:rPr>
                <w:rFonts w:ascii="Times New Roman" w:hAnsi="Times New Roman" w:eastAsia="黑体"/>
                <w:b/>
                <w:bCs/>
                <w:kern w:val="0"/>
                <w:sz w:val="21"/>
                <w:szCs w:val="21"/>
              </w:rPr>
            </w:pPr>
          </w:p>
          <w:p>
            <w:pPr>
              <w:widowControl/>
              <w:ind w:firstLine="422"/>
              <w:jc w:val="center"/>
              <w:rPr>
                <w:rFonts w:ascii="Times New Roman" w:hAnsi="Times New Roman" w:eastAsia="黑体"/>
                <w:b/>
                <w:bCs/>
                <w:kern w:val="0"/>
                <w:sz w:val="21"/>
                <w:szCs w:val="21"/>
              </w:rPr>
            </w:pPr>
          </w:p>
          <w:p>
            <w:pPr>
              <w:widowControl/>
              <w:ind w:firstLine="422"/>
              <w:jc w:val="center"/>
              <w:rPr>
                <w:rFonts w:ascii="Times New Roman" w:hAnsi="Times New Roman" w:eastAsia="黑体"/>
                <w:b/>
                <w:bCs/>
                <w:kern w:val="0"/>
                <w:sz w:val="21"/>
                <w:szCs w:val="21"/>
              </w:rPr>
            </w:pPr>
          </w:p>
          <w:p>
            <w:pPr>
              <w:widowControl/>
              <w:ind w:firstLine="422"/>
              <w:jc w:val="center"/>
              <w:rPr>
                <w:rFonts w:ascii="Times New Roman" w:hAnsi="Times New Roman" w:eastAsia="黑体"/>
                <w:b/>
                <w:bCs/>
                <w:kern w:val="0"/>
                <w:sz w:val="21"/>
                <w:szCs w:val="21"/>
              </w:rPr>
            </w:pPr>
          </w:p>
          <w:p>
            <w:pPr>
              <w:widowControl/>
              <w:ind w:firstLine="422"/>
              <w:jc w:val="center"/>
              <w:rPr>
                <w:rFonts w:ascii="Times New Roman" w:hAnsi="Times New Roman" w:eastAsia="黑体"/>
                <w:b/>
                <w:bCs/>
                <w:kern w:val="0"/>
                <w:sz w:val="21"/>
                <w:szCs w:val="21"/>
              </w:rPr>
            </w:pPr>
          </w:p>
          <w:p>
            <w:pPr>
              <w:widowControl/>
              <w:ind w:firstLine="422"/>
              <w:jc w:val="center"/>
              <w:rPr>
                <w:rFonts w:ascii="Times New Roman" w:hAnsi="Times New Roman" w:eastAsia="黑体"/>
                <w:b/>
                <w:bCs/>
                <w:kern w:val="0"/>
                <w:sz w:val="21"/>
                <w:szCs w:val="21"/>
              </w:rPr>
            </w:pPr>
            <w:r>
              <w:rPr>
                <w:rFonts w:ascii="Times New Roman" w:hAnsi="Times New Roman" w:eastAsia="黑体"/>
                <w:b/>
                <w:bCs/>
                <w:kern w:val="0"/>
                <w:sz w:val="21"/>
                <w:szCs w:val="21"/>
              </w:rPr>
              <w:t>表4.2-</w:t>
            </w:r>
            <w:r>
              <w:rPr>
                <w:rFonts w:hint="eastAsia" w:ascii="Times New Roman" w:hAnsi="Times New Roman" w:eastAsia="黑体"/>
                <w:b/>
                <w:bCs/>
                <w:kern w:val="0"/>
                <w:sz w:val="21"/>
                <w:szCs w:val="21"/>
              </w:rPr>
              <w:t>11</w:t>
            </w:r>
            <w:r>
              <w:rPr>
                <w:rFonts w:ascii="Times New Roman" w:hAnsi="Times New Roman" w:eastAsia="黑体"/>
                <w:b/>
                <w:bCs/>
                <w:kern w:val="0"/>
                <w:sz w:val="21"/>
                <w:szCs w:val="21"/>
              </w:rPr>
              <w:t xml:space="preserve"> 环境风险简单分析内容表</w:t>
            </w:r>
          </w:p>
          <w:tbl>
            <w:tblPr>
              <w:tblStyle w:val="25"/>
              <w:tblW w:w="8734" w:type="dxa"/>
              <w:tblInd w:w="0"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autofit"/>
              <w:tblCellMar>
                <w:top w:w="0" w:type="dxa"/>
                <w:left w:w="108" w:type="dxa"/>
                <w:bottom w:w="0" w:type="dxa"/>
                <w:right w:w="108" w:type="dxa"/>
              </w:tblCellMar>
            </w:tblPr>
            <w:tblGrid>
              <w:gridCol w:w="2622"/>
              <w:gridCol w:w="791"/>
              <w:gridCol w:w="2259"/>
              <w:gridCol w:w="859"/>
              <w:gridCol w:w="2203"/>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98" w:hRule="atLeast"/>
              </w:trPr>
              <w:tc>
                <w:tcPr>
                  <w:tcW w:w="2622" w:type="dxa"/>
                  <w:vAlign w:val="center"/>
                </w:tcPr>
                <w:p>
                  <w:pPr>
                    <w:jc w:val="center"/>
                    <w:rPr>
                      <w:rFonts w:ascii="Times New Roman" w:hAnsi="Times New Roman"/>
                      <w:sz w:val="21"/>
                      <w:szCs w:val="21"/>
                    </w:rPr>
                  </w:pPr>
                  <w:r>
                    <w:rPr>
                      <w:rFonts w:ascii="Times New Roman" w:hAnsi="Times New Roman"/>
                      <w:sz w:val="21"/>
                      <w:szCs w:val="21"/>
                    </w:rPr>
                    <w:t>建设项目名称</w:t>
                  </w:r>
                </w:p>
              </w:tc>
              <w:tc>
                <w:tcPr>
                  <w:tcW w:w="6112" w:type="dxa"/>
                  <w:gridSpan w:val="4"/>
                  <w:vAlign w:val="center"/>
                </w:tcPr>
                <w:p>
                  <w:pPr>
                    <w:jc w:val="center"/>
                    <w:rPr>
                      <w:rFonts w:ascii="Times New Roman" w:hAnsi="Times New Roman"/>
                      <w:sz w:val="21"/>
                      <w:szCs w:val="21"/>
                    </w:rPr>
                  </w:pPr>
                  <w:r>
                    <w:rPr>
                      <w:rFonts w:hint="eastAsia" w:ascii="Times New Roman" w:hAnsi="Times New Roman"/>
                      <w:sz w:val="21"/>
                      <w:szCs w:val="21"/>
                    </w:rPr>
                    <w:t>大田卓阳达再生资源综合利用建设项目</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98" w:hRule="atLeast"/>
              </w:trPr>
              <w:tc>
                <w:tcPr>
                  <w:tcW w:w="2622" w:type="dxa"/>
                  <w:vAlign w:val="center"/>
                </w:tcPr>
                <w:p>
                  <w:pPr>
                    <w:jc w:val="center"/>
                    <w:rPr>
                      <w:rFonts w:ascii="Times New Roman" w:hAnsi="Times New Roman"/>
                      <w:sz w:val="21"/>
                      <w:szCs w:val="21"/>
                    </w:rPr>
                  </w:pPr>
                  <w:r>
                    <w:rPr>
                      <w:rFonts w:ascii="Times New Roman" w:hAnsi="Times New Roman"/>
                      <w:sz w:val="21"/>
                      <w:szCs w:val="21"/>
                    </w:rPr>
                    <w:t>建设地点</w:t>
                  </w:r>
                </w:p>
              </w:tc>
              <w:tc>
                <w:tcPr>
                  <w:tcW w:w="6112" w:type="dxa"/>
                  <w:gridSpan w:val="4"/>
                  <w:vAlign w:val="center"/>
                </w:tcPr>
                <w:p>
                  <w:pPr>
                    <w:jc w:val="center"/>
                    <w:rPr>
                      <w:rFonts w:ascii="Times New Roman" w:hAnsi="Times New Roman"/>
                      <w:sz w:val="21"/>
                      <w:szCs w:val="21"/>
                    </w:rPr>
                  </w:pPr>
                  <w:r>
                    <w:rPr>
                      <w:rFonts w:ascii="Times New Roman" w:hAnsi="Times New Roman"/>
                      <w:sz w:val="21"/>
                      <w:szCs w:val="21"/>
                    </w:rPr>
                    <w:fldChar w:fldCharType="begin"/>
                  </w:r>
                  <w:r>
                    <w:rPr>
                      <w:rFonts w:ascii="Times New Roman" w:hAnsi="Times New Roman"/>
                      <w:sz w:val="21"/>
                      <w:szCs w:val="21"/>
                    </w:rPr>
                    <w:instrText xml:space="preserve"> REF 建设地点 \h  \* MERGEFORMAT </w:instrText>
                  </w:r>
                  <w:r>
                    <w:rPr>
                      <w:rFonts w:ascii="Times New Roman" w:hAnsi="Times New Roman"/>
                      <w:sz w:val="21"/>
                      <w:szCs w:val="21"/>
                    </w:rPr>
                    <w:fldChar w:fldCharType="separate"/>
                  </w:r>
                  <w:r>
                    <w:rPr>
                      <w:rFonts w:ascii="Times New Roman" w:hAnsi="Times New Roman"/>
                      <w:sz w:val="21"/>
                      <w:szCs w:val="21"/>
                    </w:rPr>
                    <w:t>大田县</w:t>
                  </w:r>
                  <w:r>
                    <w:rPr>
                      <w:rFonts w:hint="eastAsia" w:ascii="Times New Roman" w:hAnsi="Times New Roman"/>
                      <w:sz w:val="21"/>
                      <w:szCs w:val="21"/>
                    </w:rPr>
                    <w:t>武陵乡</w:t>
                  </w:r>
                  <w:r>
                    <w:rPr>
                      <w:rFonts w:ascii="Times New Roman" w:hAnsi="Times New Roman"/>
                      <w:sz w:val="21"/>
                      <w:szCs w:val="21"/>
                    </w:rPr>
                    <w:fldChar w:fldCharType="end"/>
                  </w:r>
                  <w:r>
                    <w:rPr>
                      <w:rFonts w:hint="eastAsia" w:ascii="Times New Roman" w:hAnsi="Times New Roman"/>
                      <w:sz w:val="21"/>
                      <w:szCs w:val="21"/>
                    </w:rPr>
                    <w:t>大石村</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98" w:hRule="atLeast"/>
              </w:trPr>
              <w:tc>
                <w:tcPr>
                  <w:tcW w:w="2622" w:type="dxa"/>
                  <w:vAlign w:val="center"/>
                </w:tcPr>
                <w:p>
                  <w:pPr>
                    <w:jc w:val="center"/>
                    <w:rPr>
                      <w:rFonts w:ascii="Times New Roman" w:hAnsi="Times New Roman"/>
                      <w:sz w:val="21"/>
                      <w:szCs w:val="21"/>
                    </w:rPr>
                  </w:pPr>
                  <w:r>
                    <w:rPr>
                      <w:rFonts w:ascii="Times New Roman" w:hAnsi="Times New Roman"/>
                      <w:sz w:val="21"/>
                      <w:szCs w:val="21"/>
                    </w:rPr>
                    <w:t>地理坐标</w:t>
                  </w:r>
                </w:p>
              </w:tc>
              <w:tc>
                <w:tcPr>
                  <w:tcW w:w="791" w:type="dxa"/>
                  <w:vAlign w:val="center"/>
                </w:tcPr>
                <w:p>
                  <w:pPr>
                    <w:rPr>
                      <w:rFonts w:ascii="Times New Roman" w:hAnsi="Times New Roman"/>
                      <w:sz w:val="21"/>
                      <w:szCs w:val="21"/>
                    </w:rPr>
                  </w:pPr>
                  <w:r>
                    <w:rPr>
                      <w:rFonts w:ascii="Times New Roman" w:hAnsi="Times New Roman"/>
                      <w:sz w:val="21"/>
                      <w:szCs w:val="21"/>
                    </w:rPr>
                    <w:t>经度</w:t>
                  </w:r>
                </w:p>
              </w:tc>
              <w:tc>
                <w:tcPr>
                  <w:tcW w:w="2259" w:type="dxa"/>
                  <w:vAlign w:val="center"/>
                </w:tcPr>
                <w:p>
                  <w:pPr>
                    <w:rPr>
                      <w:rFonts w:ascii="Times New Roman" w:hAnsi="Times New Roman"/>
                      <w:sz w:val="21"/>
                      <w:szCs w:val="21"/>
                    </w:rPr>
                  </w:pPr>
                  <w:r>
                    <w:rPr>
                      <w:rFonts w:ascii="Times New Roman" w:hAnsi="Times New Roman"/>
                      <w:sz w:val="21"/>
                      <w:szCs w:val="21"/>
                    </w:rPr>
                    <w:t>117度</w:t>
                  </w:r>
                  <w:r>
                    <w:rPr>
                      <w:rFonts w:hint="eastAsia" w:ascii="Times New Roman" w:hAnsi="Times New Roman"/>
                      <w:sz w:val="21"/>
                      <w:szCs w:val="21"/>
                    </w:rPr>
                    <w:t>47</w:t>
                  </w:r>
                  <w:r>
                    <w:rPr>
                      <w:rFonts w:ascii="Times New Roman" w:hAnsi="Times New Roman"/>
                      <w:sz w:val="21"/>
                      <w:szCs w:val="21"/>
                    </w:rPr>
                    <w:t>分</w:t>
                  </w:r>
                  <w:r>
                    <w:rPr>
                      <w:rFonts w:hint="eastAsia" w:ascii="Times New Roman" w:hAnsi="Times New Roman"/>
                      <w:sz w:val="21"/>
                      <w:szCs w:val="21"/>
                    </w:rPr>
                    <w:t>26.714</w:t>
                  </w:r>
                  <w:r>
                    <w:rPr>
                      <w:rFonts w:ascii="Times New Roman" w:hAnsi="Times New Roman"/>
                      <w:sz w:val="21"/>
                      <w:szCs w:val="21"/>
                    </w:rPr>
                    <w:t>秒</w:t>
                  </w:r>
                </w:p>
              </w:tc>
              <w:tc>
                <w:tcPr>
                  <w:tcW w:w="859" w:type="dxa"/>
                  <w:vAlign w:val="center"/>
                </w:tcPr>
                <w:p>
                  <w:pPr>
                    <w:rPr>
                      <w:rFonts w:ascii="Times New Roman" w:hAnsi="Times New Roman"/>
                      <w:sz w:val="21"/>
                      <w:szCs w:val="21"/>
                    </w:rPr>
                  </w:pPr>
                  <w:r>
                    <w:rPr>
                      <w:rFonts w:ascii="Times New Roman" w:hAnsi="Times New Roman"/>
                      <w:sz w:val="21"/>
                      <w:szCs w:val="21"/>
                    </w:rPr>
                    <w:t>纬度</w:t>
                  </w:r>
                </w:p>
              </w:tc>
              <w:tc>
                <w:tcPr>
                  <w:tcW w:w="2203" w:type="dxa"/>
                  <w:vAlign w:val="center"/>
                </w:tcPr>
                <w:p>
                  <w:pPr>
                    <w:rPr>
                      <w:rFonts w:ascii="Times New Roman" w:hAnsi="Times New Roman"/>
                      <w:sz w:val="21"/>
                      <w:szCs w:val="21"/>
                    </w:rPr>
                  </w:pPr>
                  <w:r>
                    <w:rPr>
                      <w:rFonts w:ascii="Times New Roman" w:hAnsi="Times New Roman"/>
                      <w:sz w:val="21"/>
                      <w:szCs w:val="21"/>
                    </w:rPr>
                    <w:t>25度</w:t>
                  </w:r>
                  <w:r>
                    <w:rPr>
                      <w:rFonts w:hint="eastAsia" w:ascii="Times New Roman" w:hAnsi="Times New Roman"/>
                      <w:sz w:val="21"/>
                      <w:szCs w:val="21"/>
                    </w:rPr>
                    <w:t>37</w:t>
                  </w:r>
                  <w:r>
                    <w:rPr>
                      <w:rFonts w:ascii="Times New Roman" w:hAnsi="Times New Roman"/>
                      <w:sz w:val="21"/>
                      <w:szCs w:val="21"/>
                    </w:rPr>
                    <w:t>分</w:t>
                  </w:r>
                  <w:r>
                    <w:rPr>
                      <w:rFonts w:hint="eastAsia" w:ascii="Times New Roman" w:hAnsi="Times New Roman"/>
                      <w:sz w:val="21"/>
                      <w:szCs w:val="21"/>
                    </w:rPr>
                    <w:t>57.146</w:t>
                  </w:r>
                  <w:r>
                    <w:rPr>
                      <w:rFonts w:ascii="Times New Roman" w:hAnsi="Times New Roman"/>
                      <w:sz w:val="21"/>
                      <w:szCs w:val="21"/>
                    </w:rPr>
                    <w:t>秒</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98" w:hRule="atLeast"/>
              </w:trPr>
              <w:tc>
                <w:tcPr>
                  <w:tcW w:w="2622" w:type="dxa"/>
                  <w:vAlign w:val="center"/>
                </w:tcPr>
                <w:p>
                  <w:pPr>
                    <w:jc w:val="center"/>
                    <w:rPr>
                      <w:rFonts w:ascii="Times New Roman" w:hAnsi="Times New Roman"/>
                      <w:sz w:val="21"/>
                      <w:szCs w:val="21"/>
                    </w:rPr>
                  </w:pPr>
                  <w:r>
                    <w:rPr>
                      <w:rFonts w:ascii="Times New Roman" w:hAnsi="Times New Roman"/>
                      <w:sz w:val="21"/>
                      <w:szCs w:val="21"/>
                    </w:rPr>
                    <w:t>主要危险物质及分布</w:t>
                  </w:r>
                </w:p>
              </w:tc>
              <w:tc>
                <w:tcPr>
                  <w:tcW w:w="6112" w:type="dxa"/>
                  <w:gridSpan w:val="4"/>
                  <w:vAlign w:val="center"/>
                </w:tcPr>
                <w:p>
                  <w:pPr>
                    <w:jc w:val="center"/>
                    <w:rPr>
                      <w:rFonts w:ascii="Times New Roman" w:hAnsi="Times New Roman"/>
                      <w:sz w:val="21"/>
                      <w:szCs w:val="21"/>
                    </w:rPr>
                  </w:pPr>
                  <w:r>
                    <w:rPr>
                      <w:rFonts w:ascii="Times New Roman" w:hAnsi="Times New Roman"/>
                      <w:sz w:val="21"/>
                      <w:szCs w:val="21"/>
                    </w:rPr>
                    <w:t>项目涉及的风险物质为废机油</w:t>
                  </w:r>
                  <w:r>
                    <w:rPr>
                      <w:rFonts w:hint="eastAsia" w:ascii="Times New Roman" w:hAnsi="Times New Roman"/>
                      <w:sz w:val="21"/>
                      <w:szCs w:val="21"/>
                    </w:rPr>
                    <w:t>、浮油</w:t>
                  </w:r>
                  <w:r>
                    <w:rPr>
                      <w:rFonts w:ascii="Times New Roman" w:hAnsi="Times New Roman"/>
                      <w:sz w:val="21"/>
                      <w:szCs w:val="21"/>
                    </w:rPr>
                    <w:t>，主要位于危废暂存间</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98" w:hRule="atLeast"/>
              </w:trPr>
              <w:tc>
                <w:tcPr>
                  <w:tcW w:w="2622" w:type="dxa"/>
                  <w:vAlign w:val="center"/>
                </w:tcPr>
                <w:p>
                  <w:pPr>
                    <w:jc w:val="center"/>
                    <w:rPr>
                      <w:rFonts w:ascii="Times New Roman" w:hAnsi="Times New Roman"/>
                      <w:sz w:val="21"/>
                      <w:szCs w:val="21"/>
                    </w:rPr>
                  </w:pPr>
                  <w:r>
                    <w:rPr>
                      <w:rFonts w:ascii="Times New Roman" w:hAnsi="Times New Roman"/>
                      <w:sz w:val="21"/>
                      <w:szCs w:val="21"/>
                    </w:rPr>
                    <w:t>环境影响途径及危害后果</w:t>
                  </w:r>
                </w:p>
              </w:tc>
              <w:tc>
                <w:tcPr>
                  <w:tcW w:w="6112" w:type="dxa"/>
                  <w:gridSpan w:val="4"/>
                  <w:vAlign w:val="center"/>
                </w:tcPr>
                <w:p>
                  <w:pPr>
                    <w:numPr>
                      <w:ilvl w:val="0"/>
                      <w:numId w:val="20"/>
                    </w:numPr>
                    <w:spacing w:line="320" w:lineRule="exact"/>
                    <w:jc w:val="left"/>
                    <w:rPr>
                      <w:rFonts w:ascii="Times New Roman" w:hAnsi="Times New Roman"/>
                      <w:sz w:val="21"/>
                      <w:szCs w:val="21"/>
                    </w:rPr>
                  </w:pPr>
                  <w:r>
                    <w:rPr>
                      <w:rFonts w:ascii="Times New Roman" w:hAnsi="Times New Roman"/>
                      <w:sz w:val="21"/>
                      <w:szCs w:val="21"/>
                    </w:rPr>
                    <w:t>废机油泄漏：项目危废间地面</w:t>
                  </w:r>
                  <w:r>
                    <w:rPr>
                      <w:rFonts w:hint="eastAsia" w:ascii="Times New Roman" w:hAnsi="Times New Roman"/>
                      <w:sz w:val="21"/>
                      <w:szCs w:val="21"/>
                    </w:rPr>
                    <w:t>刷“环氧树脂地坪漆”进行防渗；</w:t>
                  </w:r>
                </w:p>
                <w:p>
                  <w:pPr>
                    <w:jc w:val="left"/>
                    <w:rPr>
                      <w:rFonts w:ascii="Times New Roman" w:hAnsi="Times New Roman"/>
                      <w:sz w:val="21"/>
                      <w:szCs w:val="21"/>
                    </w:rPr>
                  </w:pPr>
                  <w:r>
                    <w:rPr>
                      <w:rFonts w:ascii="Times New Roman" w:hAnsi="Times New Roman"/>
                      <w:sz w:val="21"/>
                      <w:szCs w:val="21"/>
                    </w:rPr>
                    <w:t>，废机油采用</w:t>
                  </w:r>
                  <w:r>
                    <w:rPr>
                      <w:rFonts w:hint="eastAsia" w:ascii="Times New Roman" w:hAnsi="Times New Roman"/>
                      <w:sz w:val="21"/>
                      <w:szCs w:val="21"/>
                    </w:rPr>
                    <w:t>加盖桶装，</w:t>
                  </w:r>
                  <w:r>
                    <w:rPr>
                      <w:rFonts w:ascii="Times New Roman" w:hAnsi="Times New Roman"/>
                      <w:sz w:val="21"/>
                      <w:szCs w:val="21"/>
                    </w:rPr>
                    <w:t>门口设置围坎，一旦发生渗漏，可被及时发现，少量的泄漏液体可被截留危废暂存间内，不会漫流至外环境。</w:t>
                  </w:r>
                </w:p>
                <w:p>
                  <w:pPr>
                    <w:jc w:val="left"/>
                    <w:rPr>
                      <w:rFonts w:ascii="Times New Roman" w:hAnsi="Times New Roman"/>
                      <w:sz w:val="21"/>
                      <w:szCs w:val="21"/>
                    </w:rPr>
                  </w:pPr>
                  <w:r>
                    <w:rPr>
                      <w:rFonts w:ascii="Times New Roman" w:hAnsi="Times New Roman"/>
                      <w:sz w:val="21"/>
                      <w:szCs w:val="21"/>
                    </w:rPr>
                    <w:t>本项目废机油</w:t>
                  </w:r>
                  <w:r>
                    <w:rPr>
                      <w:rFonts w:hint="eastAsia" w:ascii="Times New Roman" w:hAnsi="Times New Roman"/>
                      <w:sz w:val="21"/>
                      <w:szCs w:val="21"/>
                    </w:rPr>
                    <w:t>、浮油</w:t>
                  </w:r>
                  <w:r>
                    <w:rPr>
                      <w:rFonts w:ascii="Times New Roman" w:hAnsi="Times New Roman"/>
                      <w:sz w:val="21"/>
                      <w:szCs w:val="21"/>
                    </w:rPr>
                    <w:t>的产生量少，产生量为</w:t>
                  </w:r>
                  <w:r>
                    <w:rPr>
                      <w:rFonts w:hint="eastAsia" w:ascii="Times New Roman" w:hAnsi="Times New Roman"/>
                      <w:sz w:val="21"/>
                      <w:szCs w:val="21"/>
                    </w:rPr>
                    <w:t>0.23</w:t>
                  </w:r>
                  <w:r>
                    <w:rPr>
                      <w:rFonts w:ascii="Times New Roman" w:hAnsi="Times New Roman"/>
                      <w:sz w:val="21"/>
                      <w:szCs w:val="21"/>
                    </w:rPr>
                    <w:t>t/a，废机油</w:t>
                  </w:r>
                  <w:r>
                    <w:rPr>
                      <w:rFonts w:hint="eastAsia" w:ascii="Times New Roman" w:hAnsi="Times New Roman"/>
                      <w:sz w:val="21"/>
                      <w:szCs w:val="21"/>
                    </w:rPr>
                    <w:t>、浮油</w:t>
                  </w:r>
                  <w:r>
                    <w:rPr>
                      <w:rFonts w:ascii="Times New Roman" w:hAnsi="Times New Roman"/>
                      <w:sz w:val="21"/>
                      <w:szCs w:val="21"/>
                    </w:rPr>
                    <w:t>不属于易燃物质，危废间平时处于关闭状态，同时每天安排专人巡检，不易遇明火。同时在危废间附近设置泡沫灭火器，一旦发生火灾，发现人员可第一时间利用附近的泡沫灭火器灭火。故可不考虑火灾事故引发的消防事故废水排放事故。</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98" w:hRule="atLeast"/>
              </w:trPr>
              <w:tc>
                <w:tcPr>
                  <w:tcW w:w="2622" w:type="dxa"/>
                  <w:vAlign w:val="center"/>
                </w:tcPr>
                <w:p>
                  <w:pPr>
                    <w:jc w:val="center"/>
                    <w:rPr>
                      <w:rFonts w:ascii="Times New Roman" w:hAnsi="Times New Roman"/>
                      <w:sz w:val="21"/>
                      <w:szCs w:val="21"/>
                    </w:rPr>
                  </w:pPr>
                  <w:r>
                    <w:rPr>
                      <w:rFonts w:ascii="Times New Roman" w:hAnsi="Times New Roman"/>
                      <w:sz w:val="21"/>
                      <w:szCs w:val="21"/>
                    </w:rPr>
                    <w:t>风险防范措施要求</w:t>
                  </w:r>
                </w:p>
              </w:tc>
              <w:tc>
                <w:tcPr>
                  <w:tcW w:w="6112" w:type="dxa"/>
                  <w:gridSpan w:val="4"/>
                  <w:vAlign w:val="center"/>
                </w:tcPr>
                <w:p>
                  <w:pPr>
                    <w:jc w:val="left"/>
                    <w:rPr>
                      <w:rFonts w:ascii="Times New Roman" w:hAnsi="Times New Roman"/>
                      <w:sz w:val="21"/>
                      <w:szCs w:val="21"/>
                    </w:rPr>
                  </w:pPr>
                  <w:r>
                    <w:rPr>
                      <w:rFonts w:hint="eastAsia" w:ascii="Times New Roman" w:hAnsi="Times New Roman"/>
                      <w:sz w:val="21"/>
                      <w:szCs w:val="21"/>
                    </w:rPr>
                    <w:t>采用“防渗混凝土+环氧树脂地坪漆”防渗，</w:t>
                  </w:r>
                  <w:r>
                    <w:rPr>
                      <w:rFonts w:ascii="Times New Roman" w:hAnsi="Times New Roman"/>
                      <w:sz w:val="21"/>
                      <w:szCs w:val="21"/>
                    </w:rPr>
                    <w:t>门口设置围坎。</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98" w:hRule="atLeast"/>
              </w:trPr>
              <w:tc>
                <w:tcPr>
                  <w:tcW w:w="2622" w:type="dxa"/>
                  <w:vAlign w:val="center"/>
                </w:tcPr>
                <w:p>
                  <w:pPr>
                    <w:jc w:val="center"/>
                    <w:rPr>
                      <w:rFonts w:ascii="Times New Roman" w:hAnsi="Times New Roman"/>
                      <w:sz w:val="21"/>
                      <w:szCs w:val="21"/>
                    </w:rPr>
                  </w:pPr>
                  <w:r>
                    <w:rPr>
                      <w:rFonts w:ascii="Times New Roman" w:hAnsi="Times New Roman"/>
                      <w:sz w:val="21"/>
                      <w:szCs w:val="21"/>
                    </w:rPr>
                    <w:t>填表说明</w:t>
                  </w:r>
                </w:p>
              </w:tc>
              <w:tc>
                <w:tcPr>
                  <w:tcW w:w="6112" w:type="dxa"/>
                  <w:gridSpan w:val="4"/>
                  <w:vAlign w:val="center"/>
                </w:tcPr>
                <w:p>
                  <w:pPr>
                    <w:jc w:val="left"/>
                    <w:rPr>
                      <w:rFonts w:ascii="Times New Roman" w:hAnsi="Times New Roman"/>
                      <w:sz w:val="21"/>
                      <w:szCs w:val="21"/>
                    </w:rPr>
                  </w:pPr>
                  <w:r>
                    <w:rPr>
                      <w:rFonts w:ascii="Times New Roman" w:hAnsi="Times New Roman"/>
                      <w:sz w:val="21"/>
                      <w:szCs w:val="21"/>
                    </w:rPr>
                    <w:t>本项目危险物质数量与临界量比值Q＜1，环境风险潜势划分为Ⅰ级，根据环境风险评价工作等级划分依据，本项目环境风险评价工作等级为简单分析。通过对项目风险物质、环境影响途径、环境危害后果、风险防范措施等方面的分析，在严格落实各项风险防范措施后，本项目环境风险可防可控。</w:t>
                  </w:r>
                </w:p>
              </w:tc>
            </w:tr>
          </w:tbl>
          <w:p>
            <w:pPr>
              <w:pStyle w:val="6"/>
              <w:ind w:left="311"/>
              <w:rPr>
                <w:color w:val="auto"/>
              </w:rPr>
            </w:pPr>
            <w:r>
              <w:rPr>
                <w:color w:val="auto"/>
              </w:rPr>
              <w:t>4.3</w:t>
            </w:r>
            <w:r>
              <w:rPr>
                <w:rFonts w:hint="eastAsia"/>
                <w:color w:val="auto"/>
              </w:rPr>
              <w:t>项目退役期环境管理</w:t>
            </w:r>
          </w:p>
          <w:p>
            <w:pPr>
              <w:pStyle w:val="87"/>
              <w:spacing w:line="420" w:lineRule="atLeast"/>
              <w:ind w:firstLine="480"/>
              <w:rPr>
                <w:rFonts w:ascii="Times New Roman" w:hAnsi="Tahoma"/>
              </w:rPr>
            </w:pPr>
            <w:r>
              <w:rPr>
                <w:rFonts w:hint="eastAsia" w:ascii="Times New Roman" w:hAnsi="Tahoma"/>
              </w:rPr>
              <w:t>本项目的服务期限为15年，当项目服务期满后该项目退役时：</w:t>
            </w:r>
          </w:p>
          <w:p>
            <w:pPr>
              <w:pStyle w:val="87"/>
              <w:spacing w:line="420" w:lineRule="atLeast"/>
              <w:ind w:firstLine="480"/>
              <w:rPr>
                <w:rFonts w:ascii="Times New Roman" w:hAnsi="Tahoma"/>
              </w:rPr>
            </w:pPr>
            <w:r>
              <w:rPr>
                <w:rFonts w:hint="eastAsia" w:ascii="Times New Roman" w:hAnsi="Tahoma"/>
              </w:rPr>
              <w:t>（1）若相关设备尚不属于行业淘汰范围的，且尚符合当时国家产业政策和地方政策的，可出售给相应企业；属于行业淘汰范围、不符合当时国家产业政策和地方政策中的，即应予以报废，按废品出售给回收单位。</w:t>
            </w:r>
          </w:p>
          <w:p>
            <w:pPr>
              <w:pStyle w:val="87"/>
              <w:spacing w:line="420" w:lineRule="atLeast"/>
              <w:ind w:firstLine="480"/>
              <w:rPr>
                <w:rFonts w:ascii="Times New Roman" w:hAnsi="Tahoma"/>
              </w:rPr>
            </w:pPr>
            <w:r>
              <w:rPr>
                <w:rFonts w:hint="eastAsia" w:ascii="Times New Roman" w:hAnsi="Tahoma"/>
              </w:rPr>
              <w:t>（2）生产过程中产生的废水、固废等污染物在项目退役时必须严格按照相关要求进行处理完毕，不得造成二次污染。</w:t>
            </w:r>
          </w:p>
          <w:p>
            <w:pPr>
              <w:pStyle w:val="87"/>
              <w:spacing w:line="420" w:lineRule="atLeast"/>
              <w:ind w:firstLine="480"/>
              <w:rPr>
                <w:rFonts w:ascii="Times New Roman" w:hAnsi="Times New Roman"/>
                <w:sz w:val="28"/>
                <w:szCs w:val="28"/>
              </w:rPr>
            </w:pPr>
            <w:r>
              <w:rPr>
                <w:rFonts w:hint="eastAsia" w:ascii="Times New Roman" w:hAnsi="Tahoma"/>
              </w:rPr>
              <w:t>（3）退役后，厂区应恢复原状或厂房适当清扫后归还业主另作他用。</w:t>
            </w:r>
          </w:p>
          <w:p>
            <w:pPr>
              <w:pStyle w:val="6"/>
              <w:ind w:left="311"/>
              <w:rPr>
                <w:color w:val="auto"/>
              </w:rPr>
            </w:pPr>
            <w:r>
              <w:rPr>
                <w:color w:val="auto"/>
              </w:rPr>
              <w:t>4.</w:t>
            </w:r>
            <w:r>
              <w:rPr>
                <w:rFonts w:hint="eastAsia"/>
                <w:color w:val="auto"/>
              </w:rPr>
              <w:t>5自行监测内容</w:t>
            </w:r>
          </w:p>
          <w:p>
            <w:pPr>
              <w:pStyle w:val="3"/>
              <w:spacing w:after="0" w:line="440" w:lineRule="exact"/>
              <w:ind w:right="-120" w:firstLine="480" w:firstLineChars="200"/>
              <w:rPr>
                <w:rFonts w:ascii="Times New Roman" w:hAnsi="Times New Roman"/>
              </w:rPr>
            </w:pPr>
            <w:r>
              <w:rPr>
                <w:rFonts w:ascii="Times New Roman" w:hAnsi="Times New Roman"/>
              </w:rPr>
              <w:t>对照《固定污染源排污许可分类管理名录（2019年版）》相关规定，项目主要从事</w:t>
            </w:r>
            <w:r>
              <w:rPr>
                <w:rFonts w:hint="eastAsia" w:ascii="Times New Roman" w:hAnsi="Times New Roman"/>
              </w:rPr>
              <w:t>铸造砂、铸造砂、钢渣等固体废物的回收利用</w:t>
            </w:r>
            <w:r>
              <w:rPr>
                <w:rFonts w:ascii="Times New Roman" w:hAnsi="Times New Roman"/>
              </w:rPr>
              <w:t>，排污许可类别属于</w:t>
            </w:r>
            <w:r>
              <w:rPr>
                <w:rFonts w:hint="eastAsia" w:ascii="Times New Roman" w:hAnsi="Times New Roman"/>
              </w:rPr>
              <w:t>简化管理</w:t>
            </w:r>
            <w:r>
              <w:rPr>
                <w:rFonts w:ascii="Times New Roman" w:hAnsi="Times New Roman"/>
              </w:rPr>
              <w:t>。</w:t>
            </w:r>
            <w:r>
              <w:rPr>
                <w:rFonts w:hint="eastAsia" w:ascii="Times New Roman" w:hAnsi="Times New Roman"/>
              </w:rPr>
              <w:t>本项目的自行监测计划主要依据</w:t>
            </w:r>
            <w:r>
              <w:rPr>
                <w:rFonts w:hint="eastAsia"/>
              </w:rPr>
              <w:t>《排污单位自行监测技术</w:t>
            </w:r>
            <w:r>
              <w:rPr>
                <w:rFonts w:hint="eastAsia" w:ascii="Times New Roman" w:hAnsi="Times New Roman"/>
              </w:rPr>
              <w:t>指南 总则</w:t>
            </w:r>
            <w:r>
              <w:rPr>
                <w:rFonts w:ascii="Times New Roman" w:hAnsi="Times New Roman"/>
              </w:rPr>
              <w:t>》</w:t>
            </w:r>
            <w:r>
              <w:rPr>
                <w:rFonts w:hint="eastAsia" w:ascii="Times New Roman" w:hAnsi="Times New Roman"/>
              </w:rPr>
              <w:t>（</w:t>
            </w:r>
            <w:r>
              <w:rPr>
                <w:rFonts w:ascii="Times New Roman" w:hAnsi="Times New Roman"/>
              </w:rPr>
              <w:t>HJ 819-2017</w:t>
            </w:r>
            <w:r>
              <w:rPr>
                <w:rFonts w:hint="eastAsia" w:ascii="Times New Roman" w:hAnsi="Times New Roman"/>
              </w:rPr>
              <w:t>）及《排污许可证申请与核发技术规范 废弃资源加工工业》（HJ 1034-2019），具体见下表</w:t>
            </w:r>
            <w:r>
              <w:rPr>
                <w:rFonts w:ascii="Times New Roman" w:hAnsi="Times New Roman"/>
              </w:rPr>
              <w:t>。</w:t>
            </w:r>
          </w:p>
          <w:p>
            <w:pPr>
              <w:pStyle w:val="3"/>
              <w:spacing w:after="0" w:line="440" w:lineRule="exact"/>
              <w:ind w:right="-120" w:firstLine="480" w:firstLineChars="200"/>
              <w:rPr>
                <w:rFonts w:ascii="Times New Roman" w:hAnsi="Times New Roman"/>
              </w:rPr>
            </w:pPr>
            <w:r>
              <w:rPr>
                <w:rFonts w:hint="eastAsia" w:ascii="Times New Roman" w:hAnsi="Times New Roman"/>
              </w:rPr>
              <w:t>项目自行监测计划具体见下表</w:t>
            </w:r>
            <w:r>
              <w:rPr>
                <w:rFonts w:ascii="Times New Roman" w:hAnsi="Times New Roman"/>
              </w:rPr>
              <w:t>。</w:t>
            </w:r>
          </w:p>
          <w:p>
            <w:pPr>
              <w:widowControl/>
              <w:spacing w:line="440" w:lineRule="exact"/>
              <w:ind w:firstLine="422"/>
              <w:jc w:val="center"/>
              <w:rPr>
                <w:rFonts w:ascii="Times New Roman" w:hAnsi="Times New Roman" w:eastAsia="黑体"/>
                <w:b/>
                <w:bCs/>
                <w:kern w:val="0"/>
                <w:sz w:val="21"/>
                <w:szCs w:val="21"/>
              </w:rPr>
            </w:pPr>
            <w:r>
              <w:rPr>
                <w:rFonts w:ascii="Times New Roman" w:hAnsi="Times New Roman" w:eastAsia="黑体"/>
                <w:b/>
                <w:bCs/>
                <w:kern w:val="0"/>
                <w:sz w:val="21"/>
                <w:szCs w:val="21"/>
              </w:rPr>
              <w:t>表4-4 项目自行监测一览表</w:t>
            </w:r>
          </w:p>
          <w:tbl>
            <w:tblPr>
              <w:tblStyle w:val="25"/>
              <w:tblW w:w="8505"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28" w:type="dxa"/>
                <w:bottom w:w="0" w:type="dxa"/>
                <w:right w:w="28" w:type="dxa"/>
              </w:tblCellMar>
            </w:tblPr>
            <w:tblGrid>
              <w:gridCol w:w="731"/>
              <w:gridCol w:w="1035"/>
              <w:gridCol w:w="1232"/>
              <w:gridCol w:w="964"/>
              <w:gridCol w:w="996"/>
              <w:gridCol w:w="988"/>
              <w:gridCol w:w="1560"/>
              <w:gridCol w:w="999"/>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32" w:hRule="atLeast"/>
                <w:jc w:val="center"/>
              </w:trPr>
              <w:tc>
                <w:tcPr>
                  <w:tcW w:w="731" w:type="dxa"/>
                  <w:tcBorders>
                    <w:top w:val="single" w:color="auto" w:sz="12" w:space="0"/>
                    <w:left w:val="nil"/>
                    <w:bottom w:val="single" w:color="auto" w:sz="4" w:space="0"/>
                    <w:right w:val="single" w:color="auto" w:sz="4" w:space="0"/>
                  </w:tcBorders>
                  <w:vAlign w:val="center"/>
                </w:tcPr>
                <w:p>
                  <w:pPr>
                    <w:spacing w:line="200" w:lineRule="exact"/>
                    <w:jc w:val="center"/>
                    <w:rPr>
                      <w:rFonts w:ascii="Times New Roman" w:hAnsi="Times New Roman"/>
                      <w:sz w:val="18"/>
                      <w:szCs w:val="18"/>
                    </w:rPr>
                  </w:pPr>
                  <w:r>
                    <w:rPr>
                      <w:rFonts w:ascii="Times New Roman" w:hAnsi="Times New Roman"/>
                      <w:sz w:val="18"/>
                      <w:szCs w:val="18"/>
                    </w:rPr>
                    <w:t>污染源类别</w:t>
                  </w:r>
                </w:p>
              </w:tc>
              <w:tc>
                <w:tcPr>
                  <w:tcW w:w="1035" w:type="dxa"/>
                  <w:tcBorders>
                    <w:top w:val="single" w:color="auto" w:sz="12" w:space="0"/>
                    <w:left w:val="single" w:color="auto" w:sz="4" w:space="0"/>
                    <w:bottom w:val="single" w:color="auto" w:sz="4" w:space="0"/>
                    <w:right w:val="single" w:color="auto" w:sz="4" w:space="0"/>
                  </w:tcBorders>
                  <w:vAlign w:val="center"/>
                </w:tcPr>
                <w:p>
                  <w:pPr>
                    <w:spacing w:line="200" w:lineRule="exact"/>
                    <w:jc w:val="center"/>
                    <w:rPr>
                      <w:rFonts w:ascii="Times New Roman" w:hAnsi="Times New Roman"/>
                      <w:sz w:val="18"/>
                      <w:szCs w:val="18"/>
                    </w:rPr>
                  </w:pPr>
                  <w:r>
                    <w:rPr>
                      <w:rFonts w:ascii="Times New Roman" w:hAnsi="Times New Roman"/>
                      <w:sz w:val="18"/>
                      <w:szCs w:val="18"/>
                    </w:rPr>
                    <w:t>排放口编号/名称</w:t>
                  </w:r>
                </w:p>
              </w:tc>
              <w:tc>
                <w:tcPr>
                  <w:tcW w:w="1232" w:type="dxa"/>
                  <w:tcBorders>
                    <w:top w:val="single" w:color="auto" w:sz="12" w:space="0"/>
                    <w:left w:val="single" w:color="auto" w:sz="4" w:space="0"/>
                    <w:bottom w:val="single" w:color="auto" w:sz="4" w:space="0"/>
                    <w:right w:val="single" w:color="auto" w:sz="4" w:space="0"/>
                  </w:tcBorders>
                  <w:vAlign w:val="center"/>
                </w:tcPr>
                <w:p>
                  <w:pPr>
                    <w:spacing w:line="200" w:lineRule="exact"/>
                    <w:jc w:val="center"/>
                    <w:rPr>
                      <w:rFonts w:ascii="Times New Roman" w:hAnsi="Times New Roman"/>
                      <w:sz w:val="18"/>
                      <w:szCs w:val="18"/>
                    </w:rPr>
                  </w:pPr>
                  <w:r>
                    <w:rPr>
                      <w:rFonts w:ascii="Times New Roman" w:hAnsi="Times New Roman"/>
                      <w:sz w:val="18"/>
                      <w:szCs w:val="18"/>
                    </w:rPr>
                    <w:t>监测内容</w:t>
                  </w:r>
                </w:p>
              </w:tc>
              <w:tc>
                <w:tcPr>
                  <w:tcW w:w="964" w:type="dxa"/>
                  <w:tcBorders>
                    <w:top w:val="single" w:color="auto" w:sz="12" w:space="0"/>
                    <w:left w:val="single" w:color="auto" w:sz="4" w:space="0"/>
                    <w:bottom w:val="single" w:color="auto" w:sz="4" w:space="0"/>
                    <w:right w:val="single" w:color="auto" w:sz="4" w:space="0"/>
                  </w:tcBorders>
                  <w:vAlign w:val="center"/>
                </w:tcPr>
                <w:p>
                  <w:pPr>
                    <w:spacing w:line="200" w:lineRule="exact"/>
                    <w:jc w:val="center"/>
                    <w:rPr>
                      <w:rFonts w:ascii="Times New Roman" w:hAnsi="Times New Roman"/>
                      <w:sz w:val="18"/>
                      <w:szCs w:val="18"/>
                    </w:rPr>
                  </w:pPr>
                  <w:r>
                    <w:rPr>
                      <w:rFonts w:ascii="Times New Roman" w:hAnsi="Times New Roman"/>
                      <w:sz w:val="18"/>
                      <w:szCs w:val="18"/>
                    </w:rPr>
                    <w:t>监测点位</w:t>
                  </w:r>
                </w:p>
              </w:tc>
              <w:tc>
                <w:tcPr>
                  <w:tcW w:w="996" w:type="dxa"/>
                  <w:tcBorders>
                    <w:top w:val="single" w:color="auto" w:sz="12" w:space="0"/>
                    <w:left w:val="single" w:color="auto" w:sz="4" w:space="0"/>
                    <w:bottom w:val="single" w:color="auto" w:sz="4" w:space="0"/>
                    <w:right w:val="single" w:color="auto" w:sz="4" w:space="0"/>
                  </w:tcBorders>
                  <w:tcMar>
                    <w:top w:w="0" w:type="dxa"/>
                    <w:left w:w="85" w:type="dxa"/>
                    <w:bottom w:w="0" w:type="dxa"/>
                    <w:right w:w="85" w:type="dxa"/>
                  </w:tcMar>
                  <w:vAlign w:val="center"/>
                </w:tcPr>
                <w:p>
                  <w:pPr>
                    <w:spacing w:line="200" w:lineRule="exact"/>
                    <w:jc w:val="center"/>
                    <w:rPr>
                      <w:rFonts w:ascii="Times New Roman" w:hAnsi="Times New Roman"/>
                      <w:sz w:val="18"/>
                      <w:szCs w:val="18"/>
                    </w:rPr>
                  </w:pPr>
                  <w:r>
                    <w:rPr>
                      <w:rFonts w:ascii="Times New Roman" w:hAnsi="Times New Roman"/>
                      <w:sz w:val="18"/>
                      <w:szCs w:val="18"/>
                    </w:rPr>
                    <w:t>监测项目</w:t>
                  </w:r>
                </w:p>
              </w:tc>
              <w:tc>
                <w:tcPr>
                  <w:tcW w:w="988" w:type="dxa"/>
                  <w:tcBorders>
                    <w:top w:val="single" w:color="auto" w:sz="12" w:space="0"/>
                    <w:left w:val="single" w:color="auto" w:sz="4" w:space="0"/>
                    <w:bottom w:val="single" w:color="auto" w:sz="4" w:space="0"/>
                    <w:right w:val="single" w:color="auto" w:sz="4" w:space="0"/>
                  </w:tcBorders>
                  <w:vAlign w:val="center"/>
                </w:tcPr>
                <w:p>
                  <w:pPr>
                    <w:spacing w:line="200" w:lineRule="exact"/>
                    <w:jc w:val="center"/>
                    <w:rPr>
                      <w:rFonts w:ascii="Times New Roman" w:hAnsi="Times New Roman"/>
                      <w:sz w:val="18"/>
                      <w:szCs w:val="18"/>
                    </w:rPr>
                  </w:pPr>
                  <w:r>
                    <w:rPr>
                      <w:rFonts w:ascii="Times New Roman" w:hAnsi="Times New Roman"/>
                      <w:sz w:val="18"/>
                      <w:szCs w:val="18"/>
                    </w:rPr>
                    <w:t>监测设施</w:t>
                  </w:r>
                </w:p>
              </w:tc>
              <w:tc>
                <w:tcPr>
                  <w:tcW w:w="1560" w:type="dxa"/>
                  <w:tcBorders>
                    <w:top w:val="single" w:color="auto" w:sz="12" w:space="0"/>
                    <w:left w:val="single" w:color="auto" w:sz="4" w:space="0"/>
                    <w:bottom w:val="single" w:color="auto" w:sz="4" w:space="0"/>
                    <w:right w:val="single" w:color="auto" w:sz="4" w:space="0"/>
                  </w:tcBorders>
                  <w:tcMar>
                    <w:top w:w="0" w:type="dxa"/>
                    <w:left w:w="85" w:type="dxa"/>
                    <w:bottom w:w="0" w:type="dxa"/>
                    <w:right w:w="85" w:type="dxa"/>
                  </w:tcMar>
                  <w:vAlign w:val="center"/>
                </w:tcPr>
                <w:p>
                  <w:pPr>
                    <w:spacing w:line="200" w:lineRule="exact"/>
                    <w:jc w:val="center"/>
                    <w:rPr>
                      <w:rFonts w:ascii="Times New Roman" w:hAnsi="Times New Roman"/>
                      <w:sz w:val="18"/>
                      <w:szCs w:val="18"/>
                    </w:rPr>
                  </w:pPr>
                  <w:r>
                    <w:rPr>
                      <w:rFonts w:ascii="Times New Roman" w:hAnsi="Times New Roman"/>
                      <w:sz w:val="18"/>
                      <w:szCs w:val="18"/>
                    </w:rPr>
                    <w:t>监测采样频次</w:t>
                  </w:r>
                </w:p>
              </w:tc>
              <w:tc>
                <w:tcPr>
                  <w:tcW w:w="999" w:type="dxa"/>
                  <w:tcBorders>
                    <w:top w:val="single" w:color="auto" w:sz="12" w:space="0"/>
                    <w:left w:val="single" w:color="auto" w:sz="4" w:space="0"/>
                    <w:bottom w:val="single" w:color="auto" w:sz="4" w:space="0"/>
                    <w:right w:val="nil"/>
                  </w:tcBorders>
                  <w:tcMar>
                    <w:top w:w="0" w:type="dxa"/>
                    <w:left w:w="85" w:type="dxa"/>
                    <w:bottom w:w="0" w:type="dxa"/>
                    <w:right w:w="85" w:type="dxa"/>
                  </w:tcMar>
                  <w:vAlign w:val="center"/>
                </w:tcPr>
                <w:p>
                  <w:pPr>
                    <w:spacing w:line="200" w:lineRule="exact"/>
                    <w:jc w:val="center"/>
                    <w:rPr>
                      <w:rFonts w:ascii="Times New Roman" w:hAnsi="Times New Roman"/>
                      <w:sz w:val="18"/>
                      <w:szCs w:val="18"/>
                    </w:rPr>
                  </w:pPr>
                  <w:r>
                    <w:rPr>
                      <w:rFonts w:ascii="Times New Roman" w:hAnsi="Times New Roman"/>
                      <w:sz w:val="18"/>
                      <w:szCs w:val="18"/>
                    </w:rPr>
                    <w:t>监测频次</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32" w:hRule="atLeast"/>
                <w:jc w:val="center"/>
              </w:trPr>
              <w:tc>
                <w:tcPr>
                  <w:tcW w:w="731" w:type="dxa"/>
                  <w:tcBorders>
                    <w:top w:val="single" w:color="auto" w:sz="4" w:space="0"/>
                    <w:left w:val="nil"/>
                    <w:bottom w:val="single" w:color="auto" w:sz="4" w:space="0"/>
                    <w:right w:val="single" w:color="auto" w:sz="4" w:space="0"/>
                  </w:tcBorders>
                  <w:vAlign w:val="center"/>
                </w:tcPr>
                <w:p>
                  <w:pPr>
                    <w:spacing w:line="200" w:lineRule="exact"/>
                    <w:jc w:val="center"/>
                    <w:rPr>
                      <w:rFonts w:ascii="Times New Roman" w:hAnsi="Times New Roman"/>
                      <w:sz w:val="18"/>
                      <w:szCs w:val="18"/>
                    </w:rPr>
                  </w:pPr>
                  <w:r>
                    <w:rPr>
                      <w:rFonts w:ascii="Times New Roman" w:hAnsi="Times New Roman"/>
                      <w:sz w:val="18"/>
                      <w:szCs w:val="18"/>
                    </w:rPr>
                    <w:t>无组织废气</w:t>
                  </w:r>
                </w:p>
              </w:tc>
              <w:tc>
                <w:tcPr>
                  <w:tcW w:w="1035"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ascii="Times New Roman" w:hAnsi="Times New Roman"/>
                      <w:sz w:val="18"/>
                      <w:szCs w:val="18"/>
                    </w:rPr>
                  </w:pPr>
                  <w:r>
                    <w:rPr>
                      <w:rFonts w:ascii="Times New Roman" w:hAnsi="Times New Roman"/>
                      <w:sz w:val="18"/>
                      <w:szCs w:val="18"/>
                    </w:rPr>
                    <w:t>厂界</w:t>
                  </w:r>
                </w:p>
              </w:tc>
              <w:tc>
                <w:tcPr>
                  <w:tcW w:w="1232"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ascii="Times New Roman" w:hAnsi="Times New Roman"/>
                      <w:sz w:val="18"/>
                      <w:szCs w:val="18"/>
                    </w:rPr>
                  </w:pPr>
                  <w:r>
                    <w:rPr>
                      <w:rFonts w:ascii="Times New Roman" w:hAnsi="Times New Roman"/>
                      <w:sz w:val="18"/>
                      <w:szCs w:val="18"/>
                    </w:rPr>
                    <w:t>风速、风向</w:t>
                  </w:r>
                </w:p>
              </w:tc>
              <w:tc>
                <w:tcPr>
                  <w:tcW w:w="964"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ascii="Times New Roman" w:hAnsi="Times New Roman"/>
                      <w:sz w:val="18"/>
                      <w:szCs w:val="18"/>
                    </w:rPr>
                  </w:pPr>
                  <w:r>
                    <w:rPr>
                      <w:rFonts w:ascii="Times New Roman" w:hAnsi="Times New Roman"/>
                      <w:sz w:val="18"/>
                      <w:szCs w:val="18"/>
                    </w:rPr>
                    <w:t>厂界</w:t>
                  </w:r>
                </w:p>
              </w:tc>
              <w:tc>
                <w:tcPr>
                  <w:tcW w:w="996" w:type="dxa"/>
                  <w:tcBorders>
                    <w:top w:val="single" w:color="auto" w:sz="4" w:space="0"/>
                    <w:left w:val="single" w:color="auto" w:sz="4" w:space="0"/>
                    <w:bottom w:val="single" w:color="auto" w:sz="4" w:space="0"/>
                    <w:right w:val="single" w:color="auto" w:sz="4" w:space="0"/>
                  </w:tcBorders>
                  <w:tcMar>
                    <w:top w:w="0" w:type="dxa"/>
                    <w:left w:w="85" w:type="dxa"/>
                    <w:bottom w:w="0" w:type="dxa"/>
                    <w:right w:w="85" w:type="dxa"/>
                  </w:tcMar>
                  <w:vAlign w:val="center"/>
                </w:tcPr>
                <w:p>
                  <w:pPr>
                    <w:spacing w:line="200" w:lineRule="exact"/>
                    <w:jc w:val="center"/>
                    <w:rPr>
                      <w:rFonts w:ascii="Times New Roman" w:hAnsi="Times New Roman"/>
                      <w:sz w:val="18"/>
                      <w:szCs w:val="18"/>
                    </w:rPr>
                  </w:pPr>
                  <w:r>
                    <w:rPr>
                      <w:rFonts w:ascii="Times New Roman" w:hAnsi="Times New Roman"/>
                      <w:sz w:val="18"/>
                      <w:szCs w:val="18"/>
                    </w:rPr>
                    <w:t>颗粒物</w:t>
                  </w:r>
                </w:p>
              </w:tc>
              <w:tc>
                <w:tcPr>
                  <w:tcW w:w="988"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ascii="Times New Roman" w:hAnsi="Times New Roman"/>
                      <w:sz w:val="18"/>
                      <w:szCs w:val="18"/>
                    </w:rPr>
                  </w:pPr>
                  <w:r>
                    <w:rPr>
                      <w:rFonts w:ascii="Times New Roman" w:hAnsi="Times New Roman"/>
                      <w:sz w:val="18"/>
                      <w:szCs w:val="18"/>
                    </w:rPr>
                    <w:t>手工</w:t>
                  </w:r>
                </w:p>
              </w:tc>
              <w:tc>
                <w:tcPr>
                  <w:tcW w:w="1560" w:type="dxa"/>
                  <w:tcBorders>
                    <w:top w:val="single" w:color="auto" w:sz="4" w:space="0"/>
                    <w:left w:val="single" w:color="auto" w:sz="4" w:space="0"/>
                    <w:bottom w:val="single" w:color="auto" w:sz="4" w:space="0"/>
                    <w:right w:val="single" w:color="auto" w:sz="4" w:space="0"/>
                  </w:tcBorders>
                  <w:tcMar>
                    <w:top w:w="0" w:type="dxa"/>
                    <w:left w:w="85" w:type="dxa"/>
                    <w:bottom w:w="0" w:type="dxa"/>
                    <w:right w:w="85" w:type="dxa"/>
                  </w:tcMar>
                  <w:vAlign w:val="center"/>
                </w:tcPr>
                <w:p>
                  <w:pPr>
                    <w:spacing w:line="200" w:lineRule="exact"/>
                    <w:jc w:val="center"/>
                    <w:rPr>
                      <w:rFonts w:ascii="Times New Roman" w:hAnsi="Times New Roman"/>
                      <w:sz w:val="18"/>
                      <w:szCs w:val="18"/>
                    </w:rPr>
                  </w:pPr>
                  <w:r>
                    <w:rPr>
                      <w:rFonts w:ascii="Times New Roman" w:hAnsi="Times New Roman"/>
                      <w:sz w:val="18"/>
                      <w:szCs w:val="18"/>
                    </w:rPr>
                    <w:t>非连续采用至少4个</w:t>
                  </w:r>
                </w:p>
              </w:tc>
              <w:tc>
                <w:tcPr>
                  <w:tcW w:w="999" w:type="dxa"/>
                  <w:tcBorders>
                    <w:top w:val="single" w:color="auto" w:sz="4" w:space="0"/>
                    <w:left w:val="single" w:color="auto" w:sz="4" w:space="0"/>
                    <w:bottom w:val="single" w:color="auto" w:sz="4" w:space="0"/>
                    <w:right w:val="nil"/>
                  </w:tcBorders>
                  <w:tcMar>
                    <w:top w:w="0" w:type="dxa"/>
                    <w:left w:w="85" w:type="dxa"/>
                    <w:bottom w:w="0" w:type="dxa"/>
                    <w:right w:w="85" w:type="dxa"/>
                  </w:tcMar>
                  <w:vAlign w:val="center"/>
                </w:tcPr>
                <w:p>
                  <w:pPr>
                    <w:spacing w:line="200" w:lineRule="exact"/>
                    <w:jc w:val="center"/>
                    <w:rPr>
                      <w:rFonts w:ascii="Times New Roman" w:hAnsi="Times New Roman"/>
                      <w:sz w:val="18"/>
                      <w:szCs w:val="18"/>
                    </w:rPr>
                  </w:pPr>
                  <w:r>
                    <w:rPr>
                      <w:rFonts w:ascii="Times New Roman" w:hAnsi="Times New Roman"/>
                      <w:sz w:val="18"/>
                      <w:szCs w:val="18"/>
                    </w:rPr>
                    <w:t>1次/年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32" w:hRule="atLeast"/>
                <w:jc w:val="center"/>
              </w:trPr>
              <w:tc>
                <w:tcPr>
                  <w:tcW w:w="731" w:type="dxa"/>
                  <w:tcBorders>
                    <w:top w:val="single" w:color="auto" w:sz="4" w:space="0"/>
                    <w:left w:val="nil"/>
                    <w:bottom w:val="single" w:color="auto" w:sz="12" w:space="0"/>
                    <w:right w:val="single" w:color="auto" w:sz="4" w:space="0"/>
                  </w:tcBorders>
                  <w:vAlign w:val="center"/>
                </w:tcPr>
                <w:p>
                  <w:pPr>
                    <w:spacing w:line="200" w:lineRule="exact"/>
                    <w:jc w:val="center"/>
                    <w:rPr>
                      <w:rFonts w:ascii="Times New Roman" w:hAnsi="Times New Roman"/>
                      <w:sz w:val="18"/>
                      <w:szCs w:val="18"/>
                    </w:rPr>
                  </w:pPr>
                  <w:r>
                    <w:rPr>
                      <w:rFonts w:ascii="Times New Roman" w:hAnsi="Times New Roman"/>
                      <w:sz w:val="18"/>
                      <w:szCs w:val="18"/>
                    </w:rPr>
                    <w:t>噪声</w:t>
                  </w:r>
                </w:p>
              </w:tc>
              <w:tc>
                <w:tcPr>
                  <w:tcW w:w="1035" w:type="dxa"/>
                  <w:tcBorders>
                    <w:top w:val="single" w:color="auto" w:sz="4" w:space="0"/>
                    <w:left w:val="single" w:color="auto" w:sz="4" w:space="0"/>
                    <w:bottom w:val="single" w:color="auto" w:sz="12" w:space="0"/>
                    <w:right w:val="single" w:color="auto" w:sz="4" w:space="0"/>
                  </w:tcBorders>
                  <w:vAlign w:val="center"/>
                </w:tcPr>
                <w:p>
                  <w:pPr>
                    <w:spacing w:line="200" w:lineRule="exact"/>
                    <w:jc w:val="center"/>
                    <w:rPr>
                      <w:rFonts w:ascii="Times New Roman" w:hAnsi="Times New Roman"/>
                      <w:sz w:val="18"/>
                      <w:szCs w:val="18"/>
                    </w:rPr>
                  </w:pPr>
                  <w:r>
                    <w:rPr>
                      <w:rFonts w:ascii="Times New Roman" w:hAnsi="Times New Roman"/>
                      <w:sz w:val="18"/>
                      <w:szCs w:val="18"/>
                    </w:rPr>
                    <w:t>厂界</w:t>
                  </w:r>
                </w:p>
              </w:tc>
              <w:tc>
                <w:tcPr>
                  <w:tcW w:w="1232" w:type="dxa"/>
                  <w:tcBorders>
                    <w:top w:val="single" w:color="auto" w:sz="4" w:space="0"/>
                    <w:left w:val="single" w:color="auto" w:sz="4" w:space="0"/>
                    <w:bottom w:val="single" w:color="auto" w:sz="12" w:space="0"/>
                    <w:right w:val="single" w:color="auto" w:sz="4" w:space="0"/>
                  </w:tcBorders>
                  <w:vAlign w:val="center"/>
                </w:tcPr>
                <w:p>
                  <w:pPr>
                    <w:spacing w:line="200" w:lineRule="exact"/>
                    <w:jc w:val="center"/>
                    <w:rPr>
                      <w:rFonts w:ascii="Times New Roman" w:hAnsi="Times New Roman"/>
                      <w:sz w:val="18"/>
                      <w:szCs w:val="18"/>
                    </w:rPr>
                  </w:pPr>
                  <w:r>
                    <w:rPr>
                      <w:rFonts w:ascii="Times New Roman" w:hAnsi="Times New Roman"/>
                      <w:sz w:val="18"/>
                      <w:szCs w:val="18"/>
                    </w:rPr>
                    <w:t>dB（A）</w:t>
                  </w:r>
                </w:p>
              </w:tc>
              <w:tc>
                <w:tcPr>
                  <w:tcW w:w="964" w:type="dxa"/>
                  <w:tcBorders>
                    <w:top w:val="single" w:color="auto" w:sz="4" w:space="0"/>
                    <w:left w:val="single" w:color="auto" w:sz="4" w:space="0"/>
                    <w:bottom w:val="single" w:color="auto" w:sz="12" w:space="0"/>
                    <w:right w:val="single" w:color="auto" w:sz="4" w:space="0"/>
                  </w:tcBorders>
                  <w:vAlign w:val="center"/>
                </w:tcPr>
                <w:p>
                  <w:pPr>
                    <w:spacing w:line="200" w:lineRule="exact"/>
                    <w:jc w:val="center"/>
                    <w:rPr>
                      <w:rFonts w:ascii="Times New Roman" w:hAnsi="Times New Roman"/>
                      <w:sz w:val="18"/>
                      <w:szCs w:val="18"/>
                    </w:rPr>
                  </w:pPr>
                  <w:r>
                    <w:rPr>
                      <w:rFonts w:ascii="Times New Roman" w:hAnsi="Times New Roman"/>
                      <w:sz w:val="18"/>
                      <w:szCs w:val="18"/>
                    </w:rPr>
                    <w:t>厂界</w:t>
                  </w:r>
                </w:p>
              </w:tc>
              <w:tc>
                <w:tcPr>
                  <w:tcW w:w="996" w:type="dxa"/>
                  <w:tcBorders>
                    <w:top w:val="single" w:color="auto" w:sz="4" w:space="0"/>
                    <w:left w:val="single" w:color="auto" w:sz="4" w:space="0"/>
                    <w:bottom w:val="single" w:color="auto" w:sz="12" w:space="0"/>
                    <w:right w:val="single" w:color="auto" w:sz="4" w:space="0"/>
                  </w:tcBorders>
                  <w:tcMar>
                    <w:top w:w="0" w:type="dxa"/>
                    <w:left w:w="85" w:type="dxa"/>
                    <w:bottom w:w="0" w:type="dxa"/>
                    <w:right w:w="85" w:type="dxa"/>
                  </w:tcMar>
                  <w:vAlign w:val="center"/>
                </w:tcPr>
                <w:p>
                  <w:pPr>
                    <w:spacing w:line="200" w:lineRule="exact"/>
                    <w:jc w:val="center"/>
                    <w:rPr>
                      <w:rFonts w:ascii="Times New Roman" w:hAnsi="Times New Roman"/>
                      <w:sz w:val="18"/>
                      <w:szCs w:val="18"/>
                    </w:rPr>
                  </w:pPr>
                  <w:r>
                    <w:rPr>
                      <w:rFonts w:ascii="Times New Roman" w:hAnsi="Times New Roman"/>
                      <w:sz w:val="18"/>
                      <w:szCs w:val="18"/>
                    </w:rPr>
                    <w:t>等效A声级</w:t>
                  </w:r>
                </w:p>
              </w:tc>
              <w:tc>
                <w:tcPr>
                  <w:tcW w:w="988" w:type="dxa"/>
                  <w:tcBorders>
                    <w:top w:val="single" w:color="auto" w:sz="4" w:space="0"/>
                    <w:left w:val="single" w:color="auto" w:sz="4" w:space="0"/>
                    <w:bottom w:val="single" w:color="auto" w:sz="12" w:space="0"/>
                    <w:right w:val="single" w:color="auto" w:sz="4" w:space="0"/>
                  </w:tcBorders>
                  <w:vAlign w:val="center"/>
                </w:tcPr>
                <w:p>
                  <w:pPr>
                    <w:spacing w:line="200" w:lineRule="exact"/>
                    <w:jc w:val="center"/>
                    <w:rPr>
                      <w:rFonts w:ascii="Times New Roman" w:hAnsi="Times New Roman"/>
                      <w:sz w:val="18"/>
                      <w:szCs w:val="18"/>
                    </w:rPr>
                  </w:pPr>
                  <w:r>
                    <w:rPr>
                      <w:rFonts w:ascii="Times New Roman" w:hAnsi="Times New Roman"/>
                      <w:sz w:val="18"/>
                      <w:szCs w:val="18"/>
                    </w:rPr>
                    <w:t>手工</w:t>
                  </w:r>
                </w:p>
              </w:tc>
              <w:tc>
                <w:tcPr>
                  <w:tcW w:w="1560" w:type="dxa"/>
                  <w:tcBorders>
                    <w:top w:val="single" w:color="auto" w:sz="4" w:space="0"/>
                    <w:left w:val="single" w:color="auto" w:sz="4" w:space="0"/>
                    <w:bottom w:val="single" w:color="auto" w:sz="12" w:space="0"/>
                    <w:right w:val="single" w:color="auto" w:sz="4" w:space="0"/>
                  </w:tcBorders>
                  <w:tcMar>
                    <w:top w:w="0" w:type="dxa"/>
                    <w:left w:w="85" w:type="dxa"/>
                    <w:bottom w:w="0" w:type="dxa"/>
                    <w:right w:w="85" w:type="dxa"/>
                  </w:tcMar>
                  <w:vAlign w:val="center"/>
                </w:tcPr>
                <w:p>
                  <w:pPr>
                    <w:spacing w:line="200" w:lineRule="exact"/>
                    <w:jc w:val="center"/>
                    <w:rPr>
                      <w:rFonts w:ascii="Times New Roman" w:hAnsi="Times New Roman"/>
                      <w:sz w:val="18"/>
                      <w:szCs w:val="18"/>
                    </w:rPr>
                  </w:pPr>
                  <w:r>
                    <w:rPr>
                      <w:rFonts w:ascii="Times New Roman" w:hAnsi="Times New Roman"/>
                      <w:sz w:val="18"/>
                      <w:szCs w:val="18"/>
                    </w:rPr>
                    <w:t>昼间一次</w:t>
                  </w:r>
                </w:p>
              </w:tc>
              <w:tc>
                <w:tcPr>
                  <w:tcW w:w="999" w:type="dxa"/>
                  <w:tcBorders>
                    <w:top w:val="single" w:color="auto" w:sz="4" w:space="0"/>
                    <w:left w:val="single" w:color="auto" w:sz="4" w:space="0"/>
                    <w:bottom w:val="single" w:color="auto" w:sz="12" w:space="0"/>
                    <w:right w:val="nil"/>
                  </w:tcBorders>
                  <w:tcMar>
                    <w:top w:w="0" w:type="dxa"/>
                    <w:left w:w="85" w:type="dxa"/>
                    <w:bottom w:w="0" w:type="dxa"/>
                    <w:right w:w="85" w:type="dxa"/>
                  </w:tcMar>
                  <w:vAlign w:val="center"/>
                </w:tcPr>
                <w:p>
                  <w:pPr>
                    <w:spacing w:line="200" w:lineRule="exact"/>
                    <w:jc w:val="center"/>
                    <w:rPr>
                      <w:rFonts w:ascii="Times New Roman" w:hAnsi="Times New Roman"/>
                      <w:sz w:val="18"/>
                      <w:szCs w:val="18"/>
                    </w:rPr>
                  </w:pPr>
                  <w:r>
                    <w:rPr>
                      <w:rFonts w:ascii="Times New Roman" w:hAnsi="Times New Roman"/>
                      <w:sz w:val="18"/>
                      <w:szCs w:val="18"/>
                    </w:rPr>
                    <w:t>1次/季度</w:t>
                  </w:r>
                </w:p>
              </w:tc>
            </w:tr>
          </w:tbl>
          <w:p>
            <w:pPr>
              <w:pStyle w:val="38"/>
              <w:ind w:firstLine="0" w:firstLineChars="0"/>
            </w:pPr>
          </w:p>
        </w:tc>
      </w:tr>
    </w:tbl>
    <w:p>
      <w:pPr>
        <w:ind w:firstLine="600"/>
        <w:rPr>
          <w:rFonts w:ascii="Times New Roman" w:hAnsi="Times New Roman" w:eastAsia="黑体"/>
          <w:snapToGrid w:val="0"/>
          <w:sz w:val="30"/>
          <w:szCs w:val="30"/>
        </w:rPr>
        <w:sectPr>
          <w:pgSz w:w="11906" w:h="16838"/>
          <w:pgMar w:top="1701" w:right="1531" w:bottom="1701" w:left="1531" w:header="851" w:footer="851" w:gutter="0"/>
          <w:cols w:space="720" w:num="1"/>
          <w:docGrid w:linePitch="312" w:charSpace="0"/>
        </w:sectPr>
      </w:pPr>
    </w:p>
    <w:p>
      <w:pPr>
        <w:pStyle w:val="23"/>
        <w:ind w:firstLine="600"/>
        <w:jc w:val="center"/>
        <w:outlineLvl w:val="0"/>
        <w:rPr>
          <w:rFonts w:ascii="Times New Roman" w:hAnsi="Times New Roman" w:eastAsia="黑体"/>
          <w:snapToGrid w:val="0"/>
          <w:sz w:val="30"/>
          <w:szCs w:val="30"/>
        </w:rPr>
      </w:pPr>
      <w:r>
        <w:rPr>
          <w:rFonts w:ascii="Times New Roman" w:hAnsi="Times New Roman" w:eastAsia="黑体"/>
          <w:snapToGrid w:val="0"/>
          <w:sz w:val="30"/>
          <w:szCs w:val="30"/>
        </w:rPr>
        <w:t>五、</w:t>
      </w:r>
      <w:bookmarkStart w:id="18" w:name="_Hlk54167917"/>
      <w:r>
        <w:rPr>
          <w:rFonts w:ascii="Times New Roman" w:hAnsi="Times New Roman" w:eastAsia="黑体"/>
          <w:snapToGrid w:val="0"/>
          <w:sz w:val="30"/>
          <w:szCs w:val="30"/>
        </w:rPr>
        <w:t>环境保护措施监督检查清单</w:t>
      </w:r>
      <w:bookmarkEnd w:id="18"/>
    </w:p>
    <w:tbl>
      <w:tblPr>
        <w:tblStyle w:val="25"/>
        <w:tblW w:w="881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43"/>
        <w:gridCol w:w="1387"/>
        <w:gridCol w:w="1094"/>
        <w:gridCol w:w="2813"/>
        <w:gridCol w:w="197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43" w:type="dxa"/>
            <w:tcBorders>
              <w:tl2br w:val="single" w:color="auto" w:sz="4" w:space="0"/>
            </w:tcBorders>
          </w:tcPr>
          <w:p>
            <w:pPr>
              <w:adjustRightInd w:val="0"/>
              <w:snapToGrid w:val="0"/>
              <w:ind w:firstLine="840" w:firstLineChars="400"/>
              <w:rPr>
                <w:rFonts w:ascii="Times New Roman" w:hAnsi="Times New Roman"/>
                <w:sz w:val="21"/>
                <w:szCs w:val="21"/>
              </w:rPr>
            </w:pPr>
            <w:r>
              <w:rPr>
                <w:rFonts w:ascii="Times New Roman" w:hAnsi="Times New Roman"/>
                <w:sz w:val="21"/>
                <w:szCs w:val="21"/>
              </w:rPr>
              <w:t>内容</w:t>
            </w:r>
          </w:p>
          <w:p>
            <w:pPr>
              <w:adjustRightInd w:val="0"/>
              <w:snapToGrid w:val="0"/>
              <w:rPr>
                <w:rFonts w:ascii="Times New Roman" w:hAnsi="Times New Roman"/>
                <w:sz w:val="21"/>
                <w:szCs w:val="21"/>
              </w:rPr>
            </w:pPr>
            <w:r>
              <w:rPr>
                <w:rFonts w:ascii="Times New Roman" w:hAnsi="Times New Roman"/>
                <w:sz w:val="21"/>
                <w:szCs w:val="21"/>
              </w:rPr>
              <w:t>要素</w:t>
            </w:r>
          </w:p>
        </w:tc>
        <w:tc>
          <w:tcPr>
            <w:tcW w:w="1387" w:type="dxa"/>
            <w:vAlign w:val="center"/>
          </w:tcPr>
          <w:p>
            <w:pPr>
              <w:adjustRightInd w:val="0"/>
              <w:snapToGrid w:val="0"/>
              <w:jc w:val="center"/>
              <w:rPr>
                <w:rFonts w:ascii="Times New Roman" w:hAnsi="Times New Roman"/>
                <w:sz w:val="21"/>
                <w:szCs w:val="21"/>
              </w:rPr>
            </w:pPr>
            <w:r>
              <w:rPr>
                <w:rFonts w:ascii="Times New Roman" w:hAnsi="Times New Roman"/>
                <w:sz w:val="21"/>
                <w:szCs w:val="21"/>
              </w:rPr>
              <w:t>排放口/污染源</w:t>
            </w:r>
          </w:p>
        </w:tc>
        <w:tc>
          <w:tcPr>
            <w:tcW w:w="1094" w:type="dxa"/>
            <w:vAlign w:val="center"/>
          </w:tcPr>
          <w:p>
            <w:pPr>
              <w:adjustRightInd w:val="0"/>
              <w:snapToGrid w:val="0"/>
              <w:jc w:val="center"/>
              <w:rPr>
                <w:rFonts w:ascii="Times New Roman" w:hAnsi="Times New Roman"/>
                <w:sz w:val="21"/>
                <w:szCs w:val="21"/>
              </w:rPr>
            </w:pPr>
            <w:r>
              <w:rPr>
                <w:rFonts w:ascii="Times New Roman" w:hAnsi="Times New Roman"/>
                <w:sz w:val="21"/>
                <w:szCs w:val="21"/>
              </w:rPr>
              <w:t>污染物项目</w:t>
            </w:r>
          </w:p>
        </w:tc>
        <w:tc>
          <w:tcPr>
            <w:tcW w:w="2813" w:type="dxa"/>
            <w:vAlign w:val="center"/>
          </w:tcPr>
          <w:p>
            <w:pPr>
              <w:adjustRightInd w:val="0"/>
              <w:snapToGrid w:val="0"/>
              <w:jc w:val="center"/>
              <w:rPr>
                <w:rFonts w:ascii="Times New Roman" w:hAnsi="Times New Roman"/>
                <w:sz w:val="21"/>
                <w:szCs w:val="21"/>
              </w:rPr>
            </w:pPr>
            <w:r>
              <w:rPr>
                <w:rFonts w:ascii="Times New Roman" w:hAnsi="Times New Roman"/>
                <w:sz w:val="21"/>
                <w:szCs w:val="21"/>
              </w:rPr>
              <w:t>环境保护措施</w:t>
            </w:r>
          </w:p>
        </w:tc>
        <w:tc>
          <w:tcPr>
            <w:tcW w:w="1973" w:type="dxa"/>
            <w:vAlign w:val="center"/>
          </w:tcPr>
          <w:p>
            <w:pPr>
              <w:adjustRightInd w:val="0"/>
              <w:snapToGrid w:val="0"/>
              <w:jc w:val="center"/>
              <w:rPr>
                <w:rFonts w:ascii="Times New Roman" w:hAnsi="Times New Roman"/>
                <w:sz w:val="21"/>
                <w:szCs w:val="21"/>
              </w:rPr>
            </w:pPr>
            <w:r>
              <w:rPr>
                <w:rFonts w:ascii="Times New Roman" w:hAnsi="Times New Roman"/>
                <w:sz w:val="21"/>
                <w:szCs w:val="21"/>
              </w:rPr>
              <w:t>执行标准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43" w:type="dxa"/>
            <w:vAlign w:val="center"/>
          </w:tcPr>
          <w:p>
            <w:pPr>
              <w:adjustRightInd w:val="0"/>
              <w:snapToGrid w:val="0"/>
              <w:jc w:val="center"/>
              <w:rPr>
                <w:rFonts w:ascii="Times New Roman" w:hAnsi="Times New Roman"/>
                <w:sz w:val="21"/>
                <w:szCs w:val="21"/>
              </w:rPr>
            </w:pPr>
            <w:r>
              <w:rPr>
                <w:rFonts w:ascii="Times New Roman" w:hAnsi="Times New Roman"/>
                <w:sz w:val="21"/>
                <w:szCs w:val="21"/>
              </w:rPr>
              <w:t>大气环境</w:t>
            </w:r>
          </w:p>
        </w:tc>
        <w:tc>
          <w:tcPr>
            <w:tcW w:w="1387" w:type="dxa"/>
            <w:vAlign w:val="center"/>
          </w:tcPr>
          <w:p>
            <w:pPr>
              <w:adjustRightInd w:val="0"/>
              <w:snapToGrid w:val="0"/>
              <w:jc w:val="center"/>
              <w:rPr>
                <w:rFonts w:ascii="Times New Roman" w:hAnsi="Times New Roman"/>
                <w:sz w:val="21"/>
                <w:szCs w:val="21"/>
              </w:rPr>
            </w:pPr>
            <w:r>
              <w:rPr>
                <w:rFonts w:hint="eastAsia" w:ascii="Times New Roman" w:hAnsi="Times New Roman"/>
                <w:sz w:val="21"/>
                <w:szCs w:val="21"/>
              </w:rPr>
              <w:t>厂界无组织废气</w:t>
            </w:r>
          </w:p>
        </w:tc>
        <w:tc>
          <w:tcPr>
            <w:tcW w:w="1094" w:type="dxa"/>
            <w:vAlign w:val="center"/>
          </w:tcPr>
          <w:p>
            <w:pPr>
              <w:adjustRightInd w:val="0"/>
              <w:snapToGrid w:val="0"/>
              <w:jc w:val="left"/>
              <w:rPr>
                <w:rFonts w:ascii="Times New Roman" w:hAnsi="Times New Roman"/>
                <w:sz w:val="21"/>
                <w:szCs w:val="21"/>
              </w:rPr>
            </w:pPr>
            <w:r>
              <w:rPr>
                <w:rFonts w:hint="eastAsia" w:ascii="Times New Roman" w:hAnsi="Times New Roman"/>
                <w:sz w:val="21"/>
                <w:szCs w:val="21"/>
              </w:rPr>
              <w:t>颗粒物</w:t>
            </w:r>
          </w:p>
        </w:tc>
        <w:tc>
          <w:tcPr>
            <w:tcW w:w="2813" w:type="dxa"/>
            <w:vAlign w:val="center"/>
          </w:tcPr>
          <w:p>
            <w:pPr>
              <w:adjustRightInd w:val="0"/>
              <w:snapToGrid w:val="0"/>
              <w:jc w:val="left"/>
              <w:rPr>
                <w:rFonts w:ascii="Times New Roman" w:hAnsi="Times New Roman"/>
                <w:sz w:val="21"/>
                <w:szCs w:val="21"/>
              </w:rPr>
            </w:pPr>
            <w:r>
              <w:rPr>
                <w:rFonts w:hint="eastAsia" w:ascii="Times New Roman" w:hAnsi="Times New Roman"/>
                <w:sz w:val="21"/>
                <w:szCs w:val="21"/>
              </w:rPr>
              <w:t>①原料堆场、尾渣堆场设置顶棚、周边半围挡；</w:t>
            </w:r>
          </w:p>
          <w:p>
            <w:pPr>
              <w:adjustRightInd w:val="0"/>
              <w:snapToGrid w:val="0"/>
              <w:jc w:val="left"/>
              <w:rPr>
                <w:rFonts w:ascii="Times New Roman" w:hAnsi="Times New Roman"/>
                <w:sz w:val="21"/>
                <w:szCs w:val="21"/>
              </w:rPr>
            </w:pPr>
            <w:r>
              <w:rPr>
                <w:rFonts w:hint="eastAsia" w:ascii="Times New Roman" w:hAnsi="Times New Roman"/>
                <w:sz w:val="21"/>
                <w:szCs w:val="21"/>
              </w:rPr>
              <w:t>②原料堆场喷雾抑尘；</w:t>
            </w:r>
          </w:p>
          <w:p>
            <w:pPr>
              <w:adjustRightInd w:val="0"/>
              <w:snapToGrid w:val="0"/>
              <w:jc w:val="left"/>
              <w:rPr>
                <w:rFonts w:ascii="Times New Roman" w:hAnsi="Times New Roman"/>
                <w:sz w:val="21"/>
                <w:szCs w:val="21"/>
              </w:rPr>
            </w:pPr>
            <w:r>
              <w:rPr>
                <w:rFonts w:hint="eastAsia" w:ascii="Times New Roman" w:hAnsi="Times New Roman"/>
                <w:sz w:val="21"/>
                <w:szCs w:val="21"/>
              </w:rPr>
              <w:t>③破碎筛分水喷淋抑尘；</w:t>
            </w:r>
          </w:p>
          <w:p>
            <w:pPr>
              <w:adjustRightInd w:val="0"/>
              <w:snapToGrid w:val="0"/>
              <w:jc w:val="left"/>
              <w:rPr>
                <w:rFonts w:ascii="Times New Roman" w:hAnsi="Times New Roman"/>
                <w:sz w:val="21"/>
                <w:szCs w:val="21"/>
              </w:rPr>
            </w:pPr>
            <w:r>
              <w:rPr>
                <w:rFonts w:hint="eastAsia" w:ascii="Times New Roman" w:hAnsi="Times New Roman"/>
                <w:sz w:val="21"/>
                <w:szCs w:val="21"/>
              </w:rPr>
              <w:t>④原料卸料洒水抑尘，降低高差；产品尾渣装卸过程降低高差。</w:t>
            </w:r>
          </w:p>
        </w:tc>
        <w:tc>
          <w:tcPr>
            <w:tcW w:w="1973" w:type="dxa"/>
            <w:vAlign w:val="center"/>
          </w:tcPr>
          <w:p>
            <w:pPr>
              <w:adjustRightInd w:val="0"/>
              <w:snapToGrid w:val="0"/>
              <w:jc w:val="left"/>
              <w:rPr>
                <w:rFonts w:ascii="Times New Roman" w:hAnsi="Times New Roman"/>
                <w:sz w:val="21"/>
                <w:szCs w:val="21"/>
              </w:rPr>
            </w:pPr>
            <w:r>
              <w:rPr>
                <w:rFonts w:ascii="Times New Roman" w:hAnsi="Times New Roman"/>
                <w:sz w:val="21"/>
                <w:szCs w:val="21"/>
              </w:rPr>
              <w:t>《大气污染物综合排放标准》（GB16297-1996）表2无组织标准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43" w:type="dxa"/>
            <w:vAlign w:val="center"/>
          </w:tcPr>
          <w:p>
            <w:pPr>
              <w:adjustRightInd w:val="0"/>
              <w:snapToGrid w:val="0"/>
              <w:jc w:val="center"/>
              <w:rPr>
                <w:rFonts w:ascii="Times New Roman" w:hAnsi="Times New Roman"/>
                <w:sz w:val="21"/>
                <w:szCs w:val="21"/>
              </w:rPr>
            </w:pPr>
            <w:r>
              <w:rPr>
                <w:rFonts w:hint="eastAsia" w:ascii="Times New Roman" w:hAnsi="Times New Roman"/>
                <w:sz w:val="21"/>
                <w:szCs w:val="21"/>
              </w:rPr>
              <w:t>地表水环境</w:t>
            </w:r>
          </w:p>
        </w:tc>
        <w:tc>
          <w:tcPr>
            <w:tcW w:w="1387" w:type="dxa"/>
            <w:vAlign w:val="center"/>
          </w:tcPr>
          <w:p>
            <w:pPr>
              <w:adjustRightInd w:val="0"/>
              <w:snapToGrid w:val="0"/>
              <w:jc w:val="center"/>
              <w:rPr>
                <w:rFonts w:ascii="Times New Roman" w:hAnsi="Times New Roman"/>
                <w:sz w:val="21"/>
                <w:szCs w:val="21"/>
              </w:rPr>
            </w:pPr>
            <w:r>
              <w:rPr>
                <w:rFonts w:hint="eastAsia" w:ascii="Times New Roman" w:hAnsi="Times New Roman"/>
                <w:sz w:val="21"/>
                <w:szCs w:val="21"/>
              </w:rPr>
              <w:t>生产废水</w:t>
            </w:r>
          </w:p>
        </w:tc>
        <w:tc>
          <w:tcPr>
            <w:tcW w:w="1094" w:type="dxa"/>
            <w:vAlign w:val="center"/>
          </w:tcPr>
          <w:p>
            <w:pPr>
              <w:adjustRightInd w:val="0"/>
              <w:snapToGrid w:val="0"/>
              <w:jc w:val="center"/>
              <w:rPr>
                <w:rFonts w:ascii="Times New Roman" w:hAnsi="Times New Roman"/>
                <w:sz w:val="21"/>
                <w:szCs w:val="21"/>
              </w:rPr>
            </w:pPr>
            <w:r>
              <w:rPr>
                <w:rFonts w:hint="eastAsia" w:ascii="Times New Roman" w:hAnsi="Times New Roman"/>
                <w:sz w:val="21"/>
                <w:szCs w:val="21"/>
              </w:rPr>
              <w:t>SS、石油类</w:t>
            </w:r>
          </w:p>
        </w:tc>
        <w:tc>
          <w:tcPr>
            <w:tcW w:w="2813" w:type="dxa"/>
            <w:vAlign w:val="center"/>
          </w:tcPr>
          <w:p>
            <w:pPr>
              <w:adjustRightInd w:val="0"/>
              <w:snapToGrid w:val="0"/>
              <w:jc w:val="left"/>
              <w:rPr>
                <w:rFonts w:ascii="Times New Roman" w:hAnsi="Times New Roman"/>
                <w:sz w:val="21"/>
                <w:szCs w:val="21"/>
              </w:rPr>
            </w:pPr>
            <w:r>
              <w:rPr>
                <w:rFonts w:hint="eastAsia" w:ascii="Times New Roman" w:hAnsi="Times New Roman"/>
                <w:sz w:val="21"/>
                <w:szCs w:val="21"/>
              </w:rPr>
              <w:t>①建设1套处理能力为250m</w:t>
            </w:r>
            <w:r>
              <w:rPr>
                <w:rFonts w:hint="eastAsia" w:ascii="Times New Roman" w:hAnsi="Times New Roman"/>
                <w:sz w:val="21"/>
                <w:szCs w:val="21"/>
                <w:vertAlign w:val="superscript"/>
              </w:rPr>
              <w:t>3</w:t>
            </w:r>
            <w:r>
              <w:rPr>
                <w:rFonts w:hint="eastAsia" w:ascii="Times New Roman" w:hAnsi="Times New Roman"/>
                <w:sz w:val="21"/>
                <w:szCs w:val="21"/>
              </w:rPr>
              <w:t>的“隔油+沉淀”污水处理设施，生产废水经处理全部回用不外排；</w:t>
            </w:r>
          </w:p>
          <w:p>
            <w:pPr>
              <w:adjustRightInd w:val="0"/>
              <w:snapToGrid w:val="0"/>
              <w:jc w:val="left"/>
              <w:rPr>
                <w:rFonts w:ascii="Times New Roman" w:hAnsi="Times New Roman"/>
                <w:sz w:val="21"/>
                <w:szCs w:val="21"/>
              </w:rPr>
            </w:pPr>
            <w:r>
              <w:rPr>
                <w:rFonts w:hint="eastAsia" w:ascii="Times New Roman" w:hAnsi="Times New Roman"/>
                <w:sz w:val="21"/>
                <w:szCs w:val="21"/>
              </w:rPr>
              <w:t>②生活污水经地埋式生活污水处理设施处理后用于周边山林地灌溉。</w:t>
            </w:r>
          </w:p>
        </w:tc>
        <w:tc>
          <w:tcPr>
            <w:tcW w:w="1973" w:type="dxa"/>
            <w:vAlign w:val="center"/>
          </w:tcPr>
          <w:p>
            <w:pPr>
              <w:adjustRightInd w:val="0"/>
              <w:snapToGrid w:val="0"/>
              <w:jc w:val="left"/>
              <w:rPr>
                <w:rFonts w:ascii="Times New Roman" w:hAnsi="Times New Roman"/>
                <w:sz w:val="21"/>
                <w:szCs w:val="21"/>
              </w:rPr>
            </w:pPr>
            <w:r>
              <w:rPr>
                <w:rFonts w:hint="eastAsia" w:ascii="Times New Roman" w:hAnsi="Times New Roman"/>
                <w:sz w:val="21"/>
                <w:szCs w:val="21"/>
              </w:rPr>
              <w:t>《农田灌溉水质标准》(GB5084-2021)表1标准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43" w:type="dxa"/>
            <w:vAlign w:val="center"/>
          </w:tcPr>
          <w:p>
            <w:pPr>
              <w:adjustRightInd w:val="0"/>
              <w:snapToGrid w:val="0"/>
              <w:jc w:val="center"/>
              <w:rPr>
                <w:rFonts w:ascii="Times New Roman" w:hAnsi="Times New Roman"/>
                <w:sz w:val="21"/>
                <w:szCs w:val="21"/>
              </w:rPr>
            </w:pPr>
            <w:r>
              <w:rPr>
                <w:rFonts w:ascii="Times New Roman" w:hAnsi="Times New Roman"/>
                <w:sz w:val="21"/>
                <w:szCs w:val="21"/>
              </w:rPr>
              <w:t>声环境</w:t>
            </w:r>
          </w:p>
        </w:tc>
        <w:tc>
          <w:tcPr>
            <w:tcW w:w="1387" w:type="dxa"/>
            <w:vAlign w:val="center"/>
          </w:tcPr>
          <w:p>
            <w:pPr>
              <w:adjustRightInd w:val="0"/>
              <w:snapToGrid w:val="0"/>
              <w:jc w:val="center"/>
              <w:rPr>
                <w:rFonts w:ascii="Times New Roman" w:hAnsi="Times New Roman"/>
                <w:sz w:val="21"/>
                <w:szCs w:val="21"/>
              </w:rPr>
            </w:pPr>
            <w:r>
              <w:rPr>
                <w:rFonts w:ascii="Times New Roman" w:hAnsi="Times New Roman"/>
                <w:sz w:val="21"/>
                <w:szCs w:val="21"/>
              </w:rPr>
              <w:t>厂界</w:t>
            </w:r>
          </w:p>
        </w:tc>
        <w:tc>
          <w:tcPr>
            <w:tcW w:w="1094" w:type="dxa"/>
            <w:vAlign w:val="center"/>
          </w:tcPr>
          <w:p>
            <w:pPr>
              <w:adjustRightInd w:val="0"/>
              <w:snapToGrid w:val="0"/>
              <w:jc w:val="center"/>
              <w:rPr>
                <w:rFonts w:ascii="Times New Roman" w:hAnsi="Times New Roman"/>
                <w:sz w:val="21"/>
                <w:szCs w:val="21"/>
              </w:rPr>
            </w:pPr>
            <w:r>
              <w:rPr>
                <w:rFonts w:hint="eastAsia" w:ascii="Times New Roman" w:hAnsi="Times New Roman"/>
                <w:sz w:val="21"/>
                <w:szCs w:val="21"/>
              </w:rPr>
              <w:t>等效连续</w:t>
            </w:r>
          </w:p>
          <w:p>
            <w:pPr>
              <w:adjustRightInd w:val="0"/>
              <w:snapToGrid w:val="0"/>
              <w:jc w:val="center"/>
              <w:rPr>
                <w:rFonts w:ascii="Times New Roman" w:hAnsi="Times New Roman"/>
                <w:sz w:val="21"/>
                <w:szCs w:val="21"/>
              </w:rPr>
            </w:pPr>
            <w:r>
              <w:rPr>
                <w:rFonts w:hint="eastAsia" w:ascii="Times New Roman" w:hAnsi="Times New Roman"/>
                <w:sz w:val="21"/>
                <w:szCs w:val="21"/>
              </w:rPr>
              <w:t>A声级</w:t>
            </w:r>
          </w:p>
        </w:tc>
        <w:tc>
          <w:tcPr>
            <w:tcW w:w="2813" w:type="dxa"/>
            <w:vAlign w:val="center"/>
          </w:tcPr>
          <w:p>
            <w:pPr>
              <w:adjustRightInd w:val="0"/>
              <w:snapToGrid w:val="0"/>
              <w:jc w:val="left"/>
              <w:rPr>
                <w:rFonts w:ascii="Times New Roman" w:hAnsi="Times New Roman"/>
                <w:sz w:val="21"/>
                <w:szCs w:val="21"/>
              </w:rPr>
            </w:pPr>
            <w:r>
              <w:rPr>
                <w:rFonts w:hint="eastAsia" w:ascii="Times New Roman" w:hAnsi="Times New Roman"/>
                <w:sz w:val="21"/>
                <w:szCs w:val="21"/>
              </w:rPr>
              <w:t>①选用低噪声设备；</w:t>
            </w:r>
          </w:p>
          <w:p>
            <w:pPr>
              <w:adjustRightInd w:val="0"/>
              <w:snapToGrid w:val="0"/>
              <w:jc w:val="left"/>
              <w:rPr>
                <w:rFonts w:ascii="Times New Roman" w:hAnsi="Times New Roman"/>
                <w:sz w:val="21"/>
                <w:szCs w:val="21"/>
              </w:rPr>
            </w:pPr>
            <w:r>
              <w:rPr>
                <w:rFonts w:hint="eastAsia" w:ascii="Times New Roman" w:hAnsi="Times New Roman"/>
                <w:sz w:val="21"/>
                <w:szCs w:val="21"/>
              </w:rPr>
              <w:t xml:space="preserve">②设备设置减震垫。 </w:t>
            </w:r>
          </w:p>
        </w:tc>
        <w:tc>
          <w:tcPr>
            <w:tcW w:w="1973" w:type="dxa"/>
            <w:vAlign w:val="center"/>
          </w:tcPr>
          <w:p>
            <w:pPr>
              <w:adjustRightInd w:val="0"/>
              <w:snapToGrid w:val="0"/>
              <w:jc w:val="left"/>
              <w:rPr>
                <w:rFonts w:ascii="Times New Roman" w:hAnsi="Times New Roman"/>
                <w:sz w:val="21"/>
                <w:szCs w:val="21"/>
              </w:rPr>
            </w:pPr>
            <w:r>
              <w:rPr>
                <w:rFonts w:hint="eastAsia" w:ascii="Times New Roman" w:hAnsi="Times New Roman"/>
                <w:sz w:val="21"/>
                <w:szCs w:val="21"/>
              </w:rPr>
              <w:t>GB12348-2008《工业企业厂界环境噪声排放标准》2类标准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57" w:hRule="atLeast"/>
          <w:jc w:val="center"/>
        </w:trPr>
        <w:tc>
          <w:tcPr>
            <w:tcW w:w="1543" w:type="dxa"/>
            <w:vAlign w:val="center"/>
          </w:tcPr>
          <w:p>
            <w:pPr>
              <w:adjustRightInd w:val="0"/>
              <w:snapToGrid w:val="0"/>
              <w:jc w:val="center"/>
              <w:rPr>
                <w:rFonts w:ascii="Times New Roman" w:hAnsi="Times New Roman"/>
                <w:sz w:val="21"/>
                <w:szCs w:val="21"/>
              </w:rPr>
            </w:pPr>
            <w:r>
              <w:rPr>
                <w:rFonts w:ascii="Times New Roman" w:hAnsi="Times New Roman"/>
                <w:sz w:val="21"/>
                <w:szCs w:val="21"/>
              </w:rPr>
              <w:t>固体废物</w:t>
            </w:r>
          </w:p>
        </w:tc>
        <w:tc>
          <w:tcPr>
            <w:tcW w:w="7267" w:type="dxa"/>
            <w:gridSpan w:val="4"/>
            <w:vAlign w:val="center"/>
          </w:tcPr>
          <w:p>
            <w:pPr>
              <w:numPr>
                <w:ilvl w:val="0"/>
                <w:numId w:val="21"/>
              </w:numPr>
              <w:spacing w:line="320" w:lineRule="exact"/>
              <w:rPr>
                <w:rFonts w:ascii="Times New Roman" w:hAnsi="Times New Roman"/>
                <w:sz w:val="21"/>
                <w:szCs w:val="21"/>
              </w:rPr>
            </w:pPr>
            <w:r>
              <w:rPr>
                <w:rFonts w:hint="eastAsia" w:ascii="Times New Roman" w:hAnsi="Times New Roman"/>
                <w:sz w:val="21"/>
                <w:szCs w:val="21"/>
              </w:rPr>
              <w:t>污泥、干选尾渣、磁选尾渣暂存于尾渣堆场，定期外运至机砖厂作为原料制备；</w:t>
            </w:r>
          </w:p>
          <w:p>
            <w:pPr>
              <w:spacing w:line="320" w:lineRule="exact"/>
              <w:rPr>
                <w:rFonts w:ascii="Times New Roman" w:hAnsi="Times New Roman"/>
                <w:sz w:val="21"/>
                <w:szCs w:val="21"/>
              </w:rPr>
            </w:pPr>
            <w:r>
              <w:rPr>
                <w:rFonts w:ascii="Times New Roman" w:hAnsi="Times New Roman"/>
                <w:sz w:val="21"/>
                <w:szCs w:val="21"/>
              </w:rPr>
              <w:t>（</w:t>
            </w:r>
            <w:r>
              <w:rPr>
                <w:rFonts w:hint="eastAsia" w:ascii="Times New Roman" w:hAnsi="Times New Roman"/>
                <w:sz w:val="21"/>
                <w:szCs w:val="21"/>
              </w:rPr>
              <w:t>2</w:t>
            </w:r>
            <w:r>
              <w:rPr>
                <w:rFonts w:ascii="Times New Roman" w:hAnsi="Times New Roman"/>
                <w:sz w:val="21"/>
                <w:szCs w:val="21"/>
              </w:rPr>
              <w:t>）废机油</w:t>
            </w:r>
            <w:r>
              <w:rPr>
                <w:rFonts w:hint="eastAsia" w:ascii="Times New Roman" w:hAnsi="Times New Roman"/>
                <w:sz w:val="21"/>
                <w:szCs w:val="21"/>
              </w:rPr>
              <w:t>、浮油</w:t>
            </w:r>
            <w:r>
              <w:rPr>
                <w:rFonts w:ascii="Times New Roman" w:hAnsi="Times New Roman"/>
                <w:sz w:val="21"/>
                <w:szCs w:val="21"/>
              </w:rPr>
              <w:t>统一贮存在危废间，并建立台账，委托有资质的单位处置；</w:t>
            </w:r>
          </w:p>
          <w:p>
            <w:pPr>
              <w:spacing w:line="320" w:lineRule="exact"/>
              <w:rPr>
                <w:rFonts w:ascii="Times New Roman" w:hAnsi="Times New Roman"/>
                <w:sz w:val="21"/>
                <w:szCs w:val="21"/>
              </w:rPr>
            </w:pPr>
            <w:r>
              <w:rPr>
                <w:rFonts w:ascii="Times New Roman" w:hAnsi="Times New Roman"/>
                <w:sz w:val="21"/>
                <w:szCs w:val="21"/>
              </w:rPr>
              <w:t>（</w:t>
            </w:r>
            <w:r>
              <w:rPr>
                <w:rFonts w:hint="eastAsia" w:ascii="Times New Roman" w:hAnsi="Times New Roman"/>
                <w:sz w:val="21"/>
                <w:szCs w:val="21"/>
              </w:rPr>
              <w:t>3</w:t>
            </w:r>
            <w:r>
              <w:rPr>
                <w:rFonts w:ascii="Times New Roman" w:hAnsi="Times New Roman"/>
                <w:sz w:val="21"/>
                <w:szCs w:val="21"/>
              </w:rPr>
              <w:t>）生活垃圾委托当地环卫部门统一清运处理</w:t>
            </w:r>
            <w:r>
              <w:rPr>
                <w:rFonts w:hint="eastAsia" w:ascii="Times New Roman" w:hAnsi="Times New Roman"/>
                <w:sz w:val="21"/>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99" w:hRule="atLeast"/>
          <w:jc w:val="center"/>
        </w:trPr>
        <w:tc>
          <w:tcPr>
            <w:tcW w:w="1543" w:type="dxa"/>
            <w:vAlign w:val="center"/>
          </w:tcPr>
          <w:p>
            <w:pPr>
              <w:adjustRightInd w:val="0"/>
              <w:snapToGrid w:val="0"/>
              <w:jc w:val="center"/>
              <w:rPr>
                <w:rFonts w:ascii="Times New Roman" w:hAnsi="Times New Roman"/>
                <w:sz w:val="21"/>
                <w:szCs w:val="21"/>
              </w:rPr>
            </w:pPr>
            <w:r>
              <w:rPr>
                <w:rFonts w:ascii="Times New Roman" w:hAnsi="Times New Roman"/>
                <w:sz w:val="21"/>
                <w:szCs w:val="21"/>
              </w:rPr>
              <w:t>土壤及地下水</w:t>
            </w:r>
          </w:p>
          <w:p>
            <w:pPr>
              <w:adjustRightInd w:val="0"/>
              <w:snapToGrid w:val="0"/>
              <w:jc w:val="center"/>
              <w:rPr>
                <w:rFonts w:ascii="Times New Roman" w:hAnsi="Times New Roman"/>
                <w:sz w:val="21"/>
                <w:szCs w:val="21"/>
              </w:rPr>
            </w:pPr>
            <w:r>
              <w:rPr>
                <w:rFonts w:ascii="Times New Roman" w:hAnsi="Times New Roman"/>
                <w:sz w:val="21"/>
                <w:szCs w:val="21"/>
              </w:rPr>
              <w:t>污染防治措施</w:t>
            </w:r>
          </w:p>
        </w:tc>
        <w:tc>
          <w:tcPr>
            <w:tcW w:w="7267" w:type="dxa"/>
            <w:gridSpan w:val="4"/>
            <w:vAlign w:val="center"/>
          </w:tcPr>
          <w:p>
            <w:pPr>
              <w:spacing w:line="320" w:lineRule="exact"/>
              <w:jc w:val="left"/>
              <w:rPr>
                <w:rFonts w:ascii="Times New Roman" w:hAnsi="Times New Roman"/>
                <w:sz w:val="21"/>
                <w:szCs w:val="21"/>
              </w:rPr>
            </w:pPr>
            <w:r>
              <w:rPr>
                <w:rFonts w:hint="eastAsia" w:ascii="Times New Roman" w:hAnsi="Times New Roman"/>
                <w:sz w:val="21"/>
                <w:szCs w:val="21"/>
              </w:rPr>
              <w:t>（1）重点防渗区：危废暂存间的墙裙和地面采用“防腐防渗漆+环氧树脂地坪漆”进行防渗；</w:t>
            </w:r>
          </w:p>
          <w:p>
            <w:pPr>
              <w:spacing w:line="320" w:lineRule="exact"/>
              <w:jc w:val="left"/>
              <w:rPr>
                <w:rFonts w:ascii="Times New Roman" w:hAnsi="Times New Roman"/>
                <w:sz w:val="21"/>
                <w:szCs w:val="21"/>
              </w:rPr>
            </w:pPr>
            <w:r>
              <w:rPr>
                <w:rFonts w:hint="eastAsia" w:ascii="Times New Roman" w:hAnsi="Times New Roman"/>
                <w:sz w:val="21"/>
                <w:szCs w:val="21"/>
              </w:rPr>
              <w:t>（2）一般防渗区：隔油池，沉淀池，回用水池、初期雨水沉淀池等设施的池体和池底采用防渗混凝土建设；</w:t>
            </w:r>
          </w:p>
          <w:p>
            <w:pPr>
              <w:spacing w:line="320" w:lineRule="exact"/>
              <w:jc w:val="left"/>
              <w:rPr>
                <w:rFonts w:ascii="Times New Roman" w:hAnsi="Times New Roman"/>
                <w:sz w:val="18"/>
                <w:szCs w:val="18"/>
              </w:rPr>
            </w:pPr>
            <w:r>
              <w:rPr>
                <w:rFonts w:hint="eastAsia" w:ascii="Times New Roman" w:hAnsi="Times New Roman"/>
                <w:sz w:val="21"/>
                <w:szCs w:val="21"/>
              </w:rPr>
              <w:t>（3）简单防渗区：运输路面等采用一般地面硬化防渗。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543" w:type="dxa"/>
            <w:vAlign w:val="center"/>
          </w:tcPr>
          <w:p>
            <w:pPr>
              <w:adjustRightInd w:val="0"/>
              <w:snapToGrid w:val="0"/>
              <w:jc w:val="center"/>
              <w:rPr>
                <w:rFonts w:ascii="Times New Roman" w:hAnsi="Times New Roman"/>
                <w:sz w:val="21"/>
                <w:szCs w:val="21"/>
              </w:rPr>
            </w:pPr>
            <w:r>
              <w:rPr>
                <w:rFonts w:ascii="Times New Roman" w:hAnsi="Times New Roman"/>
                <w:sz w:val="21"/>
                <w:szCs w:val="21"/>
              </w:rPr>
              <w:t>生态保护措施</w:t>
            </w:r>
          </w:p>
        </w:tc>
        <w:tc>
          <w:tcPr>
            <w:tcW w:w="7267" w:type="dxa"/>
            <w:gridSpan w:val="4"/>
            <w:vAlign w:val="center"/>
          </w:tcPr>
          <w:p>
            <w:pPr>
              <w:spacing w:line="200" w:lineRule="exact"/>
              <w:jc w:val="center"/>
              <w:rPr>
                <w:rFonts w:ascii="Times New Roman" w:hAnsi="Times New Roman"/>
                <w:sz w:val="18"/>
                <w:szCs w:val="18"/>
              </w:rPr>
            </w:pPr>
            <w:r>
              <w:rPr>
                <w:rFonts w:ascii="Times New Roman" w:hAnsi="Times New Roman"/>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543" w:type="dxa"/>
            <w:vAlign w:val="center"/>
          </w:tcPr>
          <w:p>
            <w:pPr>
              <w:adjustRightInd w:val="0"/>
              <w:snapToGrid w:val="0"/>
              <w:jc w:val="center"/>
              <w:rPr>
                <w:rFonts w:ascii="Times New Roman" w:hAnsi="Times New Roman"/>
                <w:spacing w:val="-8"/>
                <w:sz w:val="21"/>
                <w:szCs w:val="21"/>
              </w:rPr>
            </w:pPr>
            <w:r>
              <w:rPr>
                <w:rFonts w:ascii="Times New Roman" w:hAnsi="Times New Roman"/>
                <w:spacing w:val="-8"/>
                <w:sz w:val="21"/>
                <w:szCs w:val="21"/>
              </w:rPr>
              <w:t>环境风险</w:t>
            </w:r>
          </w:p>
          <w:p>
            <w:pPr>
              <w:adjustRightInd w:val="0"/>
              <w:snapToGrid w:val="0"/>
              <w:jc w:val="center"/>
              <w:rPr>
                <w:rFonts w:ascii="Times New Roman" w:hAnsi="Times New Roman"/>
                <w:spacing w:val="-8"/>
                <w:sz w:val="21"/>
                <w:szCs w:val="21"/>
              </w:rPr>
            </w:pPr>
            <w:r>
              <w:rPr>
                <w:rFonts w:ascii="Times New Roman" w:hAnsi="Times New Roman"/>
                <w:spacing w:val="-8"/>
                <w:sz w:val="21"/>
                <w:szCs w:val="21"/>
              </w:rPr>
              <w:t>防范措施</w:t>
            </w:r>
          </w:p>
        </w:tc>
        <w:tc>
          <w:tcPr>
            <w:tcW w:w="7267" w:type="dxa"/>
            <w:gridSpan w:val="4"/>
            <w:vAlign w:val="center"/>
          </w:tcPr>
          <w:p>
            <w:pPr>
              <w:numPr>
                <w:ilvl w:val="0"/>
                <w:numId w:val="22"/>
              </w:numPr>
              <w:adjustRightInd w:val="0"/>
              <w:snapToGrid w:val="0"/>
              <w:jc w:val="left"/>
              <w:rPr>
                <w:rFonts w:ascii="Times New Roman" w:hAnsi="Times New Roman"/>
                <w:sz w:val="21"/>
                <w:szCs w:val="21"/>
              </w:rPr>
            </w:pPr>
            <w:r>
              <w:rPr>
                <w:rFonts w:hint="eastAsia" w:ascii="Times New Roman" w:hAnsi="Times New Roman"/>
                <w:sz w:val="21"/>
                <w:szCs w:val="21"/>
              </w:rPr>
              <w:t>设置一个占地面积为15m</w:t>
            </w:r>
            <w:r>
              <w:rPr>
                <w:rFonts w:hint="eastAsia" w:ascii="Times New Roman" w:hAnsi="Times New Roman"/>
                <w:sz w:val="21"/>
                <w:szCs w:val="21"/>
                <w:vertAlign w:val="superscript"/>
              </w:rPr>
              <w:t>2</w:t>
            </w:r>
            <w:r>
              <w:rPr>
                <w:rFonts w:hint="eastAsia" w:ascii="Times New Roman" w:hAnsi="Times New Roman"/>
                <w:sz w:val="21"/>
                <w:szCs w:val="21"/>
              </w:rPr>
              <w:t>的危废暂存间，采取“混凝土防渗+环氧树脂地坪漆”进行防渗，门口设置围坎；</w:t>
            </w:r>
          </w:p>
          <w:p>
            <w:pPr>
              <w:numPr>
                <w:ilvl w:val="0"/>
                <w:numId w:val="22"/>
              </w:numPr>
              <w:adjustRightInd w:val="0"/>
              <w:snapToGrid w:val="0"/>
              <w:jc w:val="left"/>
              <w:rPr>
                <w:rFonts w:ascii="Times New Roman" w:hAnsi="Times New Roman"/>
                <w:sz w:val="21"/>
                <w:szCs w:val="21"/>
              </w:rPr>
            </w:pPr>
            <w:r>
              <w:rPr>
                <w:rFonts w:hint="eastAsia" w:ascii="Times New Roman" w:hAnsi="Times New Roman"/>
                <w:sz w:val="21"/>
                <w:szCs w:val="21"/>
              </w:rPr>
              <w:t>厂区东侧地势最低处设置容积约为9m</w:t>
            </w:r>
            <w:r>
              <w:rPr>
                <w:rFonts w:hint="eastAsia" w:ascii="Times New Roman" w:hAnsi="Times New Roman"/>
                <w:sz w:val="21"/>
                <w:szCs w:val="21"/>
                <w:vertAlign w:val="superscript"/>
              </w:rPr>
              <w:t>3</w:t>
            </w:r>
            <w:r>
              <w:rPr>
                <w:rFonts w:hint="eastAsia" w:ascii="Times New Roman" w:hAnsi="Times New Roman"/>
                <w:sz w:val="21"/>
                <w:szCs w:val="21"/>
              </w:rPr>
              <w:t>的初期雨水沉淀池，并设置泵及回用水管。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1543" w:type="dxa"/>
            <w:vAlign w:val="center"/>
          </w:tcPr>
          <w:p>
            <w:pPr>
              <w:adjustRightInd w:val="0"/>
              <w:snapToGrid w:val="0"/>
              <w:jc w:val="center"/>
              <w:rPr>
                <w:rFonts w:ascii="Times New Roman" w:hAnsi="Times New Roman"/>
                <w:spacing w:val="-8"/>
                <w:sz w:val="21"/>
                <w:szCs w:val="21"/>
              </w:rPr>
            </w:pPr>
            <w:r>
              <w:rPr>
                <w:rFonts w:ascii="Times New Roman" w:hAnsi="Times New Roman"/>
                <w:spacing w:val="-8"/>
                <w:sz w:val="21"/>
                <w:szCs w:val="21"/>
              </w:rPr>
              <w:t>其他环境</w:t>
            </w:r>
          </w:p>
          <w:p>
            <w:pPr>
              <w:adjustRightInd w:val="0"/>
              <w:snapToGrid w:val="0"/>
              <w:jc w:val="center"/>
              <w:rPr>
                <w:rFonts w:ascii="Times New Roman" w:hAnsi="Times New Roman"/>
                <w:spacing w:val="-8"/>
                <w:sz w:val="21"/>
                <w:szCs w:val="21"/>
              </w:rPr>
            </w:pPr>
            <w:r>
              <w:rPr>
                <w:rFonts w:ascii="Times New Roman" w:hAnsi="Times New Roman"/>
                <w:spacing w:val="-8"/>
                <w:sz w:val="21"/>
                <w:szCs w:val="21"/>
              </w:rPr>
              <w:t>管理要求</w:t>
            </w:r>
          </w:p>
        </w:tc>
        <w:tc>
          <w:tcPr>
            <w:tcW w:w="7267" w:type="dxa"/>
            <w:gridSpan w:val="4"/>
            <w:vAlign w:val="center"/>
          </w:tcPr>
          <w:p>
            <w:pPr>
              <w:spacing w:line="320" w:lineRule="exact"/>
              <w:rPr>
                <w:rFonts w:ascii="Times New Roman" w:hAnsi="Times New Roman"/>
                <w:sz w:val="21"/>
                <w:szCs w:val="21"/>
              </w:rPr>
            </w:pPr>
            <w:r>
              <w:rPr>
                <w:rFonts w:ascii="Times New Roman" w:hAnsi="Times New Roman"/>
                <w:sz w:val="21"/>
                <w:szCs w:val="21"/>
              </w:rPr>
              <w:t>1、依照《排污许可管理条例》和《固定污染源排污许可分类管理名录（2019年版）》的相关要求，本项目执行</w:t>
            </w:r>
            <w:r>
              <w:rPr>
                <w:rFonts w:hint="eastAsia" w:ascii="Times New Roman" w:hAnsi="Times New Roman"/>
                <w:sz w:val="21"/>
                <w:szCs w:val="21"/>
              </w:rPr>
              <w:t>简化</w:t>
            </w:r>
            <w:r>
              <w:rPr>
                <w:rFonts w:ascii="Times New Roman" w:hAnsi="Times New Roman"/>
                <w:sz w:val="21"/>
                <w:szCs w:val="21"/>
              </w:rPr>
              <w:t>管理，应当在全国排污许可证管理信息平台申请</w:t>
            </w:r>
            <w:r>
              <w:rPr>
                <w:rFonts w:hint="eastAsia" w:ascii="Times New Roman" w:hAnsi="Times New Roman"/>
                <w:sz w:val="21"/>
                <w:szCs w:val="21"/>
              </w:rPr>
              <w:t>排污许可简化管理</w:t>
            </w:r>
            <w:r>
              <w:rPr>
                <w:rFonts w:ascii="Times New Roman" w:hAnsi="Times New Roman"/>
                <w:sz w:val="21"/>
                <w:szCs w:val="21"/>
              </w:rPr>
              <w:t>。</w:t>
            </w:r>
          </w:p>
          <w:p>
            <w:pPr>
              <w:spacing w:line="320" w:lineRule="exact"/>
              <w:rPr>
                <w:rFonts w:ascii="Times New Roman" w:hAnsi="Times New Roman"/>
                <w:sz w:val="21"/>
                <w:szCs w:val="21"/>
              </w:rPr>
            </w:pPr>
            <w:r>
              <w:rPr>
                <w:rFonts w:ascii="Times New Roman" w:hAnsi="Times New Roman"/>
                <w:sz w:val="21"/>
                <w:szCs w:val="21"/>
              </w:rPr>
              <w:t>2、依照《建设项目环境保护管理条例》《建设项目竣工环境保护验收暂行办法》的相关要求完成竣工环保验收。</w:t>
            </w:r>
          </w:p>
          <w:p>
            <w:pPr>
              <w:pStyle w:val="2"/>
            </w:pPr>
          </w:p>
          <w:p>
            <w:pPr>
              <w:pStyle w:val="2"/>
            </w:pPr>
          </w:p>
          <w:p>
            <w:pPr>
              <w:pStyle w:val="34"/>
              <w:spacing w:before="0" w:beforeLines="0" w:line="320" w:lineRule="exact"/>
            </w:pPr>
            <w:bookmarkStart w:id="19" w:name="_Ref98249138"/>
            <w:r>
              <w:rPr>
                <w:rFonts w:ascii="Times New Roman" w:hAnsi="Times New Roman"/>
                <w:szCs w:val="24"/>
              </w:rPr>
              <w:t>表5.1-1  项目环境保护竣工验收一览表</w:t>
            </w:r>
            <w:bookmarkEnd w:id="19"/>
          </w:p>
          <w:tbl>
            <w:tblPr>
              <w:tblStyle w:val="25"/>
              <w:tblW w:w="7051"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57" w:type="dxa"/>
                <w:bottom w:w="0" w:type="dxa"/>
                <w:right w:w="57" w:type="dxa"/>
              </w:tblCellMar>
            </w:tblPr>
            <w:tblGrid>
              <w:gridCol w:w="643"/>
              <w:gridCol w:w="3353"/>
              <w:gridCol w:w="3055"/>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643" w:type="dxa"/>
                  <w:vMerge w:val="restart"/>
                  <w:vAlign w:val="center"/>
                </w:tcPr>
                <w:p>
                  <w:pPr>
                    <w:spacing w:line="320" w:lineRule="exact"/>
                    <w:jc w:val="center"/>
                    <w:rPr>
                      <w:rFonts w:eastAsiaTheme="minorEastAsia"/>
                      <w:sz w:val="21"/>
                      <w:szCs w:val="21"/>
                    </w:rPr>
                  </w:pPr>
                  <w:r>
                    <w:rPr>
                      <w:rFonts w:eastAsiaTheme="minorEastAsia"/>
                      <w:sz w:val="21"/>
                      <w:szCs w:val="21"/>
                    </w:rPr>
                    <w:t>项目</w:t>
                  </w:r>
                </w:p>
              </w:tc>
              <w:tc>
                <w:tcPr>
                  <w:tcW w:w="6408" w:type="dxa"/>
                  <w:gridSpan w:val="2"/>
                  <w:tcMar>
                    <w:top w:w="0" w:type="dxa"/>
                    <w:left w:w="85" w:type="dxa"/>
                    <w:bottom w:w="0" w:type="dxa"/>
                    <w:right w:w="85" w:type="dxa"/>
                  </w:tcMar>
                  <w:vAlign w:val="center"/>
                </w:tcPr>
                <w:p>
                  <w:pPr>
                    <w:spacing w:line="320" w:lineRule="exact"/>
                    <w:jc w:val="center"/>
                    <w:rPr>
                      <w:rFonts w:eastAsiaTheme="minorEastAsia"/>
                      <w:sz w:val="21"/>
                      <w:szCs w:val="21"/>
                    </w:rPr>
                  </w:pPr>
                  <w:r>
                    <w:rPr>
                      <w:rFonts w:eastAsiaTheme="minorEastAsia"/>
                      <w:sz w:val="21"/>
                      <w:szCs w:val="21"/>
                    </w:rPr>
                    <w:t>验收内容及要求</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643" w:type="dxa"/>
                  <w:vMerge w:val="continue"/>
                  <w:vAlign w:val="center"/>
                </w:tcPr>
                <w:p>
                  <w:pPr>
                    <w:spacing w:line="320" w:lineRule="exact"/>
                    <w:jc w:val="center"/>
                    <w:rPr>
                      <w:rFonts w:eastAsiaTheme="minorEastAsia"/>
                      <w:sz w:val="21"/>
                      <w:szCs w:val="21"/>
                    </w:rPr>
                  </w:pPr>
                </w:p>
              </w:tc>
              <w:tc>
                <w:tcPr>
                  <w:tcW w:w="3353" w:type="dxa"/>
                  <w:tcMar>
                    <w:top w:w="0" w:type="dxa"/>
                    <w:left w:w="85" w:type="dxa"/>
                    <w:bottom w:w="0" w:type="dxa"/>
                    <w:right w:w="85" w:type="dxa"/>
                  </w:tcMar>
                  <w:vAlign w:val="center"/>
                </w:tcPr>
                <w:p>
                  <w:pPr>
                    <w:spacing w:line="320" w:lineRule="exact"/>
                    <w:jc w:val="center"/>
                    <w:rPr>
                      <w:rFonts w:eastAsiaTheme="minorEastAsia"/>
                      <w:sz w:val="21"/>
                      <w:szCs w:val="21"/>
                    </w:rPr>
                  </w:pPr>
                  <w:r>
                    <w:rPr>
                      <w:rFonts w:eastAsiaTheme="minorEastAsia"/>
                      <w:sz w:val="21"/>
                      <w:szCs w:val="21"/>
                    </w:rPr>
                    <w:t>环保措施落实情况</w:t>
                  </w:r>
                </w:p>
              </w:tc>
              <w:tc>
                <w:tcPr>
                  <w:tcW w:w="3055" w:type="dxa"/>
                  <w:vAlign w:val="center"/>
                </w:tcPr>
                <w:p>
                  <w:pPr>
                    <w:spacing w:line="320" w:lineRule="exact"/>
                    <w:jc w:val="center"/>
                    <w:rPr>
                      <w:rFonts w:eastAsiaTheme="minorEastAsia"/>
                      <w:sz w:val="21"/>
                      <w:szCs w:val="21"/>
                    </w:rPr>
                  </w:pPr>
                  <w:r>
                    <w:rPr>
                      <w:rFonts w:eastAsiaTheme="minorEastAsia"/>
                      <w:sz w:val="21"/>
                      <w:szCs w:val="21"/>
                    </w:rPr>
                    <w:t>验收监测内容</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1540" w:hRule="atLeast"/>
                <w:jc w:val="center"/>
              </w:trPr>
              <w:tc>
                <w:tcPr>
                  <w:tcW w:w="643" w:type="dxa"/>
                  <w:tcMar>
                    <w:top w:w="0" w:type="dxa"/>
                    <w:left w:w="85" w:type="dxa"/>
                    <w:bottom w:w="0" w:type="dxa"/>
                    <w:right w:w="85" w:type="dxa"/>
                  </w:tcMar>
                  <w:vAlign w:val="center"/>
                </w:tcPr>
                <w:p>
                  <w:pPr>
                    <w:jc w:val="center"/>
                    <w:rPr>
                      <w:rFonts w:eastAsiaTheme="minorEastAsia"/>
                      <w:sz w:val="21"/>
                      <w:szCs w:val="21"/>
                    </w:rPr>
                  </w:pPr>
                  <w:r>
                    <w:rPr>
                      <w:rFonts w:eastAsiaTheme="minorEastAsia"/>
                      <w:sz w:val="21"/>
                      <w:szCs w:val="21"/>
                    </w:rPr>
                    <w:t>废气治理措施</w:t>
                  </w:r>
                </w:p>
              </w:tc>
              <w:tc>
                <w:tcPr>
                  <w:tcW w:w="3353" w:type="dxa"/>
                  <w:tcMar>
                    <w:top w:w="0" w:type="dxa"/>
                    <w:left w:w="85" w:type="dxa"/>
                    <w:bottom w:w="0" w:type="dxa"/>
                    <w:right w:w="85" w:type="dxa"/>
                  </w:tcMar>
                  <w:vAlign w:val="center"/>
                </w:tcPr>
                <w:p>
                  <w:pPr>
                    <w:tabs>
                      <w:tab w:val="left" w:pos="213"/>
                      <w:tab w:val="left" w:pos="9180"/>
                    </w:tabs>
                    <w:autoSpaceDE w:val="0"/>
                    <w:autoSpaceDN w:val="0"/>
                    <w:rPr>
                      <w:rFonts w:eastAsiaTheme="minorEastAsia"/>
                      <w:sz w:val="21"/>
                      <w:szCs w:val="21"/>
                    </w:rPr>
                  </w:pPr>
                  <w:bookmarkStart w:id="20" w:name="_Hlk98262956"/>
                  <w:r>
                    <w:rPr>
                      <w:rFonts w:hint="eastAsia" w:eastAsiaTheme="minorEastAsia"/>
                      <w:sz w:val="21"/>
                      <w:szCs w:val="21"/>
                    </w:rPr>
                    <w:t>检查是否采取以下无组织粉尘控制措施：</w:t>
                  </w:r>
                </w:p>
                <w:p>
                  <w:pPr>
                    <w:tabs>
                      <w:tab w:val="left" w:pos="213"/>
                      <w:tab w:val="left" w:pos="9180"/>
                    </w:tabs>
                    <w:autoSpaceDE w:val="0"/>
                    <w:autoSpaceDN w:val="0"/>
                    <w:rPr>
                      <w:rFonts w:eastAsiaTheme="minorEastAsia"/>
                      <w:sz w:val="21"/>
                      <w:szCs w:val="21"/>
                    </w:rPr>
                  </w:pPr>
                  <w:r>
                    <w:rPr>
                      <w:rFonts w:hint="eastAsia" w:eastAsiaTheme="minorEastAsia"/>
                      <w:sz w:val="21"/>
                      <w:szCs w:val="21"/>
                    </w:rPr>
                    <w:t>①检查堆场是否设置顶棚，是否采取半围挡措施；</w:t>
                  </w:r>
                </w:p>
                <w:p>
                  <w:pPr>
                    <w:tabs>
                      <w:tab w:val="left" w:pos="213"/>
                      <w:tab w:val="left" w:pos="9180"/>
                    </w:tabs>
                    <w:autoSpaceDE w:val="0"/>
                    <w:autoSpaceDN w:val="0"/>
                    <w:rPr>
                      <w:rFonts w:eastAsiaTheme="minorEastAsia"/>
                      <w:sz w:val="21"/>
                      <w:szCs w:val="21"/>
                    </w:rPr>
                  </w:pPr>
                  <w:r>
                    <w:rPr>
                      <w:rFonts w:hint="eastAsia" w:eastAsiaTheme="minorEastAsia"/>
                      <w:sz w:val="21"/>
                      <w:szCs w:val="21"/>
                    </w:rPr>
                    <w:t>②检查原料堆场是否</w:t>
                  </w:r>
                  <w:bookmarkEnd w:id="20"/>
                  <w:r>
                    <w:rPr>
                      <w:rFonts w:hint="eastAsia" w:eastAsiaTheme="minorEastAsia"/>
                      <w:sz w:val="21"/>
                      <w:szCs w:val="21"/>
                    </w:rPr>
                    <w:t>喷雾降尘；</w:t>
                  </w:r>
                </w:p>
                <w:p>
                  <w:pPr>
                    <w:tabs>
                      <w:tab w:val="left" w:pos="213"/>
                      <w:tab w:val="left" w:pos="9180"/>
                    </w:tabs>
                    <w:autoSpaceDE w:val="0"/>
                    <w:autoSpaceDN w:val="0"/>
                    <w:rPr>
                      <w:rFonts w:eastAsiaTheme="minorEastAsia"/>
                      <w:sz w:val="21"/>
                      <w:szCs w:val="21"/>
                    </w:rPr>
                  </w:pPr>
                  <w:r>
                    <w:rPr>
                      <w:rFonts w:hint="eastAsia" w:eastAsiaTheme="minorEastAsia"/>
                      <w:sz w:val="21"/>
                      <w:szCs w:val="21"/>
                    </w:rPr>
                    <w:t>③检查破碎、筛分等过程是否围挡、是否采取水喷淋抑尘等；</w:t>
                  </w:r>
                </w:p>
                <w:p>
                  <w:pPr>
                    <w:tabs>
                      <w:tab w:val="left" w:pos="213"/>
                      <w:tab w:val="left" w:pos="9180"/>
                    </w:tabs>
                    <w:autoSpaceDE w:val="0"/>
                    <w:autoSpaceDN w:val="0"/>
                  </w:pPr>
                  <w:r>
                    <w:rPr>
                      <w:rFonts w:hint="eastAsia" w:eastAsiaTheme="minorEastAsia"/>
                      <w:sz w:val="21"/>
                      <w:szCs w:val="21"/>
                    </w:rPr>
                    <w:t>④原料卸料洒水抑尘，产品尾渣、装卸过程降低高差。</w:t>
                  </w:r>
                </w:p>
              </w:tc>
              <w:tc>
                <w:tcPr>
                  <w:tcW w:w="3055" w:type="dxa"/>
                  <w:vAlign w:val="center"/>
                </w:tcPr>
                <w:p>
                  <w:pPr>
                    <w:tabs>
                      <w:tab w:val="left" w:pos="213"/>
                      <w:tab w:val="left" w:pos="9180"/>
                    </w:tabs>
                    <w:autoSpaceDE w:val="0"/>
                    <w:autoSpaceDN w:val="0"/>
                    <w:rPr>
                      <w:rFonts w:eastAsiaTheme="minorEastAsia"/>
                      <w:sz w:val="21"/>
                      <w:szCs w:val="21"/>
                    </w:rPr>
                  </w:pPr>
                  <w:r>
                    <w:rPr>
                      <w:rFonts w:eastAsiaTheme="minorEastAsia"/>
                      <w:sz w:val="21"/>
                      <w:szCs w:val="21"/>
                    </w:rPr>
                    <w:t>厂界无组织排放废气：</w:t>
                  </w:r>
                </w:p>
                <w:p>
                  <w:pPr>
                    <w:tabs>
                      <w:tab w:val="left" w:pos="213"/>
                      <w:tab w:val="left" w:pos="9180"/>
                    </w:tabs>
                    <w:autoSpaceDE w:val="0"/>
                    <w:autoSpaceDN w:val="0"/>
                    <w:rPr>
                      <w:rFonts w:eastAsiaTheme="minorEastAsia"/>
                      <w:sz w:val="21"/>
                      <w:szCs w:val="21"/>
                    </w:rPr>
                  </w:pPr>
                  <w:r>
                    <w:rPr>
                      <w:rFonts w:hint="eastAsia" w:eastAsiaTheme="minorEastAsia"/>
                      <w:sz w:val="21"/>
                      <w:szCs w:val="21"/>
                    </w:rPr>
                    <w:t>①</w:t>
                  </w:r>
                  <w:r>
                    <w:rPr>
                      <w:rFonts w:eastAsiaTheme="minorEastAsia"/>
                      <w:sz w:val="21"/>
                      <w:szCs w:val="21"/>
                    </w:rPr>
                    <w:t>监测项目：颗粒物；</w:t>
                  </w:r>
                </w:p>
                <w:p>
                  <w:pPr>
                    <w:tabs>
                      <w:tab w:val="left" w:pos="213"/>
                      <w:tab w:val="left" w:pos="9180"/>
                    </w:tabs>
                    <w:autoSpaceDE w:val="0"/>
                    <w:autoSpaceDN w:val="0"/>
                    <w:rPr>
                      <w:rFonts w:eastAsiaTheme="minorEastAsia"/>
                      <w:sz w:val="21"/>
                      <w:szCs w:val="21"/>
                    </w:rPr>
                  </w:pPr>
                  <w:r>
                    <w:rPr>
                      <w:rFonts w:hint="eastAsia" w:eastAsiaTheme="minorEastAsia"/>
                      <w:sz w:val="21"/>
                      <w:szCs w:val="21"/>
                    </w:rPr>
                    <w:t>②</w:t>
                  </w:r>
                  <w:r>
                    <w:rPr>
                      <w:rFonts w:eastAsiaTheme="minorEastAsia"/>
                      <w:sz w:val="21"/>
                      <w:szCs w:val="21"/>
                    </w:rPr>
                    <w:t>执行标准：《大气污染物综合排放标准》（GB16297-1996）表2标准</w:t>
                  </w:r>
                </w:p>
                <w:p>
                  <w:pPr>
                    <w:tabs>
                      <w:tab w:val="left" w:pos="213"/>
                      <w:tab w:val="left" w:pos="9180"/>
                    </w:tabs>
                    <w:autoSpaceDE w:val="0"/>
                    <w:autoSpaceDN w:val="0"/>
                    <w:rPr>
                      <w:rFonts w:eastAsiaTheme="minorEastAsia"/>
                      <w:sz w:val="21"/>
                      <w:szCs w:val="21"/>
                    </w:rPr>
                  </w:pPr>
                  <w:r>
                    <w:rPr>
                      <w:rFonts w:hint="eastAsia" w:eastAsiaTheme="minorEastAsia"/>
                      <w:sz w:val="21"/>
                      <w:szCs w:val="21"/>
                    </w:rPr>
                    <w:t>③</w:t>
                  </w:r>
                  <w:r>
                    <w:rPr>
                      <w:rFonts w:eastAsiaTheme="minorEastAsia"/>
                      <w:sz w:val="21"/>
                      <w:szCs w:val="21"/>
                    </w:rPr>
                    <w:t>监测位置：</w:t>
                  </w:r>
                  <w:r>
                    <w:rPr>
                      <w:rFonts w:hint="eastAsia" w:eastAsiaTheme="minorEastAsia"/>
                      <w:sz w:val="21"/>
                      <w:szCs w:val="21"/>
                    </w:rPr>
                    <w:t>厂区</w:t>
                  </w:r>
                  <w:r>
                    <w:rPr>
                      <w:rFonts w:eastAsiaTheme="minorEastAsia"/>
                      <w:sz w:val="21"/>
                      <w:szCs w:val="21"/>
                    </w:rPr>
                    <w:t>边界。</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1409" w:hRule="atLeast"/>
                <w:jc w:val="center"/>
              </w:trPr>
              <w:tc>
                <w:tcPr>
                  <w:tcW w:w="643" w:type="dxa"/>
                  <w:tcMar>
                    <w:top w:w="0" w:type="dxa"/>
                    <w:left w:w="85" w:type="dxa"/>
                    <w:bottom w:w="0" w:type="dxa"/>
                    <w:right w:w="85" w:type="dxa"/>
                  </w:tcMar>
                  <w:vAlign w:val="center"/>
                </w:tcPr>
                <w:p>
                  <w:pPr>
                    <w:jc w:val="center"/>
                    <w:rPr>
                      <w:rFonts w:eastAsiaTheme="minorEastAsia"/>
                      <w:sz w:val="21"/>
                      <w:szCs w:val="21"/>
                    </w:rPr>
                  </w:pPr>
                  <w:r>
                    <w:rPr>
                      <w:rFonts w:eastAsiaTheme="minorEastAsia"/>
                      <w:sz w:val="21"/>
                      <w:szCs w:val="21"/>
                    </w:rPr>
                    <w:t>废水处理设施</w:t>
                  </w:r>
                </w:p>
              </w:tc>
              <w:tc>
                <w:tcPr>
                  <w:tcW w:w="3353" w:type="dxa"/>
                  <w:tcMar>
                    <w:top w:w="0" w:type="dxa"/>
                    <w:left w:w="85" w:type="dxa"/>
                    <w:bottom w:w="0" w:type="dxa"/>
                    <w:right w:w="85" w:type="dxa"/>
                  </w:tcMar>
                  <w:vAlign w:val="center"/>
                </w:tcPr>
                <w:p>
                  <w:pPr>
                    <w:tabs>
                      <w:tab w:val="left" w:pos="247"/>
                      <w:tab w:val="left" w:pos="9180"/>
                    </w:tabs>
                    <w:autoSpaceDE w:val="0"/>
                    <w:autoSpaceDN w:val="0"/>
                    <w:rPr>
                      <w:rFonts w:eastAsiaTheme="minorEastAsia"/>
                      <w:sz w:val="21"/>
                      <w:szCs w:val="21"/>
                    </w:rPr>
                  </w:pPr>
                  <w:r>
                    <w:rPr>
                      <w:rFonts w:hint="eastAsia" w:eastAsiaTheme="minorEastAsia"/>
                      <w:sz w:val="21"/>
                      <w:szCs w:val="21"/>
                    </w:rPr>
                    <w:t>①</w:t>
                  </w:r>
                  <w:r>
                    <w:rPr>
                      <w:rFonts w:eastAsiaTheme="minorEastAsia"/>
                      <w:sz w:val="21"/>
                      <w:szCs w:val="21"/>
                    </w:rPr>
                    <w:t>核查项目生产废水（</w:t>
                  </w:r>
                  <w:r>
                    <w:rPr>
                      <w:rFonts w:hint="eastAsia" w:eastAsiaTheme="minorEastAsia"/>
                      <w:sz w:val="21"/>
                      <w:szCs w:val="21"/>
                    </w:rPr>
                    <w:t>包括初期雨水</w:t>
                  </w:r>
                  <w:r>
                    <w:rPr>
                      <w:rFonts w:eastAsiaTheme="minorEastAsia"/>
                      <w:sz w:val="21"/>
                      <w:szCs w:val="21"/>
                    </w:rPr>
                    <w:t>）是否</w:t>
                  </w:r>
                  <w:r>
                    <w:rPr>
                      <w:rFonts w:hint="eastAsia" w:eastAsiaTheme="minorEastAsia"/>
                      <w:sz w:val="21"/>
                      <w:szCs w:val="21"/>
                    </w:rPr>
                    <w:t>收集</w:t>
                  </w:r>
                  <w:r>
                    <w:rPr>
                      <w:rFonts w:eastAsiaTheme="minorEastAsia"/>
                      <w:sz w:val="21"/>
                      <w:szCs w:val="21"/>
                    </w:rPr>
                    <w:t>处理后全部回用</w:t>
                  </w:r>
                  <w:r>
                    <w:rPr>
                      <w:rFonts w:hint="eastAsia" w:eastAsiaTheme="minorEastAsia"/>
                      <w:sz w:val="21"/>
                      <w:szCs w:val="21"/>
                    </w:rPr>
                    <w:t>；</w:t>
                  </w:r>
                </w:p>
                <w:p>
                  <w:pPr>
                    <w:tabs>
                      <w:tab w:val="left" w:pos="247"/>
                      <w:tab w:val="left" w:pos="9180"/>
                    </w:tabs>
                    <w:autoSpaceDE w:val="0"/>
                    <w:autoSpaceDN w:val="0"/>
                    <w:rPr>
                      <w:rFonts w:eastAsiaTheme="minorEastAsia"/>
                      <w:sz w:val="21"/>
                      <w:szCs w:val="21"/>
                    </w:rPr>
                  </w:pPr>
                  <w:r>
                    <w:rPr>
                      <w:rFonts w:hint="eastAsia" w:eastAsiaTheme="minorEastAsia"/>
                      <w:sz w:val="21"/>
                      <w:szCs w:val="21"/>
                    </w:rPr>
                    <w:t>②</w:t>
                  </w:r>
                  <w:r>
                    <w:rPr>
                      <w:rFonts w:eastAsiaTheme="minorEastAsia"/>
                      <w:sz w:val="21"/>
                      <w:szCs w:val="21"/>
                    </w:rPr>
                    <w:t>核查配套回用管网及设施的建设情况。</w:t>
                  </w:r>
                </w:p>
              </w:tc>
              <w:tc>
                <w:tcPr>
                  <w:tcW w:w="3055" w:type="dxa"/>
                  <w:vAlign w:val="center"/>
                </w:tcPr>
                <w:p>
                  <w:pPr>
                    <w:pStyle w:val="5"/>
                    <w:spacing w:line="240" w:lineRule="auto"/>
                    <w:ind w:firstLine="0" w:firstLineChars="0"/>
                    <w:jc w:val="left"/>
                    <w:rPr>
                      <w:sz w:val="21"/>
                      <w:szCs w:val="21"/>
                      <w:lang w:val="en-US"/>
                    </w:rPr>
                  </w:pPr>
                  <w:r>
                    <w:rPr>
                      <w:rFonts w:hint="eastAsia"/>
                      <w:sz w:val="21"/>
                      <w:szCs w:val="21"/>
                      <w:lang w:val="en-US"/>
                    </w:rPr>
                    <w:t>1座25m</w:t>
                  </w:r>
                  <w:r>
                    <w:rPr>
                      <w:rFonts w:hint="eastAsia"/>
                      <w:sz w:val="21"/>
                      <w:szCs w:val="21"/>
                      <w:vertAlign w:val="superscript"/>
                      <w:lang w:val="en-US"/>
                    </w:rPr>
                    <w:t>3</w:t>
                  </w:r>
                  <w:r>
                    <w:rPr>
                      <w:rFonts w:hint="eastAsia"/>
                      <w:sz w:val="21"/>
                      <w:szCs w:val="21"/>
                      <w:lang w:val="en-US"/>
                    </w:rPr>
                    <w:t>隔油池、2座50m</w:t>
                  </w:r>
                  <w:r>
                    <w:rPr>
                      <w:rFonts w:hint="eastAsia"/>
                      <w:sz w:val="21"/>
                      <w:szCs w:val="21"/>
                      <w:vertAlign w:val="superscript"/>
                      <w:lang w:val="en-US"/>
                    </w:rPr>
                    <w:t>3</w:t>
                  </w:r>
                  <w:r>
                    <w:rPr>
                      <w:rFonts w:hint="eastAsia"/>
                      <w:sz w:val="21"/>
                      <w:szCs w:val="21"/>
                      <w:lang w:val="en-US"/>
                    </w:rPr>
                    <w:t>沉淀池；</w:t>
                  </w:r>
                </w:p>
                <w:p>
                  <w:pPr>
                    <w:pStyle w:val="5"/>
                    <w:spacing w:line="240" w:lineRule="auto"/>
                    <w:ind w:firstLine="0" w:firstLineChars="0"/>
                    <w:jc w:val="left"/>
                    <w:rPr>
                      <w:sz w:val="21"/>
                      <w:szCs w:val="21"/>
                      <w:lang w:val="en-US"/>
                    </w:rPr>
                  </w:pPr>
                  <w:r>
                    <w:rPr>
                      <w:rFonts w:hint="eastAsia"/>
                      <w:sz w:val="21"/>
                      <w:szCs w:val="21"/>
                      <w:lang w:val="en-US"/>
                    </w:rPr>
                    <w:t>初期雨水沉淀池容积为9m</w:t>
                  </w:r>
                  <w:r>
                    <w:rPr>
                      <w:rFonts w:hint="eastAsia"/>
                      <w:sz w:val="21"/>
                      <w:szCs w:val="21"/>
                      <w:vertAlign w:val="superscript"/>
                      <w:lang w:val="en-US"/>
                    </w:rPr>
                    <w:t>3</w:t>
                  </w:r>
                  <w:r>
                    <w:rPr>
                      <w:rFonts w:hint="eastAsia"/>
                      <w:sz w:val="21"/>
                      <w:szCs w:val="21"/>
                      <w:lang w:val="en-US"/>
                    </w:rPr>
                    <w:t>，设置雨水切换阀，生产废水零排放</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643" w:type="dxa"/>
                  <w:tcMar>
                    <w:top w:w="0" w:type="dxa"/>
                    <w:left w:w="85" w:type="dxa"/>
                    <w:bottom w:w="0" w:type="dxa"/>
                    <w:right w:w="85" w:type="dxa"/>
                  </w:tcMar>
                  <w:vAlign w:val="center"/>
                </w:tcPr>
                <w:p>
                  <w:pPr>
                    <w:jc w:val="center"/>
                    <w:rPr>
                      <w:rFonts w:eastAsiaTheme="minorEastAsia"/>
                      <w:sz w:val="21"/>
                      <w:szCs w:val="21"/>
                    </w:rPr>
                  </w:pPr>
                  <w:r>
                    <w:rPr>
                      <w:rFonts w:eastAsiaTheme="minorEastAsia"/>
                      <w:sz w:val="21"/>
                      <w:szCs w:val="21"/>
                    </w:rPr>
                    <w:t>噪声</w:t>
                  </w:r>
                </w:p>
              </w:tc>
              <w:tc>
                <w:tcPr>
                  <w:tcW w:w="3353" w:type="dxa"/>
                  <w:tcMar>
                    <w:top w:w="0" w:type="dxa"/>
                    <w:left w:w="85" w:type="dxa"/>
                    <w:bottom w:w="0" w:type="dxa"/>
                    <w:right w:w="85" w:type="dxa"/>
                  </w:tcMar>
                  <w:vAlign w:val="center"/>
                </w:tcPr>
                <w:p>
                  <w:pPr>
                    <w:pStyle w:val="66"/>
                    <w:tabs>
                      <w:tab w:val="left" w:pos="251"/>
                    </w:tabs>
                    <w:autoSpaceDE w:val="0"/>
                    <w:autoSpaceDN w:val="0"/>
                    <w:ind w:firstLine="0" w:firstLineChars="0"/>
                    <w:rPr>
                      <w:rFonts w:eastAsiaTheme="minorEastAsia"/>
                      <w:sz w:val="21"/>
                      <w:szCs w:val="21"/>
                    </w:rPr>
                  </w:pPr>
                  <w:r>
                    <w:rPr>
                      <w:rFonts w:eastAsiaTheme="minorEastAsia"/>
                      <w:sz w:val="21"/>
                      <w:szCs w:val="21"/>
                    </w:rPr>
                    <w:t>选用低噪声设备</w:t>
                  </w:r>
                  <w:r>
                    <w:rPr>
                      <w:rFonts w:hint="eastAsia" w:eastAsiaTheme="minorEastAsia"/>
                      <w:sz w:val="21"/>
                      <w:szCs w:val="21"/>
                    </w:rPr>
                    <w:t>、设置减震垫等</w:t>
                  </w:r>
                  <w:r>
                    <w:rPr>
                      <w:rFonts w:eastAsiaTheme="minorEastAsia"/>
                      <w:sz w:val="21"/>
                      <w:szCs w:val="21"/>
                    </w:rPr>
                    <w:t>。</w:t>
                  </w:r>
                </w:p>
              </w:tc>
              <w:tc>
                <w:tcPr>
                  <w:tcW w:w="3055" w:type="dxa"/>
                  <w:vAlign w:val="center"/>
                </w:tcPr>
                <w:p>
                  <w:pPr>
                    <w:tabs>
                      <w:tab w:val="left" w:pos="9180"/>
                    </w:tabs>
                    <w:autoSpaceDE w:val="0"/>
                    <w:autoSpaceDN w:val="0"/>
                    <w:rPr>
                      <w:rFonts w:eastAsiaTheme="minorEastAsia"/>
                      <w:sz w:val="21"/>
                      <w:szCs w:val="21"/>
                    </w:rPr>
                  </w:pPr>
                  <w:r>
                    <w:rPr>
                      <w:rFonts w:eastAsiaTheme="minorEastAsia"/>
                      <w:sz w:val="21"/>
                      <w:szCs w:val="21"/>
                    </w:rPr>
                    <w:t>厂界噪声验收监测：</w:t>
                  </w:r>
                </w:p>
                <w:p>
                  <w:pPr>
                    <w:tabs>
                      <w:tab w:val="left" w:pos="226"/>
                      <w:tab w:val="left" w:pos="9180"/>
                    </w:tabs>
                    <w:autoSpaceDE w:val="0"/>
                    <w:autoSpaceDN w:val="0"/>
                    <w:rPr>
                      <w:rFonts w:eastAsiaTheme="minorEastAsia"/>
                      <w:sz w:val="21"/>
                      <w:szCs w:val="21"/>
                    </w:rPr>
                  </w:pPr>
                  <w:r>
                    <w:rPr>
                      <w:rFonts w:hint="eastAsia" w:eastAsiaTheme="minorEastAsia"/>
                      <w:sz w:val="21"/>
                      <w:szCs w:val="21"/>
                    </w:rPr>
                    <w:t>①</w:t>
                  </w:r>
                  <w:r>
                    <w:rPr>
                      <w:rFonts w:eastAsiaTheme="minorEastAsia"/>
                      <w:sz w:val="21"/>
                      <w:szCs w:val="21"/>
                    </w:rPr>
                    <w:t>监测内容：等效连续A声级；</w:t>
                  </w:r>
                </w:p>
                <w:p>
                  <w:pPr>
                    <w:tabs>
                      <w:tab w:val="left" w:pos="226"/>
                      <w:tab w:val="left" w:pos="9180"/>
                    </w:tabs>
                    <w:autoSpaceDE w:val="0"/>
                    <w:autoSpaceDN w:val="0"/>
                    <w:rPr>
                      <w:rFonts w:eastAsiaTheme="minorEastAsia"/>
                      <w:sz w:val="21"/>
                      <w:szCs w:val="21"/>
                    </w:rPr>
                  </w:pPr>
                  <w:r>
                    <w:rPr>
                      <w:rFonts w:hint="eastAsia" w:eastAsiaTheme="minorEastAsia"/>
                      <w:sz w:val="21"/>
                      <w:szCs w:val="21"/>
                    </w:rPr>
                    <w:t>②</w:t>
                  </w:r>
                  <w:r>
                    <w:rPr>
                      <w:rFonts w:eastAsiaTheme="minorEastAsia"/>
                      <w:sz w:val="21"/>
                      <w:szCs w:val="21"/>
                    </w:rPr>
                    <w:t>执行标准：《工业企业厂界环境噪声排放标准》（GB12348-2008）</w:t>
                  </w:r>
                  <w:r>
                    <w:rPr>
                      <w:rFonts w:hint="eastAsia" w:eastAsiaTheme="minorEastAsia"/>
                      <w:sz w:val="21"/>
                      <w:szCs w:val="21"/>
                    </w:rPr>
                    <w:t>2类</w:t>
                  </w:r>
                  <w:r>
                    <w:rPr>
                      <w:rFonts w:eastAsiaTheme="minorEastAsia"/>
                      <w:sz w:val="21"/>
                      <w:szCs w:val="21"/>
                    </w:rPr>
                    <w:t>标准。</w:t>
                  </w:r>
                </w:p>
                <w:p>
                  <w:pPr>
                    <w:tabs>
                      <w:tab w:val="left" w:pos="226"/>
                      <w:tab w:val="left" w:pos="9180"/>
                    </w:tabs>
                    <w:autoSpaceDE w:val="0"/>
                    <w:autoSpaceDN w:val="0"/>
                    <w:rPr>
                      <w:rFonts w:eastAsiaTheme="minorEastAsia"/>
                      <w:sz w:val="21"/>
                      <w:szCs w:val="21"/>
                    </w:rPr>
                  </w:pPr>
                  <w:r>
                    <w:rPr>
                      <w:rFonts w:hint="eastAsia" w:eastAsiaTheme="minorEastAsia"/>
                      <w:sz w:val="21"/>
                      <w:szCs w:val="21"/>
                    </w:rPr>
                    <w:t>③</w:t>
                  </w:r>
                  <w:r>
                    <w:rPr>
                      <w:rFonts w:eastAsiaTheme="minorEastAsia"/>
                      <w:sz w:val="21"/>
                      <w:szCs w:val="21"/>
                    </w:rPr>
                    <w:t>监测位置：</w:t>
                  </w:r>
                  <w:r>
                    <w:rPr>
                      <w:rFonts w:hint="eastAsia" w:eastAsiaTheme="minorEastAsia"/>
                      <w:sz w:val="21"/>
                      <w:szCs w:val="21"/>
                    </w:rPr>
                    <w:t>厂</w:t>
                  </w:r>
                  <w:r>
                    <w:rPr>
                      <w:rFonts w:eastAsiaTheme="minorEastAsia"/>
                      <w:sz w:val="21"/>
                      <w:szCs w:val="21"/>
                    </w:rPr>
                    <w:t>界。</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1464" w:hRule="atLeast"/>
                <w:jc w:val="center"/>
              </w:trPr>
              <w:tc>
                <w:tcPr>
                  <w:tcW w:w="643" w:type="dxa"/>
                  <w:tcMar>
                    <w:top w:w="0" w:type="dxa"/>
                    <w:left w:w="85" w:type="dxa"/>
                    <w:bottom w:w="0" w:type="dxa"/>
                    <w:right w:w="85" w:type="dxa"/>
                  </w:tcMar>
                  <w:vAlign w:val="center"/>
                </w:tcPr>
                <w:p>
                  <w:pPr>
                    <w:jc w:val="center"/>
                    <w:rPr>
                      <w:rFonts w:eastAsiaTheme="minorEastAsia"/>
                      <w:sz w:val="21"/>
                      <w:szCs w:val="21"/>
                    </w:rPr>
                  </w:pPr>
                  <w:r>
                    <w:rPr>
                      <w:rFonts w:eastAsiaTheme="minorEastAsia"/>
                      <w:sz w:val="21"/>
                      <w:szCs w:val="21"/>
                    </w:rPr>
                    <w:t>地下水防渗措施</w:t>
                  </w:r>
                </w:p>
              </w:tc>
              <w:tc>
                <w:tcPr>
                  <w:tcW w:w="6408" w:type="dxa"/>
                  <w:gridSpan w:val="2"/>
                  <w:tcMar>
                    <w:top w:w="0" w:type="dxa"/>
                    <w:left w:w="85" w:type="dxa"/>
                    <w:bottom w:w="0" w:type="dxa"/>
                    <w:right w:w="85" w:type="dxa"/>
                  </w:tcMar>
                </w:tcPr>
                <w:p>
                  <w:pPr>
                    <w:pStyle w:val="66"/>
                    <w:tabs>
                      <w:tab w:val="left" w:pos="251"/>
                    </w:tabs>
                    <w:autoSpaceDE w:val="0"/>
                    <w:autoSpaceDN w:val="0"/>
                    <w:ind w:firstLine="0" w:firstLineChars="0"/>
                    <w:rPr>
                      <w:rFonts w:eastAsiaTheme="minorEastAsia"/>
                      <w:sz w:val="21"/>
                      <w:szCs w:val="21"/>
                    </w:rPr>
                  </w:pPr>
                  <w:r>
                    <w:rPr>
                      <w:rFonts w:hint="eastAsia" w:eastAsiaTheme="minorEastAsia"/>
                      <w:sz w:val="21"/>
                      <w:szCs w:val="21"/>
                    </w:rPr>
                    <w:t>根据设计和施工资料，</w:t>
                  </w:r>
                  <w:r>
                    <w:rPr>
                      <w:rFonts w:eastAsiaTheme="minorEastAsia"/>
                      <w:sz w:val="21"/>
                      <w:szCs w:val="21"/>
                    </w:rPr>
                    <w:t>核查</w:t>
                  </w:r>
                  <w:r>
                    <w:rPr>
                      <w:rFonts w:hint="eastAsia" w:eastAsiaTheme="minorEastAsia"/>
                      <w:sz w:val="21"/>
                      <w:szCs w:val="21"/>
                    </w:rPr>
                    <w:t>危废间是否采取“防渗混凝土+环氧树脂”防渗；检查隔油池、沉淀池、回用水池、初期雨水沉淀池等</w:t>
                  </w:r>
                  <w:r>
                    <w:rPr>
                      <w:rFonts w:eastAsiaTheme="minorEastAsia"/>
                      <w:sz w:val="21"/>
                      <w:szCs w:val="21"/>
                    </w:rPr>
                    <w:t>防渗</w:t>
                  </w:r>
                  <w:r>
                    <w:rPr>
                      <w:rFonts w:hint="eastAsia" w:eastAsiaTheme="minorEastAsia"/>
                      <w:sz w:val="21"/>
                      <w:szCs w:val="21"/>
                    </w:rPr>
                    <w:t>措施是否满足要求；检查</w:t>
                  </w:r>
                  <w:r>
                    <w:rPr>
                      <w:rFonts w:eastAsiaTheme="minorEastAsia"/>
                      <w:sz w:val="21"/>
                      <w:szCs w:val="21"/>
                    </w:rPr>
                    <w:t>车间</w:t>
                  </w:r>
                  <w:r>
                    <w:rPr>
                      <w:rFonts w:hint="eastAsia" w:eastAsiaTheme="minorEastAsia"/>
                      <w:sz w:val="21"/>
                      <w:szCs w:val="21"/>
                    </w:rPr>
                    <w:t>是否</w:t>
                  </w:r>
                  <w:r>
                    <w:rPr>
                      <w:rFonts w:eastAsiaTheme="minorEastAsia"/>
                      <w:sz w:val="21"/>
                      <w:szCs w:val="21"/>
                    </w:rPr>
                    <w:t>采用防渗混凝土硬化；污水及回用水运输管道应采用耐腐蚀、耐磨损、防渗等级高的材料。</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1377" w:hRule="atLeast"/>
                <w:jc w:val="center"/>
              </w:trPr>
              <w:tc>
                <w:tcPr>
                  <w:tcW w:w="643" w:type="dxa"/>
                  <w:tcMar>
                    <w:top w:w="0" w:type="dxa"/>
                    <w:left w:w="85" w:type="dxa"/>
                    <w:bottom w:w="0" w:type="dxa"/>
                    <w:right w:w="85" w:type="dxa"/>
                  </w:tcMar>
                  <w:vAlign w:val="center"/>
                </w:tcPr>
                <w:p>
                  <w:pPr>
                    <w:jc w:val="center"/>
                    <w:rPr>
                      <w:rFonts w:eastAsiaTheme="minorEastAsia"/>
                      <w:sz w:val="21"/>
                      <w:szCs w:val="21"/>
                    </w:rPr>
                  </w:pPr>
                  <w:r>
                    <w:rPr>
                      <w:rFonts w:eastAsiaTheme="minorEastAsia"/>
                      <w:sz w:val="21"/>
                      <w:szCs w:val="21"/>
                    </w:rPr>
                    <w:t>固体废物</w:t>
                  </w:r>
                  <w:r>
                    <w:rPr>
                      <w:rFonts w:hint="eastAsia" w:eastAsiaTheme="minorEastAsia"/>
                      <w:sz w:val="21"/>
                      <w:szCs w:val="21"/>
                    </w:rPr>
                    <w:t>处</w:t>
                  </w:r>
                  <w:r>
                    <w:rPr>
                      <w:rFonts w:eastAsiaTheme="minorEastAsia"/>
                      <w:sz w:val="21"/>
                      <w:szCs w:val="21"/>
                    </w:rPr>
                    <w:t>置</w:t>
                  </w:r>
                </w:p>
              </w:tc>
              <w:tc>
                <w:tcPr>
                  <w:tcW w:w="6408" w:type="dxa"/>
                  <w:gridSpan w:val="2"/>
                  <w:tcMar>
                    <w:top w:w="0" w:type="dxa"/>
                    <w:left w:w="85" w:type="dxa"/>
                    <w:bottom w:w="0" w:type="dxa"/>
                    <w:right w:w="85" w:type="dxa"/>
                  </w:tcMar>
                </w:tcPr>
                <w:p>
                  <w:pPr>
                    <w:tabs>
                      <w:tab w:val="left" w:pos="247"/>
                      <w:tab w:val="left" w:pos="9180"/>
                    </w:tabs>
                    <w:autoSpaceDE w:val="0"/>
                    <w:autoSpaceDN w:val="0"/>
                    <w:rPr>
                      <w:rFonts w:eastAsiaTheme="minorEastAsia"/>
                      <w:sz w:val="21"/>
                      <w:szCs w:val="21"/>
                    </w:rPr>
                  </w:pPr>
                  <w:r>
                    <w:rPr>
                      <w:rFonts w:hint="eastAsia" w:eastAsiaTheme="minorEastAsia"/>
                      <w:sz w:val="21"/>
                      <w:szCs w:val="21"/>
                    </w:rPr>
                    <w:fldChar w:fldCharType="begin"/>
                  </w:r>
                  <w:r>
                    <w:rPr>
                      <w:rFonts w:hint="eastAsia" w:eastAsiaTheme="minorEastAsia"/>
                      <w:sz w:val="21"/>
                      <w:szCs w:val="21"/>
                    </w:rPr>
                    <w:instrText xml:space="preserve"> = 1 \* GB3 \* MERGEFORMAT </w:instrText>
                  </w:r>
                  <w:r>
                    <w:rPr>
                      <w:rFonts w:hint="eastAsia" w:eastAsiaTheme="minorEastAsia"/>
                      <w:sz w:val="21"/>
                      <w:szCs w:val="21"/>
                    </w:rPr>
                    <w:fldChar w:fldCharType="separate"/>
                  </w:r>
                  <w:r>
                    <w:rPr>
                      <w:rFonts w:hint="eastAsia" w:eastAsiaTheme="minorEastAsia"/>
                      <w:sz w:val="21"/>
                      <w:szCs w:val="21"/>
                    </w:rPr>
                    <w:t>①</w:t>
                  </w:r>
                  <w:r>
                    <w:rPr>
                      <w:rFonts w:hint="eastAsia" w:eastAsiaTheme="minorEastAsia"/>
                      <w:sz w:val="21"/>
                      <w:szCs w:val="21"/>
                    </w:rPr>
                    <w:fldChar w:fldCharType="end"/>
                  </w:r>
                  <w:r>
                    <w:rPr>
                      <w:rFonts w:hint="eastAsia" w:eastAsiaTheme="minorEastAsia"/>
                      <w:sz w:val="21"/>
                      <w:szCs w:val="21"/>
                    </w:rPr>
                    <w:t>核查一般固废贮存过程是否满足相应防渗漏、防雨淋、防扬尘等环境保护要求；</w:t>
                  </w:r>
                </w:p>
                <w:p>
                  <w:pPr>
                    <w:tabs>
                      <w:tab w:val="left" w:pos="247"/>
                      <w:tab w:val="left" w:pos="9180"/>
                    </w:tabs>
                    <w:autoSpaceDE w:val="0"/>
                    <w:autoSpaceDN w:val="0"/>
                    <w:rPr>
                      <w:rFonts w:eastAsiaTheme="minorEastAsia"/>
                      <w:sz w:val="21"/>
                      <w:szCs w:val="21"/>
                    </w:rPr>
                  </w:pPr>
                  <w:r>
                    <w:rPr>
                      <w:rFonts w:hint="eastAsia" w:eastAsiaTheme="minorEastAsia"/>
                      <w:sz w:val="21"/>
                      <w:szCs w:val="21"/>
                    </w:rPr>
                    <w:fldChar w:fldCharType="begin"/>
                  </w:r>
                  <w:r>
                    <w:rPr>
                      <w:rFonts w:hint="eastAsia" w:eastAsiaTheme="minorEastAsia"/>
                      <w:sz w:val="21"/>
                      <w:szCs w:val="21"/>
                    </w:rPr>
                    <w:instrText xml:space="preserve"> = 2 \* GB3 \* MERGEFORMAT </w:instrText>
                  </w:r>
                  <w:r>
                    <w:rPr>
                      <w:rFonts w:hint="eastAsia" w:eastAsiaTheme="minorEastAsia"/>
                      <w:sz w:val="21"/>
                      <w:szCs w:val="21"/>
                    </w:rPr>
                    <w:fldChar w:fldCharType="separate"/>
                  </w:r>
                  <w:r>
                    <w:rPr>
                      <w:rFonts w:hint="eastAsia" w:eastAsiaTheme="minorEastAsia"/>
                      <w:sz w:val="21"/>
                      <w:szCs w:val="21"/>
                    </w:rPr>
                    <w:t>②</w:t>
                  </w:r>
                  <w:r>
                    <w:rPr>
                      <w:rFonts w:hint="eastAsia" w:eastAsiaTheme="minorEastAsia"/>
                      <w:sz w:val="21"/>
                      <w:szCs w:val="21"/>
                    </w:rPr>
                    <w:fldChar w:fldCharType="end"/>
                  </w:r>
                  <w:r>
                    <w:rPr>
                      <w:rFonts w:hint="eastAsia" w:eastAsiaTheme="minorEastAsia"/>
                      <w:sz w:val="21"/>
                      <w:szCs w:val="21"/>
                    </w:rPr>
                    <w:t>核查是否建立固体废物的存储、处置、管理计划和台账等环境管理措施及制度；</w:t>
                  </w:r>
                </w:p>
                <w:p>
                  <w:pPr>
                    <w:tabs>
                      <w:tab w:val="left" w:pos="247"/>
                      <w:tab w:val="left" w:pos="9180"/>
                    </w:tabs>
                    <w:autoSpaceDE w:val="0"/>
                    <w:autoSpaceDN w:val="0"/>
                    <w:rPr>
                      <w:rFonts w:eastAsiaTheme="minorEastAsia"/>
                      <w:sz w:val="21"/>
                      <w:szCs w:val="21"/>
                    </w:rPr>
                  </w:pPr>
                  <w:r>
                    <w:rPr>
                      <w:rFonts w:hint="eastAsia" w:eastAsiaTheme="minorEastAsia"/>
                      <w:sz w:val="21"/>
                      <w:szCs w:val="21"/>
                    </w:rPr>
                    <w:fldChar w:fldCharType="begin"/>
                  </w:r>
                  <w:r>
                    <w:rPr>
                      <w:rFonts w:hint="eastAsia" w:eastAsiaTheme="minorEastAsia"/>
                      <w:sz w:val="21"/>
                      <w:szCs w:val="21"/>
                    </w:rPr>
                    <w:instrText xml:space="preserve"> = 3 \* GB3 \* MERGEFORMAT </w:instrText>
                  </w:r>
                  <w:r>
                    <w:rPr>
                      <w:rFonts w:hint="eastAsia" w:eastAsiaTheme="minorEastAsia"/>
                      <w:sz w:val="21"/>
                      <w:szCs w:val="21"/>
                    </w:rPr>
                    <w:fldChar w:fldCharType="separate"/>
                  </w:r>
                  <w:r>
                    <w:rPr>
                      <w:rFonts w:hint="eastAsia" w:eastAsiaTheme="minorEastAsia"/>
                      <w:sz w:val="21"/>
                      <w:szCs w:val="21"/>
                    </w:rPr>
                    <w:t>③</w:t>
                  </w:r>
                  <w:r>
                    <w:rPr>
                      <w:rFonts w:hint="eastAsia" w:eastAsiaTheme="minorEastAsia"/>
                      <w:sz w:val="21"/>
                      <w:szCs w:val="21"/>
                    </w:rPr>
                    <w:fldChar w:fldCharType="end"/>
                  </w:r>
                  <w:r>
                    <w:rPr>
                      <w:rFonts w:hint="eastAsia" w:eastAsiaTheme="minorEastAsia"/>
                      <w:sz w:val="21"/>
                      <w:szCs w:val="21"/>
                    </w:rPr>
                    <w:t>落实固体废物处置措施。</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610" w:hRule="atLeast"/>
                <w:jc w:val="center"/>
              </w:trPr>
              <w:tc>
                <w:tcPr>
                  <w:tcW w:w="643" w:type="dxa"/>
                  <w:tcMar>
                    <w:top w:w="0" w:type="dxa"/>
                    <w:left w:w="85" w:type="dxa"/>
                    <w:bottom w:w="0" w:type="dxa"/>
                    <w:right w:w="85" w:type="dxa"/>
                  </w:tcMar>
                  <w:vAlign w:val="center"/>
                </w:tcPr>
                <w:p>
                  <w:pPr>
                    <w:jc w:val="center"/>
                    <w:rPr>
                      <w:rFonts w:eastAsiaTheme="minorEastAsia"/>
                      <w:sz w:val="21"/>
                      <w:szCs w:val="21"/>
                    </w:rPr>
                  </w:pPr>
                  <w:r>
                    <w:rPr>
                      <w:rFonts w:eastAsiaTheme="minorEastAsia"/>
                      <w:sz w:val="21"/>
                      <w:szCs w:val="21"/>
                    </w:rPr>
                    <w:t>环境风险</w:t>
                  </w:r>
                </w:p>
              </w:tc>
              <w:tc>
                <w:tcPr>
                  <w:tcW w:w="6408" w:type="dxa"/>
                  <w:gridSpan w:val="2"/>
                  <w:tcMar>
                    <w:top w:w="0" w:type="dxa"/>
                    <w:left w:w="85" w:type="dxa"/>
                    <w:bottom w:w="0" w:type="dxa"/>
                    <w:right w:w="85" w:type="dxa"/>
                  </w:tcMar>
                  <w:vAlign w:val="center"/>
                </w:tcPr>
                <w:p>
                  <w:pPr>
                    <w:adjustRightInd w:val="0"/>
                    <w:snapToGrid w:val="0"/>
                    <w:jc w:val="left"/>
                    <w:rPr>
                      <w:rFonts w:eastAsiaTheme="minorEastAsia"/>
                      <w:sz w:val="21"/>
                      <w:szCs w:val="21"/>
                    </w:rPr>
                  </w:pPr>
                  <w:r>
                    <w:rPr>
                      <w:rFonts w:eastAsiaTheme="minorEastAsia"/>
                      <w:sz w:val="21"/>
                      <w:szCs w:val="21"/>
                    </w:rPr>
                    <w:t>核查厂内是否采取以下风险防范措施：</w:t>
                  </w:r>
                </w:p>
                <w:p>
                  <w:pPr>
                    <w:adjustRightInd w:val="0"/>
                    <w:snapToGrid w:val="0"/>
                    <w:jc w:val="left"/>
                    <w:rPr>
                      <w:rFonts w:ascii="Times New Roman" w:hAnsi="Times New Roman"/>
                      <w:sz w:val="21"/>
                      <w:szCs w:val="21"/>
                    </w:rPr>
                  </w:pPr>
                  <w:r>
                    <w:rPr>
                      <w:rFonts w:hint="eastAsia" w:eastAsiaTheme="minorEastAsia"/>
                      <w:sz w:val="21"/>
                      <w:szCs w:val="21"/>
                    </w:rPr>
                    <w:t>①</w:t>
                  </w:r>
                  <w:r>
                    <w:rPr>
                      <w:rFonts w:hint="eastAsia" w:ascii="Times New Roman" w:hAnsi="Times New Roman"/>
                      <w:sz w:val="21"/>
                      <w:szCs w:val="21"/>
                    </w:rPr>
                    <w:t>设置一个占地面积为15m</w:t>
                  </w:r>
                  <w:r>
                    <w:rPr>
                      <w:rFonts w:hint="eastAsia" w:ascii="Times New Roman" w:hAnsi="Times New Roman"/>
                      <w:sz w:val="21"/>
                      <w:szCs w:val="21"/>
                      <w:vertAlign w:val="superscript"/>
                    </w:rPr>
                    <w:t>2</w:t>
                  </w:r>
                  <w:r>
                    <w:rPr>
                      <w:rFonts w:hint="eastAsia" w:ascii="Times New Roman" w:hAnsi="Times New Roman"/>
                      <w:sz w:val="21"/>
                      <w:szCs w:val="21"/>
                    </w:rPr>
                    <w:t>的危废暂存间，采取“防腐防渗漆+环氧树脂地坪漆”进行防渗，门口设置围坎；</w:t>
                  </w:r>
                </w:p>
                <w:p>
                  <w:pPr>
                    <w:pStyle w:val="66"/>
                    <w:tabs>
                      <w:tab w:val="left" w:pos="251"/>
                    </w:tabs>
                    <w:autoSpaceDE w:val="0"/>
                    <w:autoSpaceDN w:val="0"/>
                    <w:ind w:firstLine="0" w:firstLineChars="0"/>
                    <w:rPr>
                      <w:rFonts w:ascii="Times New Roman" w:hAnsi="Times New Roman"/>
                      <w:sz w:val="21"/>
                      <w:szCs w:val="21"/>
                    </w:rPr>
                  </w:pPr>
                  <w:r>
                    <w:rPr>
                      <w:rFonts w:hint="eastAsia" w:ascii="Times New Roman" w:hAnsi="Times New Roman"/>
                      <w:sz w:val="21"/>
                      <w:szCs w:val="21"/>
                    </w:rPr>
                    <w:t>②厂区东侧地势最低处设置容积约为9m</w:t>
                  </w:r>
                  <w:r>
                    <w:rPr>
                      <w:rFonts w:hint="eastAsia" w:ascii="Times New Roman" w:hAnsi="Times New Roman"/>
                      <w:sz w:val="21"/>
                      <w:szCs w:val="21"/>
                      <w:vertAlign w:val="superscript"/>
                    </w:rPr>
                    <w:t>3</w:t>
                  </w:r>
                  <w:r>
                    <w:rPr>
                      <w:rFonts w:hint="eastAsia" w:ascii="Times New Roman" w:hAnsi="Times New Roman"/>
                      <w:sz w:val="21"/>
                      <w:szCs w:val="21"/>
                    </w:rPr>
                    <w:t>的初期雨水沉淀池，并设置泵及回用水管</w:t>
                  </w:r>
                </w:p>
                <w:p>
                  <w:pPr>
                    <w:pStyle w:val="66"/>
                    <w:tabs>
                      <w:tab w:val="left" w:pos="251"/>
                    </w:tabs>
                    <w:autoSpaceDE w:val="0"/>
                    <w:autoSpaceDN w:val="0"/>
                    <w:ind w:firstLine="0" w:firstLineChars="0"/>
                    <w:rPr>
                      <w:rFonts w:eastAsiaTheme="minorEastAsia"/>
                      <w:sz w:val="21"/>
                      <w:szCs w:val="21"/>
                    </w:rPr>
                  </w:pPr>
                  <w:r>
                    <w:rPr>
                      <w:rFonts w:hint="eastAsia" w:ascii="Times New Roman" w:hAnsi="Times New Roman"/>
                      <w:sz w:val="21"/>
                      <w:szCs w:val="21"/>
                    </w:rPr>
                    <w:t>③培训并规范工作人员操作，安排专人巡视</w:t>
                  </w:r>
                </w:p>
              </w:tc>
            </w:tr>
          </w:tbl>
          <w:p>
            <w:pPr>
              <w:spacing w:line="320" w:lineRule="exact"/>
              <w:rPr>
                <w:rFonts w:ascii="Times New Roman" w:hAnsi="Times New Roman"/>
                <w:sz w:val="21"/>
                <w:szCs w:val="21"/>
              </w:rPr>
            </w:pPr>
            <w:r>
              <w:rPr>
                <w:rFonts w:hint="eastAsia" w:ascii="Times New Roman" w:hAnsi="Times New Roman"/>
                <w:sz w:val="21"/>
                <w:szCs w:val="21"/>
              </w:rPr>
              <w:t>3</w:t>
            </w:r>
            <w:r>
              <w:rPr>
                <w:rFonts w:ascii="Times New Roman" w:hAnsi="Times New Roman"/>
                <w:sz w:val="21"/>
                <w:szCs w:val="21"/>
              </w:rPr>
              <w:t>、环境管理台账：建设单位应建立环境管理台账制度，落实环境管理台账记录的责任部门和责任人，明确工作职责，包括台账的记录、整理、维护和管理等，并对环境管理台账的真实性、完整性和规范性负责。台账应按照电子化储存和纸质储存两种形式同步管理。台账（包含监测原始记录）保存期限不得少于5年。</w:t>
            </w:r>
          </w:p>
          <w:p>
            <w:pPr>
              <w:pStyle w:val="38"/>
              <w:ind w:firstLine="0" w:firstLineChars="0"/>
              <w:rPr>
                <w:sz w:val="21"/>
                <w:szCs w:val="21"/>
              </w:rPr>
            </w:pPr>
          </w:p>
        </w:tc>
      </w:tr>
    </w:tbl>
    <w:p>
      <w:pPr>
        <w:pStyle w:val="23"/>
        <w:jc w:val="center"/>
        <w:outlineLvl w:val="0"/>
        <w:rPr>
          <w:rFonts w:ascii="Times New Roman" w:hAnsi="Times New Roman" w:eastAsia="黑体"/>
          <w:snapToGrid w:val="0"/>
          <w:sz w:val="30"/>
          <w:szCs w:val="30"/>
        </w:rPr>
      </w:pPr>
      <w:r>
        <w:rPr>
          <w:rFonts w:ascii="Times New Roman" w:hAnsi="Times New Roman"/>
          <w:snapToGrid w:val="0"/>
        </w:rPr>
        <w:br w:type="page"/>
      </w:r>
      <w:r>
        <w:rPr>
          <w:rFonts w:ascii="Times New Roman" w:hAnsi="Times New Roman" w:eastAsia="黑体"/>
          <w:snapToGrid w:val="0"/>
          <w:sz w:val="30"/>
          <w:szCs w:val="30"/>
        </w:rPr>
        <w:t>六、结论</w:t>
      </w:r>
    </w:p>
    <w:tbl>
      <w:tblPr>
        <w:tblStyle w:val="25"/>
        <w:tblW w:w="886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86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991" w:hRule="atLeast"/>
          <w:jc w:val="center"/>
        </w:trPr>
        <w:tc>
          <w:tcPr>
            <w:tcW w:w="8865" w:type="dxa"/>
          </w:tcPr>
          <w:p>
            <w:pPr>
              <w:spacing w:before="120" w:beforeLines="50" w:line="360" w:lineRule="auto"/>
              <w:ind w:firstLine="480" w:firstLineChars="200"/>
              <w:rPr>
                <w:rFonts w:ascii="Times New Roman" w:hAnsi="Times New Roman"/>
                <w:kern w:val="0"/>
                <w:szCs w:val="20"/>
              </w:rPr>
            </w:pPr>
            <w:r>
              <w:rPr>
                <w:rFonts w:ascii="Times New Roman" w:hAnsi="Times New Roman"/>
                <w:kern w:val="0"/>
                <w:szCs w:val="20"/>
              </w:rPr>
              <w:t>本项目为</w:t>
            </w:r>
            <w:r>
              <w:rPr>
                <w:rFonts w:hint="eastAsia" w:ascii="Times New Roman" w:hAnsi="Times New Roman" w:eastAsiaTheme="minorEastAsia"/>
                <w:kern w:val="21"/>
              </w:rPr>
              <w:t>大田卓阳达再生资源综合利用建设项目</w:t>
            </w:r>
            <w:r>
              <w:rPr>
                <w:rFonts w:ascii="Times New Roman" w:hAnsi="Times New Roman"/>
                <w:kern w:val="0"/>
                <w:szCs w:val="20"/>
              </w:rPr>
              <w:t>，选址于福建省三明市大田县</w:t>
            </w:r>
            <w:r>
              <w:rPr>
                <w:rFonts w:hint="eastAsia" w:ascii="Times New Roman" w:hAnsi="Times New Roman"/>
                <w:kern w:val="0"/>
                <w:szCs w:val="20"/>
              </w:rPr>
              <w:t>武陵乡大石村</w:t>
            </w:r>
            <w:r>
              <w:rPr>
                <w:rFonts w:ascii="Times New Roman" w:hAnsi="Times New Roman"/>
                <w:kern w:val="0"/>
                <w:szCs w:val="20"/>
              </w:rPr>
              <w:t>，符合</w:t>
            </w:r>
            <w:r>
              <w:rPr>
                <w:rFonts w:hint="eastAsia" w:ascii="Times New Roman" w:hAnsi="Times New Roman"/>
                <w:kern w:val="0"/>
                <w:szCs w:val="20"/>
              </w:rPr>
              <w:t>三明市</w:t>
            </w:r>
            <w:r>
              <w:rPr>
                <w:rFonts w:ascii="Times New Roman" w:hAnsi="Times New Roman"/>
                <w:kern w:val="0"/>
                <w:szCs w:val="20"/>
              </w:rPr>
              <w:t>“三线一单”要求，</w:t>
            </w:r>
            <w:r>
              <w:rPr>
                <w:rFonts w:hint="eastAsia" w:ascii="Times New Roman" w:hAnsi="Times New Roman"/>
                <w:kern w:val="0"/>
                <w:szCs w:val="20"/>
              </w:rPr>
              <w:t>符合《大田县国土空间规划》</w:t>
            </w:r>
            <w:r>
              <w:rPr>
                <w:rFonts w:hint="eastAsia"/>
              </w:rPr>
              <w:t>《大田县武陵乡大石村村庄规划》，</w:t>
            </w:r>
            <w:r>
              <w:rPr>
                <w:rFonts w:ascii="Times New Roman" w:hAnsi="Times New Roman"/>
                <w:kern w:val="0"/>
                <w:szCs w:val="20"/>
              </w:rPr>
              <w:t>与周边环境相容。项目符合国家及地方当前产业政策，在落实本评价提出的各项环保措施后，各项污染物经处理后可实现稳定达标排放；从环境影响角度分析，</w:t>
            </w:r>
            <w:r>
              <w:rPr>
                <w:rFonts w:hint="eastAsia" w:ascii="Times New Roman" w:hAnsi="Times New Roman"/>
                <w:kern w:val="0"/>
                <w:szCs w:val="20"/>
              </w:rPr>
              <w:t>大田卓阳达再生资源综合利用建设项目</w:t>
            </w:r>
            <w:r>
              <w:rPr>
                <w:rFonts w:ascii="Times New Roman" w:hAnsi="Times New Roman"/>
                <w:kern w:val="0"/>
                <w:szCs w:val="20"/>
              </w:rPr>
              <w:t>的选址和建设是可行的。</w:t>
            </w:r>
          </w:p>
          <w:p>
            <w:pPr>
              <w:spacing w:line="360" w:lineRule="auto"/>
              <w:ind w:firstLine="480"/>
              <w:rPr>
                <w:rFonts w:ascii="Times New Roman" w:hAnsi="Times New Roman"/>
              </w:rPr>
            </w:pPr>
          </w:p>
          <w:p>
            <w:pPr>
              <w:spacing w:line="360" w:lineRule="auto"/>
              <w:ind w:firstLine="480"/>
              <w:rPr>
                <w:rFonts w:ascii="Times New Roman" w:hAnsi="Times New Roman"/>
              </w:rPr>
            </w:pPr>
          </w:p>
          <w:p>
            <w:pPr>
              <w:spacing w:line="360" w:lineRule="auto"/>
              <w:ind w:firstLine="480"/>
              <w:rPr>
                <w:rFonts w:ascii="Times New Roman" w:hAnsi="Times New Roman"/>
              </w:rPr>
            </w:pPr>
          </w:p>
          <w:p>
            <w:pPr>
              <w:spacing w:line="360" w:lineRule="auto"/>
              <w:ind w:firstLine="480"/>
              <w:rPr>
                <w:rFonts w:ascii="Times New Roman" w:hAnsi="Times New Roman"/>
              </w:rPr>
            </w:pPr>
          </w:p>
          <w:p>
            <w:pPr>
              <w:spacing w:line="360" w:lineRule="auto"/>
              <w:ind w:right="-120" w:firstLine="480"/>
              <w:jc w:val="right"/>
              <w:rPr>
                <w:rFonts w:ascii="Times New Roman" w:hAnsi="Times New Roman"/>
              </w:rPr>
            </w:pPr>
            <w:r>
              <w:rPr>
                <w:rFonts w:ascii="Times New Roman" w:hAnsi="Times New Roman"/>
              </w:rPr>
              <w:t>编制单位：泉州市华大环境保护研究院有限公司</w:t>
            </w:r>
          </w:p>
          <w:p>
            <w:pPr>
              <w:wordWrap w:val="0"/>
              <w:spacing w:line="360" w:lineRule="auto"/>
              <w:jc w:val="right"/>
              <w:rPr>
                <w:rFonts w:ascii="Times New Roman" w:hAnsi="Times New Roman"/>
              </w:rPr>
            </w:pPr>
            <w:r>
              <w:rPr>
                <w:rFonts w:ascii="Times New Roman" w:hAnsi="Times New Roman"/>
              </w:rPr>
              <w:t>20</w:t>
            </w:r>
            <w:r>
              <w:rPr>
                <w:rFonts w:hint="eastAsia" w:ascii="Times New Roman" w:hAnsi="Times New Roman"/>
              </w:rPr>
              <w:t>24</w:t>
            </w:r>
            <w:r>
              <w:rPr>
                <w:rFonts w:ascii="Times New Roman" w:hAnsi="Times New Roman"/>
              </w:rPr>
              <w:t>年</w:t>
            </w:r>
            <w:r>
              <w:rPr>
                <w:rFonts w:hint="eastAsia" w:ascii="Times New Roman" w:hAnsi="Times New Roman"/>
              </w:rPr>
              <w:t>4</w:t>
            </w:r>
            <w:r>
              <w:rPr>
                <w:rFonts w:ascii="Times New Roman" w:hAnsi="Times New Roman"/>
              </w:rPr>
              <w:t>月</w:t>
            </w:r>
            <w:r>
              <w:rPr>
                <w:rFonts w:hint="eastAsia" w:ascii="Times New Roman" w:hAnsi="Times New Roman"/>
              </w:rPr>
              <w:t>28</w:t>
            </w:r>
            <w:r>
              <w:rPr>
                <w:rFonts w:ascii="Times New Roman" w:hAnsi="Times New Roman"/>
              </w:rPr>
              <w:t xml:space="preserve">日 </w:t>
            </w:r>
          </w:p>
          <w:p>
            <w:pPr>
              <w:pStyle w:val="38"/>
              <w:ind w:firstLine="480"/>
            </w:pPr>
          </w:p>
          <w:p>
            <w:pPr>
              <w:pStyle w:val="38"/>
              <w:ind w:firstLine="480"/>
            </w:pPr>
          </w:p>
          <w:p>
            <w:pPr>
              <w:adjustRightInd w:val="0"/>
              <w:snapToGrid w:val="0"/>
              <w:spacing w:line="440" w:lineRule="exact"/>
              <w:ind w:firstLine="240" w:firstLineChars="100"/>
              <w:rPr>
                <w:rFonts w:ascii="Times New Roman" w:hAnsi="Times New Roman" w:eastAsiaTheme="minorEastAsia"/>
                <w:snapToGrid w:val="0"/>
              </w:rPr>
            </w:pPr>
            <w:r>
              <w:rPr>
                <w:rFonts w:ascii="Times New Roman" w:hAnsi="Times New Roman" w:eastAsiaTheme="minorEastAsia"/>
                <w:snapToGrid w:val="0"/>
              </w:rPr>
              <w:t>主编人员：杨飞龙</w:t>
            </w:r>
          </w:p>
          <w:p>
            <w:pPr>
              <w:adjustRightInd w:val="0"/>
              <w:snapToGrid w:val="0"/>
              <w:spacing w:line="440" w:lineRule="exact"/>
              <w:ind w:firstLine="240" w:firstLineChars="100"/>
              <w:rPr>
                <w:rFonts w:ascii="Times New Roman" w:hAnsi="Times New Roman" w:eastAsiaTheme="minorEastAsia"/>
                <w:snapToGrid w:val="0"/>
              </w:rPr>
            </w:pPr>
            <w:r>
              <w:rPr>
                <w:rFonts w:ascii="Times New Roman" w:hAnsi="Times New Roman" w:eastAsiaTheme="minorEastAsia"/>
                <w:snapToGrid w:val="0"/>
              </w:rPr>
              <w:t>联系方式：13959706160</w:t>
            </w:r>
          </w:p>
          <w:p>
            <w:pPr>
              <w:pStyle w:val="38"/>
              <w:ind w:firstLine="480"/>
            </w:pPr>
          </w:p>
        </w:tc>
      </w:tr>
    </w:tbl>
    <w:p>
      <w:pPr>
        <w:rPr>
          <w:rFonts w:ascii="Times New Roman" w:hAnsi="Times New Roman"/>
        </w:rPr>
        <w:sectPr>
          <w:pgSz w:w="11906" w:h="16838"/>
          <w:pgMar w:top="1701" w:right="1531" w:bottom="1701" w:left="1531" w:header="851" w:footer="851" w:gutter="0"/>
          <w:cols w:space="720" w:num="1"/>
          <w:docGrid w:linePitch="312" w:charSpace="0"/>
        </w:sectPr>
      </w:pPr>
    </w:p>
    <w:p>
      <w:pPr>
        <w:pStyle w:val="23"/>
        <w:adjustRightInd w:val="0"/>
        <w:snapToGrid w:val="0"/>
        <w:spacing w:before="0" w:beforeAutospacing="0" w:after="0" w:afterAutospacing="0" w:line="648" w:lineRule="auto"/>
        <w:ind w:firstLine="640"/>
        <w:outlineLvl w:val="0"/>
        <w:rPr>
          <w:rFonts w:ascii="Times New Roman" w:hAnsi="Times New Roman" w:eastAsia="黑体"/>
          <w:snapToGrid w:val="0"/>
          <w:sz w:val="32"/>
          <w:szCs w:val="32"/>
          <w:highlight w:val="yellow"/>
        </w:rPr>
      </w:pPr>
      <w:r>
        <w:rPr>
          <w:rFonts w:ascii="Times New Roman" w:hAnsi="Times New Roman" w:eastAsia="黑体"/>
          <w:snapToGrid w:val="0"/>
          <w:sz w:val="32"/>
          <w:szCs w:val="32"/>
        </w:rPr>
        <w:t>附表</w:t>
      </w:r>
    </w:p>
    <w:p>
      <w:pPr>
        <w:pStyle w:val="23"/>
        <w:adjustRightInd w:val="0"/>
        <w:snapToGrid w:val="0"/>
        <w:spacing w:before="0" w:beforeAutospacing="0" w:after="0" w:afterAutospacing="0" w:line="552" w:lineRule="auto"/>
        <w:ind w:firstLine="760"/>
        <w:jc w:val="center"/>
        <w:rPr>
          <w:rFonts w:ascii="Times New Roman" w:hAnsi="Times New Roman" w:eastAsia="方正小标宋_GBK"/>
          <w:snapToGrid w:val="0"/>
          <w:sz w:val="38"/>
          <w:szCs w:val="38"/>
        </w:rPr>
      </w:pPr>
      <w:r>
        <w:rPr>
          <w:rFonts w:ascii="Times New Roman" w:hAnsi="Times New Roman" w:eastAsia="方正小标宋_GBK"/>
          <w:snapToGrid w:val="0"/>
          <w:sz w:val="38"/>
          <w:szCs w:val="38"/>
        </w:rPr>
        <w:t>建设项目污染物排放量汇总表</w:t>
      </w:r>
    </w:p>
    <w:tbl>
      <w:tblPr>
        <w:tblStyle w:val="25"/>
        <w:tblW w:w="13788"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80"/>
        <w:gridCol w:w="1950"/>
        <w:gridCol w:w="1576"/>
        <w:gridCol w:w="1276"/>
        <w:gridCol w:w="1701"/>
        <w:gridCol w:w="1559"/>
        <w:gridCol w:w="1650"/>
        <w:gridCol w:w="1664"/>
        <w:gridCol w:w="123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180" w:type="dxa"/>
            <w:tcBorders>
              <w:tl2br w:val="single" w:color="auto" w:sz="4" w:space="0"/>
            </w:tcBorders>
            <w:tcMar>
              <w:left w:w="28" w:type="dxa"/>
              <w:right w:w="28" w:type="dxa"/>
            </w:tcMar>
            <w:vAlign w:val="center"/>
          </w:tcPr>
          <w:p>
            <w:pPr>
              <w:pStyle w:val="49"/>
              <w:spacing w:beforeLines="0" w:afterLines="0" w:line="240" w:lineRule="auto"/>
              <w:jc w:val="right"/>
              <w:rPr>
                <w:rFonts w:ascii="Times New Roman" w:hAnsi="Times New Roman" w:eastAsia="黑体"/>
                <w:snapToGrid w:val="0"/>
                <w:spacing w:val="-6"/>
                <w:kern w:val="21"/>
                <w:szCs w:val="21"/>
              </w:rPr>
            </w:pPr>
            <w:r>
              <w:rPr>
                <w:rFonts w:ascii="Times New Roman" w:hAnsi="Times New Roman" w:eastAsia="黑体"/>
                <w:snapToGrid w:val="0"/>
                <w:spacing w:val="-6"/>
                <w:kern w:val="21"/>
                <w:szCs w:val="21"/>
              </w:rPr>
              <w:t>项目</w:t>
            </w:r>
          </w:p>
          <w:p>
            <w:pPr>
              <w:pStyle w:val="49"/>
              <w:spacing w:beforeLines="0" w:afterLines="0" w:line="240" w:lineRule="auto"/>
              <w:jc w:val="left"/>
              <w:rPr>
                <w:rFonts w:ascii="Times New Roman" w:hAnsi="Times New Roman" w:eastAsia="黑体"/>
                <w:snapToGrid w:val="0"/>
                <w:spacing w:val="-6"/>
                <w:kern w:val="21"/>
                <w:szCs w:val="21"/>
              </w:rPr>
            </w:pPr>
            <w:r>
              <w:rPr>
                <w:rFonts w:ascii="Times New Roman" w:hAnsi="Times New Roman" w:eastAsia="黑体"/>
                <w:snapToGrid w:val="0"/>
                <w:spacing w:val="-6"/>
                <w:kern w:val="21"/>
                <w:szCs w:val="21"/>
              </w:rPr>
              <w:t>分类</w:t>
            </w:r>
          </w:p>
        </w:tc>
        <w:tc>
          <w:tcPr>
            <w:tcW w:w="1950" w:type="dxa"/>
            <w:tcMar>
              <w:left w:w="28" w:type="dxa"/>
              <w:right w:w="28" w:type="dxa"/>
            </w:tcMar>
            <w:vAlign w:val="center"/>
          </w:tcPr>
          <w:p>
            <w:pPr>
              <w:pStyle w:val="49"/>
              <w:spacing w:beforeLines="0" w:afterLines="0" w:line="240" w:lineRule="auto"/>
              <w:rPr>
                <w:rFonts w:ascii="Times New Roman" w:hAnsi="Times New Roman" w:eastAsia="黑体"/>
                <w:snapToGrid w:val="0"/>
                <w:spacing w:val="-6"/>
                <w:kern w:val="21"/>
                <w:szCs w:val="21"/>
              </w:rPr>
            </w:pPr>
            <w:r>
              <w:rPr>
                <w:rFonts w:ascii="Times New Roman" w:hAnsi="Times New Roman" w:eastAsia="黑体"/>
                <w:snapToGrid w:val="0"/>
                <w:spacing w:val="-6"/>
                <w:kern w:val="21"/>
                <w:szCs w:val="21"/>
              </w:rPr>
              <w:t>污染物名称</w:t>
            </w:r>
          </w:p>
        </w:tc>
        <w:tc>
          <w:tcPr>
            <w:tcW w:w="1576" w:type="dxa"/>
            <w:tcMar>
              <w:left w:w="28" w:type="dxa"/>
              <w:right w:w="28" w:type="dxa"/>
            </w:tcMar>
            <w:vAlign w:val="center"/>
          </w:tcPr>
          <w:p>
            <w:pPr>
              <w:pStyle w:val="49"/>
              <w:spacing w:beforeLines="0" w:afterLines="0" w:line="240" w:lineRule="auto"/>
              <w:rPr>
                <w:rFonts w:ascii="Times New Roman" w:hAnsi="Times New Roman" w:eastAsia="黑体"/>
                <w:snapToGrid w:val="0"/>
                <w:spacing w:val="-6"/>
                <w:kern w:val="21"/>
                <w:szCs w:val="21"/>
              </w:rPr>
            </w:pPr>
            <w:r>
              <w:rPr>
                <w:rFonts w:ascii="Times New Roman" w:hAnsi="Times New Roman" w:eastAsia="黑体"/>
                <w:snapToGrid w:val="0"/>
                <w:spacing w:val="-6"/>
                <w:kern w:val="21"/>
                <w:szCs w:val="21"/>
              </w:rPr>
              <w:t>现有工程</w:t>
            </w:r>
          </w:p>
          <w:p>
            <w:pPr>
              <w:pStyle w:val="49"/>
              <w:spacing w:beforeLines="0" w:afterLines="0" w:line="240" w:lineRule="auto"/>
              <w:rPr>
                <w:rFonts w:ascii="Times New Roman" w:hAnsi="Times New Roman" w:eastAsia="黑体"/>
                <w:snapToGrid w:val="0"/>
                <w:spacing w:val="-6"/>
                <w:kern w:val="21"/>
                <w:szCs w:val="21"/>
              </w:rPr>
            </w:pPr>
            <w:r>
              <w:rPr>
                <w:rFonts w:ascii="Times New Roman" w:hAnsi="Times New Roman" w:eastAsia="黑体"/>
                <w:snapToGrid w:val="0"/>
                <w:spacing w:val="-6"/>
                <w:kern w:val="21"/>
                <w:szCs w:val="21"/>
              </w:rPr>
              <w:t>排放量（固体废物产生量）</w:t>
            </w:r>
            <w:r>
              <w:rPr>
                <w:rFonts w:ascii="Times New Roman" w:hAnsi="Times New Roman" w:eastAsia="黑体"/>
                <w:snapToGrid w:val="0"/>
                <w:spacing w:val="-6"/>
                <w:kern w:val="21"/>
                <w:szCs w:val="21"/>
              </w:rPr>
              <w:fldChar w:fldCharType="begin"/>
            </w:r>
            <w:r>
              <w:rPr>
                <w:rFonts w:ascii="Times New Roman" w:hAnsi="Times New Roman" w:eastAsia="黑体"/>
                <w:snapToGrid w:val="0"/>
                <w:spacing w:val="-6"/>
                <w:kern w:val="21"/>
                <w:szCs w:val="21"/>
              </w:rPr>
              <w:instrText xml:space="preserve"> = 1 \* GB3 \* MERGEFORMAT </w:instrText>
            </w:r>
            <w:r>
              <w:rPr>
                <w:rFonts w:ascii="Times New Roman" w:hAnsi="Times New Roman" w:eastAsia="黑体"/>
                <w:snapToGrid w:val="0"/>
                <w:spacing w:val="-6"/>
                <w:kern w:val="21"/>
                <w:szCs w:val="21"/>
              </w:rPr>
              <w:fldChar w:fldCharType="separate"/>
            </w:r>
            <w:r>
              <w:rPr>
                <w:rFonts w:hint="eastAsia" w:hAnsi="宋体" w:cs="宋体"/>
                <w:kern w:val="2"/>
                <w:szCs w:val="21"/>
              </w:rPr>
              <w:t>①</w:t>
            </w:r>
            <w:r>
              <w:rPr>
                <w:rFonts w:ascii="Times New Roman" w:hAnsi="Times New Roman" w:eastAsia="黑体"/>
                <w:snapToGrid w:val="0"/>
                <w:spacing w:val="-6"/>
                <w:kern w:val="21"/>
                <w:szCs w:val="21"/>
              </w:rPr>
              <w:fldChar w:fldCharType="end"/>
            </w:r>
          </w:p>
        </w:tc>
        <w:tc>
          <w:tcPr>
            <w:tcW w:w="1276" w:type="dxa"/>
            <w:tcMar>
              <w:left w:w="28" w:type="dxa"/>
              <w:right w:w="28" w:type="dxa"/>
            </w:tcMar>
            <w:vAlign w:val="center"/>
          </w:tcPr>
          <w:p>
            <w:pPr>
              <w:pStyle w:val="49"/>
              <w:spacing w:beforeLines="0" w:afterLines="0" w:line="240" w:lineRule="auto"/>
              <w:rPr>
                <w:rFonts w:ascii="Times New Roman" w:hAnsi="Times New Roman" w:eastAsia="黑体"/>
                <w:snapToGrid w:val="0"/>
                <w:spacing w:val="-6"/>
                <w:kern w:val="21"/>
                <w:szCs w:val="21"/>
              </w:rPr>
            </w:pPr>
            <w:r>
              <w:rPr>
                <w:rFonts w:ascii="Times New Roman" w:hAnsi="Times New Roman" w:eastAsia="黑体"/>
                <w:snapToGrid w:val="0"/>
                <w:spacing w:val="-6"/>
                <w:kern w:val="21"/>
                <w:szCs w:val="21"/>
              </w:rPr>
              <w:t>现有工程</w:t>
            </w:r>
          </w:p>
          <w:p>
            <w:pPr>
              <w:pStyle w:val="49"/>
              <w:spacing w:beforeLines="0" w:afterLines="0" w:line="240" w:lineRule="auto"/>
              <w:rPr>
                <w:rFonts w:ascii="Times New Roman" w:hAnsi="Times New Roman" w:eastAsia="黑体"/>
                <w:snapToGrid w:val="0"/>
                <w:spacing w:val="-6"/>
                <w:kern w:val="21"/>
                <w:szCs w:val="21"/>
              </w:rPr>
            </w:pPr>
            <w:r>
              <w:rPr>
                <w:rFonts w:ascii="Times New Roman" w:hAnsi="Times New Roman" w:eastAsia="黑体"/>
                <w:snapToGrid w:val="0"/>
                <w:spacing w:val="-6"/>
                <w:kern w:val="21"/>
                <w:szCs w:val="21"/>
              </w:rPr>
              <w:t>许可排放量</w:t>
            </w:r>
          </w:p>
          <w:p>
            <w:pPr>
              <w:pStyle w:val="49"/>
              <w:spacing w:beforeLines="0" w:afterLines="0"/>
              <w:rPr>
                <w:rFonts w:ascii="Times New Roman" w:hAnsi="Times New Roman" w:eastAsia="黑体"/>
                <w:snapToGrid w:val="0"/>
                <w:spacing w:val="-6"/>
                <w:kern w:val="21"/>
                <w:szCs w:val="21"/>
              </w:rPr>
            </w:pPr>
            <w:r>
              <w:rPr>
                <w:rFonts w:ascii="Times New Roman" w:hAnsi="Times New Roman" w:eastAsia="黑体"/>
                <w:snapToGrid w:val="0"/>
                <w:spacing w:val="-6"/>
                <w:kern w:val="21"/>
                <w:szCs w:val="21"/>
              </w:rPr>
              <w:fldChar w:fldCharType="begin"/>
            </w:r>
            <w:r>
              <w:rPr>
                <w:rFonts w:ascii="Times New Roman" w:hAnsi="Times New Roman" w:eastAsia="黑体"/>
                <w:snapToGrid w:val="0"/>
                <w:spacing w:val="-6"/>
                <w:kern w:val="21"/>
                <w:szCs w:val="21"/>
              </w:rPr>
              <w:instrText xml:space="preserve"> = 2 \* GB3 \* MERGEFORMAT </w:instrText>
            </w:r>
            <w:r>
              <w:rPr>
                <w:rFonts w:ascii="Times New Roman" w:hAnsi="Times New Roman" w:eastAsia="黑体"/>
                <w:snapToGrid w:val="0"/>
                <w:spacing w:val="-6"/>
                <w:kern w:val="21"/>
                <w:szCs w:val="21"/>
              </w:rPr>
              <w:fldChar w:fldCharType="separate"/>
            </w:r>
            <w:r>
              <w:rPr>
                <w:rFonts w:hint="eastAsia" w:hAnsi="宋体" w:cs="宋体"/>
                <w:snapToGrid w:val="0"/>
                <w:spacing w:val="-6"/>
                <w:kern w:val="21"/>
                <w:szCs w:val="21"/>
              </w:rPr>
              <w:t>②</w:t>
            </w:r>
            <w:r>
              <w:rPr>
                <w:rFonts w:ascii="Times New Roman" w:hAnsi="Times New Roman" w:eastAsia="黑体"/>
                <w:snapToGrid w:val="0"/>
                <w:spacing w:val="-6"/>
                <w:kern w:val="21"/>
                <w:szCs w:val="21"/>
              </w:rPr>
              <w:fldChar w:fldCharType="end"/>
            </w:r>
          </w:p>
        </w:tc>
        <w:tc>
          <w:tcPr>
            <w:tcW w:w="1701" w:type="dxa"/>
            <w:tcMar>
              <w:left w:w="28" w:type="dxa"/>
              <w:right w:w="28" w:type="dxa"/>
            </w:tcMar>
            <w:vAlign w:val="center"/>
          </w:tcPr>
          <w:p>
            <w:pPr>
              <w:pStyle w:val="49"/>
              <w:spacing w:beforeLines="0" w:afterLines="0" w:line="240" w:lineRule="auto"/>
              <w:rPr>
                <w:rFonts w:ascii="Times New Roman" w:hAnsi="Times New Roman" w:eastAsia="黑体"/>
                <w:snapToGrid w:val="0"/>
                <w:spacing w:val="-6"/>
                <w:kern w:val="21"/>
                <w:szCs w:val="21"/>
              </w:rPr>
            </w:pPr>
            <w:r>
              <w:rPr>
                <w:rFonts w:ascii="Times New Roman" w:hAnsi="Times New Roman" w:eastAsia="黑体"/>
                <w:snapToGrid w:val="0"/>
                <w:spacing w:val="-6"/>
                <w:kern w:val="21"/>
                <w:szCs w:val="21"/>
              </w:rPr>
              <w:t>在建工程</w:t>
            </w:r>
          </w:p>
          <w:p>
            <w:pPr>
              <w:pStyle w:val="49"/>
              <w:spacing w:beforeLines="0" w:afterLines="0" w:line="240" w:lineRule="auto"/>
              <w:rPr>
                <w:rFonts w:ascii="Times New Roman" w:hAnsi="Times New Roman" w:eastAsia="黑体"/>
                <w:snapToGrid w:val="0"/>
                <w:spacing w:val="-6"/>
                <w:kern w:val="21"/>
                <w:szCs w:val="21"/>
              </w:rPr>
            </w:pPr>
            <w:r>
              <w:rPr>
                <w:rFonts w:ascii="Times New Roman" w:hAnsi="Times New Roman" w:eastAsia="黑体"/>
                <w:snapToGrid w:val="0"/>
                <w:spacing w:val="-6"/>
                <w:kern w:val="21"/>
                <w:szCs w:val="21"/>
              </w:rPr>
              <w:t>排放量（固体废物产生量）</w:t>
            </w:r>
            <w:r>
              <w:rPr>
                <w:rFonts w:ascii="Times New Roman" w:hAnsi="Times New Roman" w:eastAsia="黑体"/>
                <w:snapToGrid w:val="0"/>
                <w:spacing w:val="-6"/>
                <w:kern w:val="21"/>
                <w:szCs w:val="21"/>
              </w:rPr>
              <w:fldChar w:fldCharType="begin"/>
            </w:r>
            <w:r>
              <w:rPr>
                <w:rFonts w:ascii="Times New Roman" w:hAnsi="Times New Roman" w:eastAsia="黑体"/>
                <w:snapToGrid w:val="0"/>
                <w:spacing w:val="-6"/>
                <w:kern w:val="21"/>
                <w:szCs w:val="21"/>
              </w:rPr>
              <w:instrText xml:space="preserve"> = 3 \* GB3 \* MERGEFORMAT </w:instrText>
            </w:r>
            <w:r>
              <w:rPr>
                <w:rFonts w:ascii="Times New Roman" w:hAnsi="Times New Roman" w:eastAsia="黑体"/>
                <w:snapToGrid w:val="0"/>
                <w:spacing w:val="-6"/>
                <w:kern w:val="21"/>
                <w:szCs w:val="21"/>
              </w:rPr>
              <w:fldChar w:fldCharType="separate"/>
            </w:r>
            <w:r>
              <w:rPr>
                <w:rFonts w:hint="eastAsia" w:hAnsi="宋体" w:cs="宋体"/>
                <w:kern w:val="2"/>
                <w:szCs w:val="21"/>
              </w:rPr>
              <w:t>③</w:t>
            </w:r>
            <w:r>
              <w:rPr>
                <w:rFonts w:ascii="Times New Roman" w:hAnsi="Times New Roman" w:eastAsia="黑体"/>
                <w:snapToGrid w:val="0"/>
                <w:spacing w:val="-6"/>
                <w:kern w:val="21"/>
                <w:szCs w:val="21"/>
              </w:rPr>
              <w:fldChar w:fldCharType="end"/>
            </w:r>
          </w:p>
        </w:tc>
        <w:tc>
          <w:tcPr>
            <w:tcW w:w="1559" w:type="dxa"/>
            <w:tcMar>
              <w:left w:w="28" w:type="dxa"/>
              <w:right w:w="28" w:type="dxa"/>
            </w:tcMar>
            <w:vAlign w:val="center"/>
          </w:tcPr>
          <w:p>
            <w:pPr>
              <w:pStyle w:val="49"/>
              <w:spacing w:beforeLines="0" w:afterLines="0" w:line="240" w:lineRule="auto"/>
              <w:rPr>
                <w:rFonts w:ascii="Times New Roman" w:hAnsi="Times New Roman" w:eastAsia="黑体"/>
                <w:snapToGrid w:val="0"/>
                <w:spacing w:val="-6"/>
                <w:kern w:val="21"/>
                <w:szCs w:val="21"/>
              </w:rPr>
            </w:pPr>
            <w:r>
              <w:rPr>
                <w:rFonts w:ascii="Times New Roman" w:hAnsi="Times New Roman" w:eastAsia="黑体"/>
                <w:snapToGrid w:val="0"/>
                <w:spacing w:val="-6"/>
                <w:kern w:val="21"/>
                <w:szCs w:val="21"/>
              </w:rPr>
              <w:t>本项目</w:t>
            </w:r>
          </w:p>
          <w:p>
            <w:pPr>
              <w:pStyle w:val="49"/>
              <w:spacing w:beforeLines="0" w:afterLines="0" w:line="240" w:lineRule="auto"/>
              <w:rPr>
                <w:rFonts w:ascii="Times New Roman" w:hAnsi="Times New Roman" w:eastAsia="黑体"/>
                <w:snapToGrid w:val="0"/>
                <w:spacing w:val="-6"/>
                <w:kern w:val="21"/>
                <w:szCs w:val="21"/>
              </w:rPr>
            </w:pPr>
            <w:r>
              <w:rPr>
                <w:rFonts w:ascii="Times New Roman" w:hAnsi="Times New Roman" w:eastAsia="黑体"/>
                <w:snapToGrid w:val="0"/>
                <w:spacing w:val="-6"/>
                <w:kern w:val="21"/>
                <w:szCs w:val="21"/>
              </w:rPr>
              <w:t>排放量（固体废物产生量）</w:t>
            </w:r>
            <w:r>
              <w:rPr>
                <w:rFonts w:ascii="Times New Roman" w:hAnsi="Times New Roman" w:eastAsia="黑体"/>
                <w:snapToGrid w:val="0"/>
                <w:spacing w:val="-6"/>
                <w:kern w:val="21"/>
                <w:szCs w:val="21"/>
              </w:rPr>
              <w:fldChar w:fldCharType="begin"/>
            </w:r>
            <w:r>
              <w:rPr>
                <w:rFonts w:ascii="Times New Roman" w:hAnsi="Times New Roman" w:eastAsia="黑体"/>
                <w:snapToGrid w:val="0"/>
                <w:spacing w:val="-6"/>
                <w:kern w:val="21"/>
                <w:szCs w:val="21"/>
              </w:rPr>
              <w:instrText xml:space="preserve"> = 4 \* GB3 \* MERGEFORMAT </w:instrText>
            </w:r>
            <w:r>
              <w:rPr>
                <w:rFonts w:ascii="Times New Roman" w:hAnsi="Times New Roman" w:eastAsia="黑体"/>
                <w:snapToGrid w:val="0"/>
                <w:spacing w:val="-6"/>
                <w:kern w:val="21"/>
                <w:szCs w:val="21"/>
              </w:rPr>
              <w:fldChar w:fldCharType="separate"/>
            </w:r>
            <w:r>
              <w:rPr>
                <w:rFonts w:hint="eastAsia" w:hAnsi="宋体" w:cs="宋体"/>
                <w:kern w:val="2"/>
                <w:szCs w:val="21"/>
              </w:rPr>
              <w:t>④</w:t>
            </w:r>
            <w:r>
              <w:rPr>
                <w:rFonts w:ascii="Times New Roman" w:hAnsi="Times New Roman" w:eastAsia="黑体"/>
                <w:snapToGrid w:val="0"/>
                <w:spacing w:val="-6"/>
                <w:kern w:val="21"/>
                <w:szCs w:val="21"/>
              </w:rPr>
              <w:fldChar w:fldCharType="end"/>
            </w:r>
          </w:p>
        </w:tc>
        <w:tc>
          <w:tcPr>
            <w:tcW w:w="1650" w:type="dxa"/>
            <w:tcMar>
              <w:left w:w="28" w:type="dxa"/>
              <w:right w:w="28" w:type="dxa"/>
            </w:tcMar>
            <w:vAlign w:val="center"/>
          </w:tcPr>
          <w:p>
            <w:pPr>
              <w:pStyle w:val="49"/>
              <w:spacing w:beforeLines="0" w:afterLines="0" w:line="240" w:lineRule="auto"/>
              <w:rPr>
                <w:rFonts w:ascii="Times New Roman" w:hAnsi="Times New Roman" w:eastAsia="黑体"/>
                <w:snapToGrid w:val="0"/>
                <w:spacing w:val="-16"/>
                <w:kern w:val="21"/>
                <w:szCs w:val="21"/>
              </w:rPr>
            </w:pPr>
            <w:r>
              <w:rPr>
                <w:rFonts w:ascii="Times New Roman" w:hAnsi="Times New Roman" w:eastAsia="黑体"/>
                <w:snapToGrid w:val="0"/>
                <w:spacing w:val="-16"/>
                <w:kern w:val="21"/>
                <w:szCs w:val="21"/>
              </w:rPr>
              <w:t>以新带老削减量</w:t>
            </w:r>
          </w:p>
          <w:p>
            <w:pPr>
              <w:pStyle w:val="49"/>
              <w:spacing w:beforeLines="0" w:afterLines="0" w:line="240" w:lineRule="auto"/>
              <w:rPr>
                <w:rFonts w:ascii="Times New Roman" w:hAnsi="Times New Roman" w:eastAsia="黑体"/>
                <w:snapToGrid w:val="0"/>
                <w:spacing w:val="-16"/>
                <w:kern w:val="21"/>
                <w:szCs w:val="21"/>
              </w:rPr>
            </w:pPr>
            <w:r>
              <w:rPr>
                <w:rFonts w:ascii="Times New Roman" w:hAnsi="Times New Roman" w:eastAsia="黑体"/>
                <w:snapToGrid w:val="0"/>
                <w:spacing w:val="-16"/>
                <w:kern w:val="21"/>
                <w:szCs w:val="21"/>
              </w:rPr>
              <w:t>（新建项目不填）</w:t>
            </w:r>
            <w:r>
              <w:rPr>
                <w:rFonts w:ascii="Times New Roman" w:hAnsi="Times New Roman" w:eastAsia="黑体"/>
                <w:snapToGrid w:val="0"/>
                <w:spacing w:val="-16"/>
                <w:kern w:val="21"/>
                <w:szCs w:val="21"/>
              </w:rPr>
              <w:fldChar w:fldCharType="begin"/>
            </w:r>
            <w:r>
              <w:rPr>
                <w:rFonts w:ascii="Times New Roman" w:hAnsi="Times New Roman" w:eastAsia="黑体"/>
                <w:snapToGrid w:val="0"/>
                <w:spacing w:val="-16"/>
                <w:kern w:val="21"/>
                <w:szCs w:val="21"/>
              </w:rPr>
              <w:instrText xml:space="preserve"> = 5 \* GB3 \* MERGEFORMAT </w:instrText>
            </w:r>
            <w:r>
              <w:rPr>
                <w:rFonts w:ascii="Times New Roman" w:hAnsi="Times New Roman" w:eastAsia="黑体"/>
                <w:snapToGrid w:val="0"/>
                <w:spacing w:val="-16"/>
                <w:kern w:val="21"/>
                <w:szCs w:val="21"/>
              </w:rPr>
              <w:fldChar w:fldCharType="separate"/>
            </w:r>
            <w:r>
              <w:rPr>
                <w:rFonts w:hint="eastAsia" w:hAnsi="宋体" w:cs="宋体"/>
                <w:kern w:val="2"/>
                <w:szCs w:val="21"/>
              </w:rPr>
              <w:t>⑤</w:t>
            </w:r>
            <w:r>
              <w:rPr>
                <w:rFonts w:ascii="Times New Roman" w:hAnsi="Times New Roman" w:eastAsia="黑体"/>
                <w:snapToGrid w:val="0"/>
                <w:spacing w:val="-16"/>
                <w:kern w:val="21"/>
                <w:szCs w:val="21"/>
              </w:rPr>
              <w:fldChar w:fldCharType="end"/>
            </w:r>
          </w:p>
        </w:tc>
        <w:tc>
          <w:tcPr>
            <w:tcW w:w="1664" w:type="dxa"/>
            <w:tcMar>
              <w:left w:w="28" w:type="dxa"/>
              <w:right w:w="28" w:type="dxa"/>
            </w:tcMar>
            <w:vAlign w:val="center"/>
          </w:tcPr>
          <w:p>
            <w:pPr>
              <w:pStyle w:val="49"/>
              <w:spacing w:beforeLines="0" w:afterLines="0" w:line="240" w:lineRule="auto"/>
              <w:rPr>
                <w:rFonts w:ascii="Times New Roman" w:hAnsi="Times New Roman" w:eastAsia="黑体"/>
                <w:snapToGrid w:val="0"/>
                <w:spacing w:val="-16"/>
                <w:kern w:val="21"/>
                <w:szCs w:val="21"/>
              </w:rPr>
            </w:pPr>
            <w:r>
              <w:rPr>
                <w:rFonts w:ascii="Times New Roman" w:hAnsi="Times New Roman" w:eastAsia="黑体"/>
                <w:snapToGrid w:val="0"/>
                <w:spacing w:val="-16"/>
                <w:kern w:val="21"/>
                <w:szCs w:val="21"/>
              </w:rPr>
              <w:t>本项目建成后</w:t>
            </w:r>
          </w:p>
          <w:p>
            <w:pPr>
              <w:pStyle w:val="49"/>
              <w:spacing w:beforeLines="0" w:afterLines="0" w:line="240" w:lineRule="auto"/>
              <w:rPr>
                <w:rFonts w:ascii="Times New Roman" w:hAnsi="Times New Roman" w:eastAsia="黑体"/>
                <w:snapToGrid w:val="0"/>
                <w:spacing w:val="-16"/>
                <w:kern w:val="21"/>
                <w:szCs w:val="21"/>
              </w:rPr>
            </w:pPr>
            <w:r>
              <w:rPr>
                <w:rFonts w:ascii="Times New Roman" w:hAnsi="Times New Roman" w:eastAsia="黑体"/>
                <w:snapToGrid w:val="0"/>
                <w:spacing w:val="-16"/>
                <w:kern w:val="21"/>
                <w:szCs w:val="21"/>
              </w:rPr>
              <w:t>全厂排放量（固体废物产生量）</w:t>
            </w:r>
            <w:r>
              <w:rPr>
                <w:rFonts w:ascii="Times New Roman" w:hAnsi="Times New Roman" w:eastAsia="黑体"/>
                <w:snapToGrid w:val="0"/>
                <w:spacing w:val="-16"/>
                <w:kern w:val="21"/>
                <w:szCs w:val="21"/>
              </w:rPr>
              <w:fldChar w:fldCharType="begin"/>
            </w:r>
            <w:r>
              <w:rPr>
                <w:rFonts w:ascii="Times New Roman" w:hAnsi="Times New Roman" w:eastAsia="黑体"/>
                <w:snapToGrid w:val="0"/>
                <w:spacing w:val="-16"/>
                <w:kern w:val="21"/>
                <w:szCs w:val="21"/>
              </w:rPr>
              <w:instrText xml:space="preserve"> = 6 \* GB3 \* MERGEFORMAT </w:instrText>
            </w:r>
            <w:r>
              <w:rPr>
                <w:rFonts w:ascii="Times New Roman" w:hAnsi="Times New Roman" w:eastAsia="黑体"/>
                <w:snapToGrid w:val="0"/>
                <w:spacing w:val="-16"/>
                <w:kern w:val="21"/>
                <w:szCs w:val="21"/>
              </w:rPr>
              <w:fldChar w:fldCharType="separate"/>
            </w:r>
            <w:r>
              <w:rPr>
                <w:rFonts w:hint="eastAsia" w:hAnsi="宋体" w:cs="宋体"/>
                <w:kern w:val="2"/>
                <w:szCs w:val="21"/>
              </w:rPr>
              <w:t>⑥</w:t>
            </w:r>
            <w:r>
              <w:rPr>
                <w:rFonts w:ascii="Times New Roman" w:hAnsi="Times New Roman" w:eastAsia="黑体"/>
                <w:snapToGrid w:val="0"/>
                <w:spacing w:val="-16"/>
                <w:kern w:val="21"/>
                <w:szCs w:val="21"/>
              </w:rPr>
              <w:fldChar w:fldCharType="end"/>
            </w:r>
          </w:p>
        </w:tc>
        <w:tc>
          <w:tcPr>
            <w:tcW w:w="1232" w:type="dxa"/>
            <w:tcMar>
              <w:left w:w="28" w:type="dxa"/>
              <w:right w:w="28" w:type="dxa"/>
            </w:tcMar>
            <w:vAlign w:val="center"/>
          </w:tcPr>
          <w:p>
            <w:pPr>
              <w:pStyle w:val="49"/>
              <w:spacing w:beforeLines="0" w:afterLines="0" w:line="240" w:lineRule="auto"/>
              <w:rPr>
                <w:rFonts w:ascii="Times New Roman" w:hAnsi="Times New Roman" w:eastAsia="黑体"/>
                <w:snapToGrid w:val="0"/>
                <w:spacing w:val="-6"/>
                <w:kern w:val="21"/>
                <w:szCs w:val="21"/>
              </w:rPr>
            </w:pPr>
            <w:r>
              <w:rPr>
                <w:rFonts w:hint="eastAsia" w:ascii="Times New Roman" w:hAnsi="Times New Roman" w:eastAsia="黑体"/>
                <w:snapToGrid w:val="0"/>
                <w:spacing w:val="-6"/>
                <w:kern w:val="21"/>
                <w:szCs w:val="21"/>
              </w:rPr>
              <w:t>变化量</w:t>
            </w:r>
          </w:p>
          <w:p>
            <w:pPr>
              <w:pStyle w:val="49"/>
              <w:spacing w:beforeLines="0" w:afterLines="0" w:line="240" w:lineRule="auto"/>
              <w:rPr>
                <w:rFonts w:ascii="Times New Roman" w:hAnsi="Times New Roman" w:eastAsia="黑体"/>
                <w:snapToGrid w:val="0"/>
                <w:spacing w:val="-6"/>
                <w:kern w:val="21"/>
                <w:szCs w:val="21"/>
              </w:rPr>
            </w:pPr>
            <w:r>
              <w:rPr>
                <w:rFonts w:hint="eastAsia" w:ascii="Times New Roman" w:hAnsi="Times New Roman" w:eastAsia="黑体"/>
                <w:snapToGrid w:val="0"/>
                <w:spacing w:val="-6"/>
                <w:kern w:val="21"/>
                <w:szCs w:val="21"/>
              </w:rPr>
              <w:t>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180" w:type="dxa"/>
            <w:vAlign w:val="center"/>
          </w:tcPr>
          <w:p>
            <w:pPr>
              <w:pStyle w:val="49"/>
              <w:spacing w:beforeLines="0" w:afterLines="0" w:line="240" w:lineRule="auto"/>
              <w:rPr>
                <w:rFonts w:ascii="Times New Roman" w:hAnsi="Times New Roman"/>
                <w:snapToGrid w:val="0"/>
                <w:kern w:val="21"/>
                <w:sz w:val="21"/>
                <w:szCs w:val="21"/>
              </w:rPr>
            </w:pPr>
            <w:r>
              <w:rPr>
                <w:rFonts w:ascii="Times New Roman" w:hAnsi="Times New Roman"/>
                <w:snapToGrid w:val="0"/>
                <w:kern w:val="21"/>
                <w:sz w:val="21"/>
                <w:szCs w:val="21"/>
              </w:rPr>
              <w:t>废气</w:t>
            </w:r>
          </w:p>
        </w:tc>
        <w:tc>
          <w:tcPr>
            <w:tcW w:w="1950" w:type="dxa"/>
            <w:vAlign w:val="center"/>
          </w:tcPr>
          <w:p>
            <w:pPr>
              <w:pStyle w:val="49"/>
              <w:spacing w:beforeLines="0" w:afterLines="0" w:line="240" w:lineRule="auto"/>
              <w:rPr>
                <w:rFonts w:ascii="Times New Roman" w:hAnsi="Times New Roman"/>
                <w:snapToGrid w:val="0"/>
                <w:kern w:val="21"/>
                <w:sz w:val="21"/>
                <w:szCs w:val="21"/>
              </w:rPr>
            </w:pPr>
            <w:r>
              <w:rPr>
                <w:rFonts w:ascii="Times New Roman" w:hAnsi="Times New Roman"/>
                <w:snapToGrid w:val="0"/>
                <w:kern w:val="21"/>
                <w:sz w:val="21"/>
                <w:szCs w:val="21"/>
              </w:rPr>
              <w:t>颗粒物（t/a）</w:t>
            </w:r>
          </w:p>
        </w:tc>
        <w:tc>
          <w:tcPr>
            <w:tcW w:w="1576" w:type="dxa"/>
            <w:vAlign w:val="center"/>
          </w:tcPr>
          <w:p>
            <w:pPr>
              <w:jc w:val="center"/>
              <w:rPr>
                <w:rFonts w:ascii="Times New Roman" w:hAnsi="Times New Roman"/>
                <w:snapToGrid w:val="0"/>
                <w:kern w:val="21"/>
                <w:szCs w:val="21"/>
              </w:rPr>
            </w:pPr>
          </w:p>
        </w:tc>
        <w:tc>
          <w:tcPr>
            <w:tcW w:w="1276" w:type="dxa"/>
            <w:vAlign w:val="center"/>
          </w:tcPr>
          <w:p>
            <w:pPr>
              <w:pStyle w:val="49"/>
              <w:spacing w:beforeLines="0" w:afterLines="0" w:line="240" w:lineRule="auto"/>
              <w:rPr>
                <w:rFonts w:ascii="Times New Roman" w:hAnsi="Times New Roman"/>
                <w:snapToGrid w:val="0"/>
                <w:kern w:val="21"/>
                <w:szCs w:val="21"/>
              </w:rPr>
            </w:pPr>
          </w:p>
        </w:tc>
        <w:tc>
          <w:tcPr>
            <w:tcW w:w="1701" w:type="dxa"/>
            <w:vAlign w:val="center"/>
          </w:tcPr>
          <w:p>
            <w:pPr>
              <w:pStyle w:val="49"/>
              <w:spacing w:beforeLines="0" w:afterLines="0" w:line="240" w:lineRule="auto"/>
              <w:rPr>
                <w:rFonts w:ascii="Times New Roman" w:hAnsi="Times New Roman"/>
                <w:snapToGrid w:val="0"/>
                <w:kern w:val="21"/>
                <w:szCs w:val="21"/>
              </w:rPr>
            </w:pPr>
          </w:p>
        </w:tc>
        <w:tc>
          <w:tcPr>
            <w:tcW w:w="1559" w:type="dxa"/>
            <w:vAlign w:val="center"/>
          </w:tcPr>
          <w:p>
            <w:pPr>
              <w:pStyle w:val="49"/>
              <w:spacing w:beforeLines="0" w:afterLines="0" w:line="240" w:lineRule="auto"/>
              <w:rPr>
                <w:rFonts w:ascii="Times New Roman" w:hAnsi="Times New Roman"/>
                <w:snapToGrid w:val="0"/>
                <w:kern w:val="21"/>
                <w:szCs w:val="21"/>
              </w:rPr>
            </w:pPr>
            <w:r>
              <w:rPr>
                <w:rFonts w:hint="eastAsia" w:ascii="Times New Roman" w:hAnsi="Times New Roman"/>
                <w:snapToGrid w:val="0"/>
                <w:kern w:val="21"/>
                <w:szCs w:val="21"/>
              </w:rPr>
              <w:t>4.31</w:t>
            </w:r>
          </w:p>
        </w:tc>
        <w:tc>
          <w:tcPr>
            <w:tcW w:w="1650" w:type="dxa"/>
            <w:vAlign w:val="center"/>
          </w:tcPr>
          <w:p>
            <w:pPr>
              <w:pStyle w:val="49"/>
              <w:spacing w:beforeLines="0" w:afterLines="0" w:line="240" w:lineRule="auto"/>
              <w:rPr>
                <w:rFonts w:ascii="Times New Roman" w:hAnsi="Times New Roman"/>
                <w:snapToGrid w:val="0"/>
                <w:kern w:val="21"/>
                <w:szCs w:val="21"/>
              </w:rPr>
            </w:pPr>
          </w:p>
        </w:tc>
        <w:tc>
          <w:tcPr>
            <w:tcW w:w="1664" w:type="dxa"/>
            <w:vAlign w:val="center"/>
          </w:tcPr>
          <w:p>
            <w:pPr>
              <w:pStyle w:val="49"/>
              <w:spacing w:beforeLines="0" w:afterLines="0" w:line="240" w:lineRule="auto"/>
              <w:rPr>
                <w:rFonts w:ascii="Times New Roman" w:hAnsi="Times New Roman"/>
                <w:snapToGrid w:val="0"/>
                <w:kern w:val="21"/>
                <w:szCs w:val="21"/>
              </w:rPr>
            </w:pPr>
            <w:r>
              <w:rPr>
                <w:rFonts w:hint="eastAsia" w:ascii="Times New Roman" w:hAnsi="Times New Roman"/>
                <w:snapToGrid w:val="0"/>
                <w:kern w:val="21"/>
                <w:szCs w:val="21"/>
              </w:rPr>
              <w:t>4.31</w:t>
            </w:r>
          </w:p>
        </w:tc>
        <w:tc>
          <w:tcPr>
            <w:tcW w:w="1232" w:type="dxa"/>
            <w:vAlign w:val="center"/>
          </w:tcPr>
          <w:p>
            <w:pPr>
              <w:pStyle w:val="49"/>
              <w:spacing w:beforeLines="0" w:afterLines="0" w:line="240" w:lineRule="auto"/>
              <w:rPr>
                <w:rFonts w:ascii="Times New Roman" w:hAnsi="Times New Roman"/>
                <w:snapToGrid w:val="0"/>
                <w:kern w:val="21"/>
                <w:szCs w:val="21"/>
              </w:rPr>
            </w:pPr>
            <w:r>
              <w:rPr>
                <w:rFonts w:ascii="Times New Roman" w:hAnsi="Times New Roman"/>
                <w:snapToGrid w:val="0"/>
                <w:kern w:val="21"/>
                <w:szCs w:val="21"/>
              </w:rPr>
              <w:t>+</w:t>
            </w:r>
            <w:r>
              <w:rPr>
                <w:rFonts w:hint="eastAsia" w:ascii="Times New Roman" w:hAnsi="Times New Roman"/>
                <w:snapToGrid w:val="0"/>
                <w:kern w:val="21"/>
                <w:szCs w:val="21"/>
              </w:rPr>
              <w:t xml:space="preserve">4.31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180" w:type="dxa"/>
            <w:vMerge w:val="restart"/>
            <w:vAlign w:val="center"/>
          </w:tcPr>
          <w:p>
            <w:pPr>
              <w:pStyle w:val="49"/>
              <w:spacing w:beforeLines="0" w:afterLines="0" w:line="240" w:lineRule="auto"/>
              <w:rPr>
                <w:rFonts w:ascii="Times New Roman" w:hAnsi="Times New Roman"/>
                <w:snapToGrid w:val="0"/>
                <w:kern w:val="21"/>
                <w:sz w:val="21"/>
                <w:szCs w:val="21"/>
              </w:rPr>
            </w:pPr>
            <w:r>
              <w:rPr>
                <w:rFonts w:ascii="Times New Roman" w:hAnsi="Times New Roman"/>
                <w:snapToGrid w:val="0"/>
                <w:kern w:val="21"/>
                <w:sz w:val="21"/>
                <w:szCs w:val="21"/>
              </w:rPr>
              <w:t>一般工业</w:t>
            </w:r>
          </w:p>
          <w:p>
            <w:pPr>
              <w:pStyle w:val="49"/>
              <w:spacing w:beforeLines="0" w:afterLines="0" w:line="240" w:lineRule="auto"/>
              <w:rPr>
                <w:rFonts w:ascii="Times New Roman" w:hAnsi="Times New Roman"/>
                <w:snapToGrid w:val="0"/>
                <w:kern w:val="21"/>
                <w:sz w:val="21"/>
                <w:szCs w:val="21"/>
              </w:rPr>
            </w:pPr>
            <w:r>
              <w:rPr>
                <w:rFonts w:ascii="Times New Roman" w:hAnsi="Times New Roman"/>
                <w:snapToGrid w:val="0"/>
                <w:kern w:val="21"/>
                <w:sz w:val="21"/>
                <w:szCs w:val="21"/>
              </w:rPr>
              <w:t>固体废物</w:t>
            </w:r>
          </w:p>
        </w:tc>
        <w:tc>
          <w:tcPr>
            <w:tcW w:w="1950" w:type="dxa"/>
            <w:vAlign w:val="center"/>
          </w:tcPr>
          <w:p>
            <w:pPr>
              <w:pStyle w:val="49"/>
              <w:spacing w:beforeLines="0" w:afterLines="0" w:line="240" w:lineRule="auto"/>
              <w:rPr>
                <w:rFonts w:ascii="Times New Roman" w:hAnsi="Times New Roman"/>
                <w:snapToGrid w:val="0"/>
                <w:kern w:val="21"/>
                <w:sz w:val="21"/>
                <w:szCs w:val="21"/>
              </w:rPr>
            </w:pPr>
            <w:r>
              <w:rPr>
                <w:rFonts w:ascii="Times New Roman" w:hAnsi="Times New Roman"/>
                <w:snapToGrid w:val="0"/>
                <w:kern w:val="21"/>
                <w:sz w:val="21"/>
                <w:szCs w:val="21"/>
              </w:rPr>
              <w:t>污泥（t/a）</w:t>
            </w:r>
          </w:p>
        </w:tc>
        <w:tc>
          <w:tcPr>
            <w:tcW w:w="1576" w:type="dxa"/>
            <w:vAlign w:val="center"/>
          </w:tcPr>
          <w:p>
            <w:pPr>
              <w:pStyle w:val="49"/>
              <w:spacing w:beforeLines="0" w:afterLines="0" w:line="240" w:lineRule="auto"/>
              <w:rPr>
                <w:rFonts w:ascii="Times New Roman" w:hAnsi="Times New Roman"/>
                <w:snapToGrid w:val="0"/>
                <w:kern w:val="21"/>
                <w:szCs w:val="21"/>
              </w:rPr>
            </w:pPr>
          </w:p>
        </w:tc>
        <w:tc>
          <w:tcPr>
            <w:tcW w:w="1276" w:type="dxa"/>
            <w:vAlign w:val="center"/>
          </w:tcPr>
          <w:p>
            <w:pPr>
              <w:pStyle w:val="49"/>
              <w:spacing w:beforeLines="0" w:afterLines="0" w:line="240" w:lineRule="auto"/>
              <w:rPr>
                <w:rFonts w:ascii="Times New Roman" w:hAnsi="Times New Roman"/>
                <w:snapToGrid w:val="0"/>
                <w:kern w:val="21"/>
                <w:szCs w:val="21"/>
              </w:rPr>
            </w:pPr>
          </w:p>
        </w:tc>
        <w:tc>
          <w:tcPr>
            <w:tcW w:w="1701" w:type="dxa"/>
            <w:vAlign w:val="center"/>
          </w:tcPr>
          <w:p>
            <w:pPr>
              <w:pStyle w:val="49"/>
              <w:spacing w:beforeLines="0" w:afterLines="0" w:line="240" w:lineRule="auto"/>
              <w:rPr>
                <w:rFonts w:ascii="Times New Roman" w:hAnsi="Times New Roman"/>
                <w:snapToGrid w:val="0"/>
                <w:kern w:val="21"/>
                <w:szCs w:val="21"/>
              </w:rPr>
            </w:pPr>
          </w:p>
        </w:tc>
        <w:tc>
          <w:tcPr>
            <w:tcW w:w="1559" w:type="dxa"/>
            <w:vAlign w:val="center"/>
          </w:tcPr>
          <w:p>
            <w:pPr>
              <w:pStyle w:val="49"/>
              <w:spacing w:beforeLines="0" w:afterLines="0" w:line="240" w:lineRule="auto"/>
              <w:rPr>
                <w:rFonts w:ascii="Times New Roman" w:hAnsi="Times New Roman"/>
                <w:snapToGrid w:val="0"/>
                <w:kern w:val="21"/>
                <w:szCs w:val="21"/>
              </w:rPr>
            </w:pPr>
            <w:r>
              <w:rPr>
                <w:rFonts w:hint="eastAsia" w:ascii="Times New Roman" w:hAnsi="Times New Roman"/>
                <w:snapToGrid w:val="0"/>
                <w:kern w:val="21"/>
                <w:szCs w:val="21"/>
              </w:rPr>
              <w:t>30</w:t>
            </w:r>
          </w:p>
        </w:tc>
        <w:tc>
          <w:tcPr>
            <w:tcW w:w="1650" w:type="dxa"/>
            <w:vAlign w:val="center"/>
          </w:tcPr>
          <w:p>
            <w:pPr>
              <w:pStyle w:val="49"/>
              <w:spacing w:beforeLines="0" w:afterLines="0" w:line="240" w:lineRule="auto"/>
              <w:rPr>
                <w:rFonts w:ascii="Times New Roman" w:hAnsi="Times New Roman"/>
                <w:snapToGrid w:val="0"/>
                <w:kern w:val="21"/>
                <w:szCs w:val="21"/>
              </w:rPr>
            </w:pPr>
          </w:p>
        </w:tc>
        <w:tc>
          <w:tcPr>
            <w:tcW w:w="1664" w:type="dxa"/>
            <w:vAlign w:val="center"/>
          </w:tcPr>
          <w:p>
            <w:pPr>
              <w:pStyle w:val="49"/>
              <w:spacing w:beforeLines="0" w:afterLines="0" w:line="240" w:lineRule="auto"/>
              <w:rPr>
                <w:rFonts w:ascii="Times New Roman" w:hAnsi="Times New Roman"/>
                <w:snapToGrid w:val="0"/>
                <w:kern w:val="21"/>
                <w:szCs w:val="21"/>
              </w:rPr>
            </w:pPr>
            <w:r>
              <w:rPr>
                <w:rFonts w:hint="eastAsia" w:ascii="Times New Roman" w:hAnsi="Times New Roman"/>
                <w:snapToGrid w:val="0"/>
                <w:kern w:val="21"/>
                <w:szCs w:val="21"/>
              </w:rPr>
              <w:t>30</w:t>
            </w:r>
          </w:p>
        </w:tc>
        <w:tc>
          <w:tcPr>
            <w:tcW w:w="1232" w:type="dxa"/>
            <w:vAlign w:val="center"/>
          </w:tcPr>
          <w:p>
            <w:pPr>
              <w:pStyle w:val="49"/>
              <w:spacing w:beforeLines="0" w:afterLines="0" w:line="240" w:lineRule="auto"/>
              <w:rPr>
                <w:rFonts w:ascii="Times New Roman" w:hAnsi="Times New Roman"/>
                <w:snapToGrid w:val="0"/>
                <w:kern w:val="21"/>
                <w:szCs w:val="21"/>
              </w:rPr>
            </w:pPr>
            <w:r>
              <w:rPr>
                <w:rFonts w:hint="eastAsia" w:ascii="Times New Roman" w:hAnsi="Times New Roman"/>
                <w:snapToGrid w:val="0"/>
                <w:kern w:val="21"/>
                <w:szCs w:val="21"/>
              </w:rPr>
              <w:t>+30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180" w:type="dxa"/>
            <w:vMerge w:val="continue"/>
            <w:vAlign w:val="center"/>
          </w:tcPr>
          <w:p>
            <w:pPr>
              <w:pStyle w:val="49"/>
              <w:spacing w:beforeLines="0" w:afterLines="0" w:line="240" w:lineRule="auto"/>
              <w:rPr>
                <w:rFonts w:ascii="Times New Roman" w:hAnsi="Times New Roman"/>
                <w:snapToGrid w:val="0"/>
                <w:kern w:val="21"/>
                <w:sz w:val="21"/>
                <w:szCs w:val="21"/>
              </w:rPr>
            </w:pPr>
          </w:p>
        </w:tc>
        <w:tc>
          <w:tcPr>
            <w:tcW w:w="1950" w:type="dxa"/>
            <w:vAlign w:val="center"/>
          </w:tcPr>
          <w:p>
            <w:pPr>
              <w:pStyle w:val="49"/>
              <w:spacing w:beforeLines="0" w:afterLines="0" w:line="240" w:lineRule="auto"/>
              <w:rPr>
                <w:rFonts w:ascii="Times New Roman" w:hAnsi="Times New Roman"/>
                <w:snapToGrid w:val="0"/>
                <w:kern w:val="21"/>
                <w:sz w:val="21"/>
                <w:szCs w:val="21"/>
              </w:rPr>
            </w:pPr>
            <w:r>
              <w:rPr>
                <w:rFonts w:hint="eastAsia" w:ascii="Times New Roman" w:hAnsi="Times New Roman"/>
                <w:snapToGrid w:val="0"/>
                <w:kern w:val="21"/>
                <w:sz w:val="21"/>
                <w:szCs w:val="21"/>
              </w:rPr>
              <w:t>废滤布</w:t>
            </w:r>
            <w:r>
              <w:rPr>
                <w:rFonts w:ascii="Times New Roman" w:hAnsi="Times New Roman"/>
                <w:snapToGrid w:val="0"/>
                <w:kern w:val="21"/>
                <w:sz w:val="21"/>
                <w:szCs w:val="21"/>
              </w:rPr>
              <w:t>（t/a）</w:t>
            </w:r>
          </w:p>
        </w:tc>
        <w:tc>
          <w:tcPr>
            <w:tcW w:w="1576" w:type="dxa"/>
            <w:vAlign w:val="center"/>
          </w:tcPr>
          <w:p>
            <w:pPr>
              <w:pStyle w:val="49"/>
              <w:spacing w:beforeLines="0" w:afterLines="0" w:line="240" w:lineRule="auto"/>
              <w:rPr>
                <w:rFonts w:ascii="Times New Roman" w:hAnsi="Times New Roman"/>
                <w:snapToGrid w:val="0"/>
                <w:kern w:val="21"/>
                <w:szCs w:val="21"/>
              </w:rPr>
            </w:pPr>
          </w:p>
        </w:tc>
        <w:tc>
          <w:tcPr>
            <w:tcW w:w="1276" w:type="dxa"/>
            <w:vAlign w:val="center"/>
          </w:tcPr>
          <w:p>
            <w:pPr>
              <w:pStyle w:val="49"/>
              <w:spacing w:beforeLines="0" w:afterLines="0" w:line="240" w:lineRule="auto"/>
              <w:rPr>
                <w:rFonts w:ascii="Times New Roman" w:hAnsi="Times New Roman"/>
                <w:snapToGrid w:val="0"/>
                <w:kern w:val="21"/>
                <w:szCs w:val="21"/>
              </w:rPr>
            </w:pPr>
          </w:p>
        </w:tc>
        <w:tc>
          <w:tcPr>
            <w:tcW w:w="1701" w:type="dxa"/>
            <w:vAlign w:val="center"/>
          </w:tcPr>
          <w:p>
            <w:pPr>
              <w:pStyle w:val="49"/>
              <w:spacing w:beforeLines="0" w:afterLines="0" w:line="240" w:lineRule="auto"/>
              <w:rPr>
                <w:rFonts w:ascii="Times New Roman" w:hAnsi="Times New Roman"/>
                <w:snapToGrid w:val="0"/>
                <w:kern w:val="21"/>
                <w:szCs w:val="21"/>
              </w:rPr>
            </w:pPr>
          </w:p>
        </w:tc>
        <w:tc>
          <w:tcPr>
            <w:tcW w:w="1559" w:type="dxa"/>
            <w:vAlign w:val="center"/>
          </w:tcPr>
          <w:p>
            <w:pPr>
              <w:pStyle w:val="49"/>
              <w:spacing w:beforeLines="0" w:afterLines="0" w:line="240" w:lineRule="auto"/>
              <w:rPr>
                <w:rFonts w:ascii="Times New Roman" w:hAnsi="Times New Roman"/>
                <w:snapToGrid w:val="0"/>
                <w:kern w:val="21"/>
                <w:szCs w:val="21"/>
              </w:rPr>
            </w:pPr>
            <w:r>
              <w:rPr>
                <w:rFonts w:hint="eastAsia" w:ascii="Times New Roman" w:hAnsi="Times New Roman"/>
                <w:snapToGrid w:val="0"/>
                <w:kern w:val="21"/>
                <w:szCs w:val="21"/>
              </w:rPr>
              <w:t>0.2</w:t>
            </w:r>
          </w:p>
        </w:tc>
        <w:tc>
          <w:tcPr>
            <w:tcW w:w="1650" w:type="dxa"/>
            <w:vAlign w:val="center"/>
          </w:tcPr>
          <w:p>
            <w:pPr>
              <w:pStyle w:val="49"/>
              <w:spacing w:beforeLines="0" w:afterLines="0" w:line="240" w:lineRule="auto"/>
              <w:rPr>
                <w:rFonts w:ascii="Times New Roman" w:hAnsi="Times New Roman"/>
                <w:snapToGrid w:val="0"/>
                <w:kern w:val="21"/>
                <w:szCs w:val="21"/>
              </w:rPr>
            </w:pPr>
          </w:p>
        </w:tc>
        <w:tc>
          <w:tcPr>
            <w:tcW w:w="1664" w:type="dxa"/>
            <w:vAlign w:val="center"/>
          </w:tcPr>
          <w:p>
            <w:pPr>
              <w:pStyle w:val="49"/>
              <w:spacing w:beforeLines="0" w:afterLines="0" w:line="240" w:lineRule="auto"/>
              <w:rPr>
                <w:rFonts w:ascii="Times New Roman" w:hAnsi="Times New Roman"/>
                <w:snapToGrid w:val="0"/>
                <w:kern w:val="21"/>
                <w:szCs w:val="21"/>
              </w:rPr>
            </w:pPr>
            <w:r>
              <w:rPr>
                <w:rFonts w:hint="eastAsia" w:ascii="Times New Roman" w:hAnsi="Times New Roman"/>
                <w:snapToGrid w:val="0"/>
                <w:kern w:val="21"/>
                <w:szCs w:val="21"/>
              </w:rPr>
              <w:t>0.2</w:t>
            </w:r>
          </w:p>
        </w:tc>
        <w:tc>
          <w:tcPr>
            <w:tcW w:w="1232" w:type="dxa"/>
            <w:vAlign w:val="center"/>
          </w:tcPr>
          <w:p>
            <w:pPr>
              <w:pStyle w:val="49"/>
              <w:spacing w:beforeLines="0" w:afterLines="0" w:line="240" w:lineRule="auto"/>
              <w:rPr>
                <w:rFonts w:ascii="Times New Roman" w:hAnsi="Times New Roman"/>
                <w:snapToGrid w:val="0"/>
                <w:kern w:val="21"/>
                <w:szCs w:val="21"/>
              </w:rPr>
            </w:pPr>
            <w:r>
              <w:rPr>
                <w:rFonts w:hint="eastAsia" w:ascii="Times New Roman" w:hAnsi="Times New Roman"/>
                <w:snapToGrid w:val="0"/>
                <w:kern w:val="21"/>
                <w:szCs w:val="21"/>
              </w:rPr>
              <w:t>+0.2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180" w:type="dxa"/>
            <w:vMerge w:val="continue"/>
            <w:vAlign w:val="center"/>
          </w:tcPr>
          <w:p>
            <w:pPr>
              <w:pStyle w:val="49"/>
              <w:spacing w:beforeLines="0" w:afterLines="0" w:line="240" w:lineRule="auto"/>
              <w:rPr>
                <w:rFonts w:ascii="Times New Roman" w:hAnsi="Times New Roman"/>
                <w:snapToGrid w:val="0"/>
                <w:kern w:val="21"/>
                <w:sz w:val="21"/>
                <w:szCs w:val="21"/>
              </w:rPr>
            </w:pPr>
          </w:p>
        </w:tc>
        <w:tc>
          <w:tcPr>
            <w:tcW w:w="1950" w:type="dxa"/>
            <w:vAlign w:val="center"/>
          </w:tcPr>
          <w:p>
            <w:pPr>
              <w:pStyle w:val="49"/>
              <w:spacing w:beforeLines="0" w:afterLines="0" w:line="240" w:lineRule="auto"/>
              <w:rPr>
                <w:rFonts w:ascii="Times New Roman" w:hAnsi="Times New Roman"/>
                <w:snapToGrid w:val="0"/>
                <w:kern w:val="21"/>
                <w:sz w:val="21"/>
                <w:szCs w:val="21"/>
              </w:rPr>
            </w:pPr>
            <w:r>
              <w:rPr>
                <w:rFonts w:hint="eastAsia" w:ascii="Times New Roman" w:hAnsi="Times New Roman"/>
                <w:snapToGrid w:val="0"/>
                <w:kern w:val="21"/>
                <w:sz w:val="21"/>
                <w:szCs w:val="21"/>
              </w:rPr>
              <w:t>尾渣</w:t>
            </w:r>
            <w:r>
              <w:rPr>
                <w:rFonts w:ascii="Times New Roman" w:hAnsi="Times New Roman"/>
                <w:snapToGrid w:val="0"/>
                <w:kern w:val="21"/>
                <w:sz w:val="21"/>
                <w:szCs w:val="21"/>
              </w:rPr>
              <w:t>（t/a）</w:t>
            </w:r>
          </w:p>
        </w:tc>
        <w:tc>
          <w:tcPr>
            <w:tcW w:w="1576" w:type="dxa"/>
            <w:vAlign w:val="center"/>
          </w:tcPr>
          <w:p>
            <w:pPr>
              <w:pStyle w:val="49"/>
              <w:spacing w:beforeLines="0" w:afterLines="0" w:line="240" w:lineRule="auto"/>
              <w:rPr>
                <w:rFonts w:ascii="Times New Roman" w:hAnsi="Times New Roman"/>
                <w:snapToGrid w:val="0"/>
                <w:kern w:val="21"/>
                <w:szCs w:val="21"/>
              </w:rPr>
            </w:pPr>
          </w:p>
        </w:tc>
        <w:tc>
          <w:tcPr>
            <w:tcW w:w="1276" w:type="dxa"/>
            <w:vAlign w:val="center"/>
          </w:tcPr>
          <w:p>
            <w:pPr>
              <w:pStyle w:val="49"/>
              <w:spacing w:beforeLines="0" w:afterLines="0" w:line="240" w:lineRule="auto"/>
              <w:rPr>
                <w:rFonts w:ascii="Times New Roman" w:hAnsi="Times New Roman"/>
                <w:snapToGrid w:val="0"/>
                <w:kern w:val="21"/>
                <w:szCs w:val="21"/>
              </w:rPr>
            </w:pPr>
          </w:p>
        </w:tc>
        <w:tc>
          <w:tcPr>
            <w:tcW w:w="1701" w:type="dxa"/>
            <w:vAlign w:val="center"/>
          </w:tcPr>
          <w:p>
            <w:pPr>
              <w:pStyle w:val="49"/>
              <w:spacing w:beforeLines="0" w:afterLines="0" w:line="240" w:lineRule="auto"/>
              <w:rPr>
                <w:rFonts w:ascii="Times New Roman" w:hAnsi="Times New Roman"/>
                <w:snapToGrid w:val="0"/>
                <w:kern w:val="21"/>
                <w:szCs w:val="21"/>
              </w:rPr>
            </w:pPr>
          </w:p>
        </w:tc>
        <w:tc>
          <w:tcPr>
            <w:tcW w:w="1559" w:type="dxa"/>
            <w:vAlign w:val="center"/>
          </w:tcPr>
          <w:p>
            <w:pPr>
              <w:pStyle w:val="49"/>
              <w:spacing w:beforeLines="0" w:afterLines="0" w:line="240" w:lineRule="auto"/>
              <w:rPr>
                <w:rFonts w:ascii="Times New Roman" w:hAnsi="Times New Roman"/>
                <w:snapToGrid w:val="0"/>
                <w:kern w:val="21"/>
                <w:szCs w:val="21"/>
              </w:rPr>
            </w:pPr>
            <w:r>
              <w:rPr>
                <w:rFonts w:hint="eastAsia" w:ascii="Times New Roman" w:hAnsi="Times New Roman"/>
                <w:snapToGrid w:val="0"/>
                <w:kern w:val="21"/>
                <w:szCs w:val="21"/>
              </w:rPr>
              <w:t>72800</w:t>
            </w:r>
          </w:p>
        </w:tc>
        <w:tc>
          <w:tcPr>
            <w:tcW w:w="1650" w:type="dxa"/>
            <w:vAlign w:val="center"/>
          </w:tcPr>
          <w:p>
            <w:pPr>
              <w:pStyle w:val="49"/>
              <w:spacing w:beforeLines="0" w:afterLines="0" w:line="240" w:lineRule="auto"/>
              <w:rPr>
                <w:rFonts w:ascii="Times New Roman" w:hAnsi="Times New Roman"/>
                <w:snapToGrid w:val="0"/>
                <w:kern w:val="21"/>
                <w:szCs w:val="21"/>
              </w:rPr>
            </w:pPr>
          </w:p>
        </w:tc>
        <w:tc>
          <w:tcPr>
            <w:tcW w:w="1664" w:type="dxa"/>
            <w:vAlign w:val="center"/>
          </w:tcPr>
          <w:p>
            <w:pPr>
              <w:pStyle w:val="49"/>
              <w:spacing w:beforeLines="0" w:afterLines="0" w:line="240" w:lineRule="auto"/>
              <w:rPr>
                <w:rFonts w:ascii="Times New Roman" w:hAnsi="Times New Roman"/>
                <w:snapToGrid w:val="0"/>
                <w:kern w:val="21"/>
                <w:szCs w:val="21"/>
              </w:rPr>
            </w:pPr>
            <w:r>
              <w:rPr>
                <w:rFonts w:hint="eastAsia" w:ascii="Times New Roman" w:hAnsi="Times New Roman"/>
                <w:snapToGrid w:val="0"/>
                <w:kern w:val="21"/>
                <w:szCs w:val="21"/>
              </w:rPr>
              <w:t>72800</w:t>
            </w:r>
          </w:p>
        </w:tc>
        <w:tc>
          <w:tcPr>
            <w:tcW w:w="1232" w:type="dxa"/>
            <w:vAlign w:val="center"/>
          </w:tcPr>
          <w:p>
            <w:pPr>
              <w:pStyle w:val="49"/>
              <w:spacing w:beforeLines="0" w:afterLines="0" w:line="240" w:lineRule="auto"/>
              <w:rPr>
                <w:rFonts w:ascii="Times New Roman" w:hAnsi="Times New Roman"/>
                <w:snapToGrid w:val="0"/>
                <w:kern w:val="21"/>
                <w:szCs w:val="21"/>
              </w:rPr>
            </w:pPr>
            <w:r>
              <w:rPr>
                <w:rFonts w:hint="eastAsia" w:ascii="Times New Roman" w:hAnsi="Times New Roman"/>
                <w:snapToGrid w:val="0"/>
                <w:kern w:val="21"/>
                <w:szCs w:val="21"/>
              </w:rPr>
              <w:t>+72800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180" w:type="dxa"/>
            <w:vMerge w:val="restart"/>
            <w:vAlign w:val="center"/>
          </w:tcPr>
          <w:p>
            <w:pPr>
              <w:pStyle w:val="49"/>
              <w:spacing w:beforeLines="0" w:afterLines="0" w:line="240" w:lineRule="auto"/>
              <w:rPr>
                <w:rFonts w:ascii="Times New Roman" w:hAnsi="Times New Roman"/>
                <w:snapToGrid w:val="0"/>
                <w:kern w:val="21"/>
                <w:sz w:val="21"/>
                <w:szCs w:val="21"/>
              </w:rPr>
            </w:pPr>
            <w:r>
              <w:rPr>
                <w:rFonts w:ascii="Times New Roman" w:hAnsi="Times New Roman"/>
                <w:snapToGrid w:val="0"/>
                <w:kern w:val="21"/>
                <w:sz w:val="21"/>
                <w:szCs w:val="21"/>
              </w:rPr>
              <w:t>危废</w:t>
            </w:r>
          </w:p>
        </w:tc>
        <w:tc>
          <w:tcPr>
            <w:tcW w:w="1950" w:type="dxa"/>
            <w:vAlign w:val="center"/>
          </w:tcPr>
          <w:p>
            <w:pPr>
              <w:pStyle w:val="49"/>
              <w:spacing w:beforeLines="0" w:afterLines="0" w:line="240" w:lineRule="auto"/>
              <w:rPr>
                <w:rFonts w:ascii="Times New Roman" w:hAnsi="Times New Roman"/>
                <w:snapToGrid w:val="0"/>
                <w:kern w:val="21"/>
                <w:sz w:val="21"/>
                <w:szCs w:val="21"/>
              </w:rPr>
            </w:pPr>
            <w:r>
              <w:rPr>
                <w:rFonts w:hint="eastAsia" w:ascii="Times New Roman" w:hAnsi="Times New Roman"/>
                <w:snapToGrid w:val="0"/>
                <w:kern w:val="21"/>
                <w:sz w:val="21"/>
                <w:szCs w:val="21"/>
              </w:rPr>
              <w:t>浮油</w:t>
            </w:r>
            <w:r>
              <w:rPr>
                <w:rFonts w:ascii="Times New Roman" w:hAnsi="Times New Roman"/>
                <w:snapToGrid w:val="0"/>
                <w:kern w:val="21"/>
                <w:sz w:val="21"/>
                <w:szCs w:val="21"/>
              </w:rPr>
              <w:t>（t/a）</w:t>
            </w:r>
          </w:p>
        </w:tc>
        <w:tc>
          <w:tcPr>
            <w:tcW w:w="1576" w:type="dxa"/>
            <w:vAlign w:val="center"/>
          </w:tcPr>
          <w:p>
            <w:pPr>
              <w:pStyle w:val="49"/>
              <w:spacing w:beforeLines="0" w:afterLines="0" w:line="240" w:lineRule="auto"/>
              <w:rPr>
                <w:rFonts w:ascii="Times New Roman" w:hAnsi="Times New Roman"/>
                <w:snapToGrid w:val="0"/>
                <w:kern w:val="21"/>
                <w:szCs w:val="21"/>
              </w:rPr>
            </w:pPr>
          </w:p>
        </w:tc>
        <w:tc>
          <w:tcPr>
            <w:tcW w:w="1276" w:type="dxa"/>
            <w:vAlign w:val="center"/>
          </w:tcPr>
          <w:p>
            <w:pPr>
              <w:pStyle w:val="49"/>
              <w:spacing w:beforeLines="0" w:afterLines="0" w:line="240" w:lineRule="auto"/>
              <w:rPr>
                <w:rFonts w:ascii="Times New Roman" w:hAnsi="Times New Roman"/>
                <w:snapToGrid w:val="0"/>
                <w:kern w:val="21"/>
                <w:szCs w:val="21"/>
              </w:rPr>
            </w:pPr>
          </w:p>
        </w:tc>
        <w:tc>
          <w:tcPr>
            <w:tcW w:w="1701" w:type="dxa"/>
            <w:vAlign w:val="center"/>
          </w:tcPr>
          <w:p>
            <w:pPr>
              <w:pStyle w:val="49"/>
              <w:spacing w:beforeLines="0" w:afterLines="0" w:line="240" w:lineRule="auto"/>
              <w:rPr>
                <w:rFonts w:ascii="Times New Roman" w:hAnsi="Times New Roman"/>
                <w:snapToGrid w:val="0"/>
                <w:kern w:val="21"/>
                <w:szCs w:val="21"/>
              </w:rPr>
            </w:pPr>
          </w:p>
        </w:tc>
        <w:tc>
          <w:tcPr>
            <w:tcW w:w="1559" w:type="dxa"/>
            <w:vAlign w:val="center"/>
          </w:tcPr>
          <w:p>
            <w:pPr>
              <w:pStyle w:val="49"/>
              <w:spacing w:beforeLines="0" w:afterLines="0" w:line="240" w:lineRule="auto"/>
              <w:rPr>
                <w:rFonts w:ascii="Times New Roman" w:hAnsi="Times New Roman"/>
                <w:snapToGrid w:val="0"/>
                <w:kern w:val="21"/>
                <w:szCs w:val="21"/>
              </w:rPr>
            </w:pPr>
            <w:r>
              <w:rPr>
                <w:rFonts w:hint="eastAsia" w:ascii="Times New Roman" w:hAnsi="Times New Roman"/>
                <w:snapToGrid w:val="0"/>
                <w:kern w:val="21"/>
                <w:szCs w:val="21"/>
              </w:rPr>
              <w:t>0.13</w:t>
            </w:r>
          </w:p>
        </w:tc>
        <w:tc>
          <w:tcPr>
            <w:tcW w:w="1650" w:type="dxa"/>
            <w:vAlign w:val="center"/>
          </w:tcPr>
          <w:p>
            <w:pPr>
              <w:pStyle w:val="49"/>
              <w:spacing w:beforeLines="0" w:afterLines="0" w:line="240" w:lineRule="auto"/>
              <w:rPr>
                <w:rFonts w:ascii="Times New Roman" w:hAnsi="Times New Roman"/>
                <w:snapToGrid w:val="0"/>
                <w:kern w:val="21"/>
                <w:szCs w:val="21"/>
              </w:rPr>
            </w:pPr>
          </w:p>
        </w:tc>
        <w:tc>
          <w:tcPr>
            <w:tcW w:w="1664" w:type="dxa"/>
            <w:vAlign w:val="center"/>
          </w:tcPr>
          <w:p>
            <w:pPr>
              <w:pStyle w:val="49"/>
              <w:spacing w:beforeLines="0" w:afterLines="0" w:line="240" w:lineRule="auto"/>
              <w:rPr>
                <w:rFonts w:ascii="Times New Roman" w:hAnsi="Times New Roman"/>
                <w:snapToGrid w:val="0"/>
                <w:kern w:val="21"/>
                <w:szCs w:val="21"/>
              </w:rPr>
            </w:pPr>
            <w:r>
              <w:rPr>
                <w:rFonts w:hint="eastAsia" w:ascii="Times New Roman" w:hAnsi="Times New Roman"/>
                <w:snapToGrid w:val="0"/>
                <w:kern w:val="21"/>
                <w:szCs w:val="21"/>
              </w:rPr>
              <w:t>0.13</w:t>
            </w:r>
          </w:p>
        </w:tc>
        <w:tc>
          <w:tcPr>
            <w:tcW w:w="1232" w:type="dxa"/>
            <w:vAlign w:val="center"/>
          </w:tcPr>
          <w:p>
            <w:pPr>
              <w:pStyle w:val="49"/>
              <w:spacing w:beforeLines="0" w:afterLines="0" w:line="240" w:lineRule="auto"/>
              <w:rPr>
                <w:rFonts w:ascii="Times New Roman" w:hAnsi="Times New Roman"/>
                <w:snapToGrid w:val="0"/>
                <w:kern w:val="21"/>
                <w:szCs w:val="21"/>
              </w:rPr>
            </w:pPr>
            <w:r>
              <w:rPr>
                <w:rFonts w:hint="eastAsia" w:ascii="Times New Roman" w:hAnsi="Times New Roman"/>
                <w:snapToGrid w:val="0"/>
                <w:kern w:val="21"/>
                <w:szCs w:val="21"/>
              </w:rPr>
              <w:t>+0.13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180" w:type="dxa"/>
            <w:vMerge w:val="continue"/>
            <w:vAlign w:val="center"/>
          </w:tcPr>
          <w:p>
            <w:pPr>
              <w:pStyle w:val="49"/>
              <w:spacing w:beforeLines="0" w:afterLines="0" w:line="240" w:lineRule="auto"/>
              <w:rPr>
                <w:rFonts w:ascii="Times New Roman" w:hAnsi="Times New Roman"/>
                <w:snapToGrid w:val="0"/>
                <w:kern w:val="21"/>
                <w:sz w:val="21"/>
                <w:szCs w:val="21"/>
              </w:rPr>
            </w:pPr>
          </w:p>
        </w:tc>
        <w:tc>
          <w:tcPr>
            <w:tcW w:w="1950" w:type="dxa"/>
            <w:vAlign w:val="center"/>
          </w:tcPr>
          <w:p>
            <w:pPr>
              <w:pStyle w:val="49"/>
              <w:spacing w:beforeLines="0" w:afterLines="0" w:line="240" w:lineRule="auto"/>
              <w:rPr>
                <w:rFonts w:ascii="Times New Roman" w:hAnsi="Times New Roman"/>
                <w:snapToGrid w:val="0"/>
                <w:kern w:val="21"/>
                <w:sz w:val="21"/>
                <w:szCs w:val="21"/>
              </w:rPr>
            </w:pPr>
            <w:r>
              <w:rPr>
                <w:rFonts w:hint="eastAsia" w:ascii="Times New Roman" w:hAnsi="Times New Roman"/>
                <w:snapToGrid w:val="0"/>
                <w:kern w:val="21"/>
                <w:sz w:val="21"/>
                <w:szCs w:val="21"/>
              </w:rPr>
              <w:t>废机油</w:t>
            </w:r>
            <w:r>
              <w:rPr>
                <w:rFonts w:ascii="Times New Roman" w:hAnsi="Times New Roman"/>
                <w:snapToGrid w:val="0"/>
                <w:kern w:val="21"/>
                <w:sz w:val="21"/>
                <w:szCs w:val="21"/>
              </w:rPr>
              <w:t>（t/a）</w:t>
            </w:r>
          </w:p>
        </w:tc>
        <w:tc>
          <w:tcPr>
            <w:tcW w:w="1576" w:type="dxa"/>
            <w:vAlign w:val="center"/>
          </w:tcPr>
          <w:p>
            <w:pPr>
              <w:pStyle w:val="49"/>
              <w:spacing w:beforeLines="0" w:afterLines="0" w:line="240" w:lineRule="auto"/>
              <w:rPr>
                <w:rFonts w:ascii="Times New Roman" w:hAnsi="Times New Roman"/>
                <w:snapToGrid w:val="0"/>
                <w:kern w:val="21"/>
                <w:szCs w:val="21"/>
              </w:rPr>
            </w:pPr>
          </w:p>
        </w:tc>
        <w:tc>
          <w:tcPr>
            <w:tcW w:w="1276" w:type="dxa"/>
            <w:vAlign w:val="center"/>
          </w:tcPr>
          <w:p>
            <w:pPr>
              <w:pStyle w:val="49"/>
              <w:spacing w:beforeLines="0" w:afterLines="0" w:line="240" w:lineRule="auto"/>
              <w:rPr>
                <w:rFonts w:ascii="Times New Roman" w:hAnsi="Times New Roman"/>
                <w:snapToGrid w:val="0"/>
                <w:kern w:val="21"/>
                <w:szCs w:val="21"/>
              </w:rPr>
            </w:pPr>
          </w:p>
        </w:tc>
        <w:tc>
          <w:tcPr>
            <w:tcW w:w="1701" w:type="dxa"/>
            <w:vAlign w:val="center"/>
          </w:tcPr>
          <w:p>
            <w:pPr>
              <w:pStyle w:val="49"/>
              <w:spacing w:beforeLines="0" w:afterLines="0" w:line="240" w:lineRule="auto"/>
              <w:rPr>
                <w:rFonts w:ascii="Times New Roman" w:hAnsi="Times New Roman"/>
                <w:snapToGrid w:val="0"/>
                <w:kern w:val="21"/>
                <w:szCs w:val="21"/>
              </w:rPr>
            </w:pPr>
          </w:p>
        </w:tc>
        <w:tc>
          <w:tcPr>
            <w:tcW w:w="1559" w:type="dxa"/>
            <w:vAlign w:val="center"/>
          </w:tcPr>
          <w:p>
            <w:pPr>
              <w:pStyle w:val="49"/>
              <w:spacing w:beforeLines="0" w:afterLines="0" w:line="240" w:lineRule="auto"/>
              <w:rPr>
                <w:rFonts w:ascii="Times New Roman" w:hAnsi="Times New Roman"/>
                <w:snapToGrid w:val="0"/>
                <w:kern w:val="21"/>
                <w:szCs w:val="21"/>
              </w:rPr>
            </w:pPr>
            <w:r>
              <w:rPr>
                <w:rFonts w:hint="eastAsia" w:ascii="Times New Roman" w:hAnsi="Times New Roman"/>
                <w:snapToGrid w:val="0"/>
                <w:kern w:val="21"/>
                <w:szCs w:val="21"/>
              </w:rPr>
              <w:t>0.1</w:t>
            </w:r>
          </w:p>
        </w:tc>
        <w:tc>
          <w:tcPr>
            <w:tcW w:w="1650" w:type="dxa"/>
            <w:vAlign w:val="center"/>
          </w:tcPr>
          <w:p>
            <w:pPr>
              <w:pStyle w:val="49"/>
              <w:spacing w:beforeLines="0" w:afterLines="0" w:line="240" w:lineRule="auto"/>
              <w:rPr>
                <w:rFonts w:ascii="Times New Roman" w:hAnsi="Times New Roman"/>
                <w:snapToGrid w:val="0"/>
                <w:kern w:val="21"/>
                <w:szCs w:val="21"/>
              </w:rPr>
            </w:pPr>
          </w:p>
        </w:tc>
        <w:tc>
          <w:tcPr>
            <w:tcW w:w="1664" w:type="dxa"/>
            <w:vAlign w:val="center"/>
          </w:tcPr>
          <w:p>
            <w:pPr>
              <w:pStyle w:val="49"/>
              <w:spacing w:beforeLines="0" w:afterLines="0" w:line="240" w:lineRule="auto"/>
              <w:rPr>
                <w:rFonts w:ascii="Times New Roman" w:hAnsi="Times New Roman"/>
                <w:snapToGrid w:val="0"/>
                <w:kern w:val="21"/>
                <w:szCs w:val="21"/>
              </w:rPr>
            </w:pPr>
            <w:r>
              <w:rPr>
                <w:rFonts w:hint="eastAsia" w:ascii="Times New Roman" w:hAnsi="Times New Roman"/>
                <w:snapToGrid w:val="0"/>
                <w:kern w:val="21"/>
                <w:szCs w:val="21"/>
              </w:rPr>
              <w:t>0.1</w:t>
            </w:r>
          </w:p>
        </w:tc>
        <w:tc>
          <w:tcPr>
            <w:tcW w:w="1232" w:type="dxa"/>
            <w:vAlign w:val="center"/>
          </w:tcPr>
          <w:p>
            <w:pPr>
              <w:pStyle w:val="49"/>
              <w:spacing w:beforeLines="0" w:afterLines="0" w:line="240" w:lineRule="auto"/>
              <w:rPr>
                <w:rFonts w:ascii="Times New Roman" w:hAnsi="Times New Roman"/>
                <w:snapToGrid w:val="0"/>
                <w:kern w:val="21"/>
                <w:szCs w:val="21"/>
              </w:rPr>
            </w:pPr>
            <w:r>
              <w:rPr>
                <w:rFonts w:hint="eastAsia" w:ascii="Times New Roman" w:hAnsi="Times New Roman"/>
                <w:snapToGrid w:val="0"/>
                <w:kern w:val="21"/>
                <w:szCs w:val="21"/>
              </w:rPr>
              <w:t>+0.1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180" w:type="dxa"/>
            <w:vAlign w:val="center"/>
          </w:tcPr>
          <w:p>
            <w:pPr>
              <w:pStyle w:val="49"/>
              <w:spacing w:beforeLines="0" w:afterLines="0" w:line="240" w:lineRule="auto"/>
              <w:rPr>
                <w:rFonts w:ascii="Times New Roman" w:hAnsi="Times New Roman"/>
                <w:snapToGrid w:val="0"/>
                <w:kern w:val="21"/>
                <w:sz w:val="21"/>
                <w:szCs w:val="21"/>
              </w:rPr>
            </w:pPr>
            <w:r>
              <w:rPr>
                <w:rFonts w:ascii="Times New Roman" w:hAnsi="Times New Roman"/>
                <w:snapToGrid w:val="0"/>
                <w:kern w:val="21"/>
                <w:sz w:val="21"/>
                <w:szCs w:val="21"/>
              </w:rPr>
              <w:t>废水</w:t>
            </w:r>
          </w:p>
        </w:tc>
        <w:tc>
          <w:tcPr>
            <w:tcW w:w="1950" w:type="dxa"/>
            <w:vAlign w:val="center"/>
          </w:tcPr>
          <w:p>
            <w:pPr>
              <w:jc w:val="center"/>
              <w:rPr>
                <w:rFonts w:ascii="Times New Roman" w:hAnsi="Times New Roman"/>
                <w:snapToGrid w:val="0"/>
                <w:kern w:val="21"/>
                <w:sz w:val="21"/>
                <w:szCs w:val="21"/>
              </w:rPr>
            </w:pPr>
            <w:r>
              <w:rPr>
                <w:rFonts w:ascii="Times New Roman" w:hAnsi="Times New Roman"/>
                <w:snapToGrid w:val="0"/>
                <w:kern w:val="21"/>
                <w:sz w:val="21"/>
                <w:szCs w:val="21"/>
              </w:rPr>
              <w:t>废水量（</w:t>
            </w:r>
            <w:r>
              <w:rPr>
                <w:rFonts w:hint="eastAsia" w:ascii="Times New Roman" w:hAnsi="Times New Roman"/>
                <w:snapToGrid w:val="0"/>
                <w:kern w:val="21"/>
                <w:sz w:val="21"/>
                <w:szCs w:val="21"/>
              </w:rPr>
              <w:t>万</w:t>
            </w:r>
            <w:r>
              <w:rPr>
                <w:rFonts w:ascii="Times New Roman" w:hAnsi="Times New Roman"/>
                <w:snapToGrid w:val="0"/>
                <w:kern w:val="21"/>
                <w:sz w:val="21"/>
                <w:szCs w:val="21"/>
              </w:rPr>
              <w:t>t/a）</w:t>
            </w:r>
          </w:p>
        </w:tc>
        <w:tc>
          <w:tcPr>
            <w:tcW w:w="1576" w:type="dxa"/>
            <w:vAlign w:val="center"/>
          </w:tcPr>
          <w:p>
            <w:pPr>
              <w:pStyle w:val="49"/>
              <w:spacing w:beforeLines="0" w:afterLines="0" w:line="240" w:lineRule="auto"/>
              <w:rPr>
                <w:rFonts w:ascii="Times New Roman" w:hAnsi="Times New Roman"/>
                <w:snapToGrid w:val="0"/>
                <w:kern w:val="21"/>
                <w:szCs w:val="21"/>
              </w:rPr>
            </w:pPr>
          </w:p>
        </w:tc>
        <w:tc>
          <w:tcPr>
            <w:tcW w:w="1276" w:type="dxa"/>
            <w:vAlign w:val="center"/>
          </w:tcPr>
          <w:p>
            <w:pPr>
              <w:pStyle w:val="49"/>
              <w:spacing w:beforeLines="0" w:afterLines="0" w:line="240" w:lineRule="auto"/>
              <w:rPr>
                <w:rFonts w:ascii="Times New Roman" w:hAnsi="Times New Roman"/>
                <w:snapToGrid w:val="0"/>
                <w:kern w:val="21"/>
                <w:szCs w:val="21"/>
              </w:rPr>
            </w:pPr>
          </w:p>
        </w:tc>
        <w:tc>
          <w:tcPr>
            <w:tcW w:w="1701" w:type="dxa"/>
            <w:vAlign w:val="center"/>
          </w:tcPr>
          <w:p>
            <w:pPr>
              <w:pStyle w:val="49"/>
              <w:spacing w:beforeLines="0" w:afterLines="0" w:line="240" w:lineRule="auto"/>
              <w:rPr>
                <w:rFonts w:ascii="Times New Roman" w:hAnsi="Times New Roman"/>
                <w:snapToGrid w:val="0"/>
                <w:kern w:val="21"/>
                <w:szCs w:val="21"/>
              </w:rPr>
            </w:pPr>
          </w:p>
        </w:tc>
        <w:tc>
          <w:tcPr>
            <w:tcW w:w="1559" w:type="dxa"/>
            <w:vAlign w:val="center"/>
          </w:tcPr>
          <w:p>
            <w:pPr>
              <w:pStyle w:val="49"/>
              <w:spacing w:beforeLines="0" w:afterLines="0" w:line="240" w:lineRule="auto"/>
              <w:rPr>
                <w:rFonts w:ascii="Times New Roman" w:hAnsi="Times New Roman"/>
                <w:snapToGrid w:val="0"/>
                <w:kern w:val="21"/>
                <w:szCs w:val="21"/>
              </w:rPr>
            </w:pPr>
            <w:r>
              <w:rPr>
                <w:rFonts w:ascii="Times New Roman" w:hAnsi="Times New Roman"/>
                <w:snapToGrid w:val="0"/>
                <w:kern w:val="21"/>
                <w:szCs w:val="21"/>
              </w:rPr>
              <w:t>0</w:t>
            </w:r>
          </w:p>
        </w:tc>
        <w:tc>
          <w:tcPr>
            <w:tcW w:w="1650" w:type="dxa"/>
            <w:vAlign w:val="center"/>
          </w:tcPr>
          <w:p>
            <w:pPr>
              <w:pStyle w:val="49"/>
              <w:spacing w:beforeLines="0" w:afterLines="0" w:line="240" w:lineRule="auto"/>
              <w:rPr>
                <w:rFonts w:ascii="Times New Roman" w:hAnsi="Times New Roman"/>
                <w:snapToGrid w:val="0"/>
                <w:kern w:val="21"/>
                <w:szCs w:val="21"/>
              </w:rPr>
            </w:pPr>
          </w:p>
        </w:tc>
        <w:tc>
          <w:tcPr>
            <w:tcW w:w="1664" w:type="dxa"/>
            <w:vAlign w:val="center"/>
          </w:tcPr>
          <w:p>
            <w:pPr>
              <w:pStyle w:val="49"/>
              <w:spacing w:beforeLines="0" w:afterLines="0" w:line="240" w:lineRule="auto"/>
              <w:rPr>
                <w:rFonts w:ascii="Times New Roman" w:hAnsi="Times New Roman"/>
                <w:snapToGrid w:val="0"/>
                <w:kern w:val="21"/>
                <w:szCs w:val="21"/>
              </w:rPr>
            </w:pPr>
            <w:r>
              <w:rPr>
                <w:rFonts w:ascii="Times New Roman" w:hAnsi="Times New Roman"/>
                <w:snapToGrid w:val="0"/>
                <w:kern w:val="21"/>
                <w:szCs w:val="21"/>
              </w:rPr>
              <w:t>0</w:t>
            </w:r>
            <w:r>
              <w:rPr>
                <w:rFonts w:hint="eastAsia" w:ascii="Times New Roman" w:hAnsi="Times New Roman"/>
                <w:snapToGrid w:val="0"/>
                <w:kern w:val="21"/>
                <w:szCs w:val="21"/>
              </w:rPr>
              <w:t xml:space="preserve">  </w:t>
            </w:r>
          </w:p>
        </w:tc>
        <w:tc>
          <w:tcPr>
            <w:tcW w:w="1232" w:type="dxa"/>
            <w:vAlign w:val="center"/>
          </w:tcPr>
          <w:p>
            <w:pPr>
              <w:pStyle w:val="49"/>
              <w:spacing w:beforeLines="0" w:afterLines="0" w:line="240" w:lineRule="auto"/>
              <w:rPr>
                <w:rFonts w:ascii="Times New Roman" w:hAnsi="Times New Roman"/>
                <w:snapToGrid w:val="0"/>
                <w:kern w:val="21"/>
                <w:szCs w:val="21"/>
              </w:rPr>
            </w:pPr>
            <w:r>
              <w:rPr>
                <w:rFonts w:ascii="Times New Roman" w:hAnsi="Times New Roman"/>
                <w:snapToGrid w:val="0"/>
                <w:kern w:val="21"/>
                <w:szCs w:val="21"/>
              </w:rPr>
              <w:t>0</w:t>
            </w:r>
          </w:p>
        </w:tc>
      </w:tr>
    </w:tbl>
    <w:p>
      <w:pPr>
        <w:pStyle w:val="49"/>
        <w:spacing w:before="192" w:beforeLines="80" w:after="24"/>
        <w:jc w:val="left"/>
        <w:rPr>
          <w:rFonts w:ascii="Times New Roman" w:hAnsi="Times New Roman"/>
          <w:snapToGrid w:val="0"/>
          <w:spacing w:val="-6"/>
          <w:kern w:val="21"/>
          <w:szCs w:val="21"/>
        </w:rPr>
      </w:pPr>
      <w:r>
        <w:rPr>
          <w:rFonts w:ascii="Times New Roman" w:hAnsi="Times New Roman"/>
          <w:snapToGrid w:val="0"/>
          <w:kern w:val="21"/>
          <w:szCs w:val="21"/>
        </w:rPr>
        <w:t>注：</w:t>
      </w:r>
      <w:r>
        <w:rPr>
          <w:rFonts w:ascii="Times New Roman" w:hAnsi="Times New Roman"/>
          <w:snapToGrid w:val="0"/>
          <w:spacing w:val="-16"/>
          <w:kern w:val="21"/>
          <w:szCs w:val="21"/>
        </w:rPr>
        <w:fldChar w:fldCharType="begin"/>
      </w:r>
      <w:r>
        <w:rPr>
          <w:rFonts w:ascii="Times New Roman" w:hAnsi="Times New Roman"/>
          <w:snapToGrid w:val="0"/>
          <w:spacing w:val="-16"/>
          <w:kern w:val="21"/>
          <w:szCs w:val="21"/>
        </w:rPr>
        <w:instrText xml:space="preserve"> = 6 \* GB3 \* MERGEFORMAT </w:instrText>
      </w:r>
      <w:r>
        <w:rPr>
          <w:rFonts w:ascii="Times New Roman" w:hAnsi="Times New Roman"/>
          <w:snapToGrid w:val="0"/>
          <w:spacing w:val="-16"/>
          <w:kern w:val="21"/>
          <w:szCs w:val="21"/>
        </w:rPr>
        <w:fldChar w:fldCharType="separate"/>
      </w:r>
      <w:r>
        <w:rPr>
          <w:rFonts w:hint="eastAsia" w:hAnsi="宋体" w:cs="宋体"/>
          <w:szCs w:val="21"/>
        </w:rPr>
        <w:t>⑥</w:t>
      </w:r>
      <w:r>
        <w:rPr>
          <w:rFonts w:ascii="Times New Roman" w:hAnsi="Times New Roman"/>
          <w:snapToGrid w:val="0"/>
          <w:spacing w:val="-16"/>
          <w:kern w:val="21"/>
          <w:szCs w:val="21"/>
        </w:rPr>
        <w:fldChar w:fldCharType="end"/>
      </w:r>
      <w:r>
        <w:rPr>
          <w:rFonts w:ascii="Times New Roman" w:hAnsi="Times New Roman"/>
          <w:snapToGrid w:val="0"/>
          <w:spacing w:val="-16"/>
          <w:kern w:val="21"/>
          <w:szCs w:val="21"/>
        </w:rPr>
        <w:t>=</w:t>
      </w:r>
      <w:r>
        <w:rPr>
          <w:rFonts w:ascii="Times New Roman" w:hAnsi="Times New Roman"/>
          <w:snapToGrid w:val="0"/>
          <w:spacing w:val="-6"/>
          <w:kern w:val="21"/>
          <w:szCs w:val="21"/>
        </w:rPr>
        <w:fldChar w:fldCharType="begin"/>
      </w:r>
      <w:r>
        <w:rPr>
          <w:rFonts w:ascii="Times New Roman" w:hAnsi="Times New Roman"/>
          <w:snapToGrid w:val="0"/>
          <w:spacing w:val="-6"/>
          <w:kern w:val="21"/>
          <w:szCs w:val="21"/>
        </w:rPr>
        <w:instrText xml:space="preserve"> = 1 \* GB3 \* MERGEFORMAT </w:instrText>
      </w:r>
      <w:r>
        <w:rPr>
          <w:rFonts w:ascii="Times New Roman" w:hAnsi="Times New Roman"/>
          <w:snapToGrid w:val="0"/>
          <w:spacing w:val="-6"/>
          <w:kern w:val="21"/>
          <w:szCs w:val="21"/>
        </w:rPr>
        <w:fldChar w:fldCharType="separate"/>
      </w:r>
      <w:r>
        <w:rPr>
          <w:rFonts w:hint="eastAsia" w:hAnsi="宋体" w:cs="宋体"/>
          <w:szCs w:val="21"/>
        </w:rPr>
        <w:t>①</w:t>
      </w:r>
      <w:r>
        <w:rPr>
          <w:rFonts w:ascii="Times New Roman" w:hAnsi="Times New Roman"/>
          <w:snapToGrid w:val="0"/>
          <w:spacing w:val="-6"/>
          <w:kern w:val="21"/>
          <w:szCs w:val="21"/>
        </w:rPr>
        <w:fldChar w:fldCharType="end"/>
      </w:r>
      <w:r>
        <w:rPr>
          <w:rFonts w:ascii="Times New Roman" w:hAnsi="Times New Roman"/>
          <w:snapToGrid w:val="0"/>
          <w:spacing w:val="-6"/>
          <w:kern w:val="21"/>
          <w:szCs w:val="21"/>
        </w:rPr>
        <w:t>+</w:t>
      </w:r>
      <w:r>
        <w:rPr>
          <w:rFonts w:ascii="Times New Roman" w:hAnsi="Times New Roman"/>
          <w:snapToGrid w:val="0"/>
          <w:spacing w:val="-6"/>
          <w:kern w:val="21"/>
          <w:szCs w:val="21"/>
        </w:rPr>
        <w:fldChar w:fldCharType="begin"/>
      </w:r>
      <w:r>
        <w:rPr>
          <w:rFonts w:ascii="Times New Roman" w:hAnsi="Times New Roman"/>
          <w:snapToGrid w:val="0"/>
          <w:spacing w:val="-6"/>
          <w:kern w:val="21"/>
          <w:szCs w:val="21"/>
        </w:rPr>
        <w:instrText xml:space="preserve"> = 3 \* GB3 \* MERGEFORMAT </w:instrText>
      </w:r>
      <w:r>
        <w:rPr>
          <w:rFonts w:ascii="Times New Roman" w:hAnsi="Times New Roman"/>
          <w:snapToGrid w:val="0"/>
          <w:spacing w:val="-6"/>
          <w:kern w:val="21"/>
          <w:szCs w:val="21"/>
        </w:rPr>
        <w:fldChar w:fldCharType="separate"/>
      </w:r>
      <w:r>
        <w:rPr>
          <w:rFonts w:hint="eastAsia" w:hAnsi="宋体" w:cs="宋体"/>
          <w:szCs w:val="21"/>
        </w:rPr>
        <w:t>③</w:t>
      </w:r>
      <w:r>
        <w:rPr>
          <w:rFonts w:ascii="Times New Roman" w:hAnsi="Times New Roman"/>
          <w:snapToGrid w:val="0"/>
          <w:spacing w:val="-6"/>
          <w:kern w:val="21"/>
          <w:szCs w:val="21"/>
        </w:rPr>
        <w:fldChar w:fldCharType="end"/>
      </w:r>
      <w:r>
        <w:rPr>
          <w:rFonts w:ascii="Times New Roman" w:hAnsi="Times New Roman"/>
          <w:snapToGrid w:val="0"/>
          <w:spacing w:val="-6"/>
          <w:kern w:val="21"/>
          <w:szCs w:val="21"/>
        </w:rPr>
        <w:t>+</w:t>
      </w:r>
      <w:r>
        <w:rPr>
          <w:rFonts w:ascii="Times New Roman" w:hAnsi="Times New Roman"/>
          <w:snapToGrid w:val="0"/>
          <w:spacing w:val="-6"/>
          <w:kern w:val="21"/>
          <w:szCs w:val="21"/>
        </w:rPr>
        <w:fldChar w:fldCharType="begin"/>
      </w:r>
      <w:r>
        <w:rPr>
          <w:rFonts w:ascii="Times New Roman" w:hAnsi="Times New Roman"/>
          <w:snapToGrid w:val="0"/>
          <w:spacing w:val="-6"/>
          <w:kern w:val="21"/>
          <w:szCs w:val="21"/>
        </w:rPr>
        <w:instrText xml:space="preserve"> = 4 \* GB3 \* MERGEFORMAT </w:instrText>
      </w:r>
      <w:r>
        <w:rPr>
          <w:rFonts w:ascii="Times New Roman" w:hAnsi="Times New Roman"/>
          <w:snapToGrid w:val="0"/>
          <w:spacing w:val="-6"/>
          <w:kern w:val="21"/>
          <w:szCs w:val="21"/>
        </w:rPr>
        <w:fldChar w:fldCharType="separate"/>
      </w:r>
      <w:r>
        <w:rPr>
          <w:rFonts w:hint="eastAsia" w:hAnsi="宋体" w:cs="宋体"/>
          <w:szCs w:val="21"/>
        </w:rPr>
        <w:t>④</w:t>
      </w:r>
      <w:r>
        <w:rPr>
          <w:rFonts w:ascii="Times New Roman" w:hAnsi="Times New Roman"/>
          <w:snapToGrid w:val="0"/>
          <w:spacing w:val="-6"/>
          <w:kern w:val="21"/>
          <w:szCs w:val="21"/>
        </w:rPr>
        <w:fldChar w:fldCharType="end"/>
      </w:r>
      <w:r>
        <w:rPr>
          <w:rFonts w:ascii="Times New Roman" w:hAnsi="Times New Roman"/>
          <w:snapToGrid w:val="0"/>
          <w:spacing w:val="-6"/>
          <w:kern w:val="21"/>
          <w:szCs w:val="21"/>
        </w:rPr>
        <w:t>-</w:t>
      </w:r>
      <w:r>
        <w:rPr>
          <w:rFonts w:ascii="Times New Roman" w:hAnsi="Times New Roman"/>
          <w:snapToGrid w:val="0"/>
          <w:spacing w:val="-16"/>
          <w:kern w:val="21"/>
          <w:szCs w:val="21"/>
        </w:rPr>
        <w:fldChar w:fldCharType="begin"/>
      </w:r>
      <w:r>
        <w:rPr>
          <w:rFonts w:ascii="Times New Roman" w:hAnsi="Times New Roman"/>
          <w:snapToGrid w:val="0"/>
          <w:spacing w:val="-16"/>
          <w:kern w:val="21"/>
          <w:szCs w:val="21"/>
        </w:rPr>
        <w:instrText xml:space="preserve"> = 5 \* GB3 \* MERGEFORMAT </w:instrText>
      </w:r>
      <w:r>
        <w:rPr>
          <w:rFonts w:ascii="Times New Roman" w:hAnsi="Times New Roman"/>
          <w:snapToGrid w:val="0"/>
          <w:spacing w:val="-16"/>
          <w:kern w:val="21"/>
          <w:szCs w:val="21"/>
        </w:rPr>
        <w:fldChar w:fldCharType="separate"/>
      </w:r>
      <w:r>
        <w:rPr>
          <w:rFonts w:hint="eastAsia" w:hAnsi="宋体" w:cs="宋体"/>
          <w:szCs w:val="21"/>
        </w:rPr>
        <w:t>⑤</w:t>
      </w:r>
      <w:r>
        <w:rPr>
          <w:rFonts w:ascii="Times New Roman" w:hAnsi="Times New Roman"/>
          <w:snapToGrid w:val="0"/>
          <w:spacing w:val="-16"/>
          <w:kern w:val="21"/>
          <w:szCs w:val="21"/>
        </w:rPr>
        <w:fldChar w:fldCharType="end"/>
      </w:r>
      <w:r>
        <w:rPr>
          <w:rFonts w:ascii="Times New Roman" w:hAnsi="Times New Roman"/>
          <w:snapToGrid w:val="0"/>
          <w:spacing w:val="-16"/>
          <w:kern w:val="21"/>
          <w:szCs w:val="21"/>
        </w:rPr>
        <w:t>；</w:t>
      </w:r>
      <w:r>
        <w:rPr>
          <w:rFonts w:ascii="Times New Roman" w:hAnsi="Times New Roman"/>
          <w:snapToGrid w:val="0"/>
          <w:spacing w:val="-6"/>
          <w:kern w:val="21"/>
          <w:szCs w:val="21"/>
        </w:rPr>
        <w:fldChar w:fldCharType="begin"/>
      </w:r>
      <w:r>
        <w:rPr>
          <w:rFonts w:ascii="Times New Roman" w:hAnsi="Times New Roman"/>
          <w:snapToGrid w:val="0"/>
          <w:spacing w:val="-6"/>
          <w:kern w:val="21"/>
          <w:szCs w:val="21"/>
        </w:rPr>
        <w:instrText xml:space="preserve"> = 7 \* GB3 \* MERGEFORMAT </w:instrText>
      </w:r>
      <w:r>
        <w:rPr>
          <w:rFonts w:ascii="Times New Roman" w:hAnsi="Times New Roman"/>
          <w:snapToGrid w:val="0"/>
          <w:spacing w:val="-6"/>
          <w:kern w:val="21"/>
          <w:szCs w:val="21"/>
        </w:rPr>
        <w:fldChar w:fldCharType="separate"/>
      </w:r>
      <w:r>
        <w:rPr>
          <w:rFonts w:hint="eastAsia" w:hAnsi="宋体" w:cs="宋体"/>
          <w:szCs w:val="21"/>
        </w:rPr>
        <w:t>⑦</w:t>
      </w:r>
      <w:r>
        <w:rPr>
          <w:rFonts w:ascii="Times New Roman" w:hAnsi="Times New Roman"/>
          <w:snapToGrid w:val="0"/>
          <w:spacing w:val="-6"/>
          <w:kern w:val="21"/>
          <w:szCs w:val="21"/>
        </w:rPr>
        <w:fldChar w:fldCharType="end"/>
      </w:r>
      <w:r>
        <w:rPr>
          <w:rFonts w:ascii="Times New Roman" w:hAnsi="Times New Roman"/>
          <w:snapToGrid w:val="0"/>
          <w:spacing w:val="-6"/>
          <w:kern w:val="21"/>
          <w:szCs w:val="21"/>
        </w:rPr>
        <w:t>=</w:t>
      </w:r>
      <w:r>
        <w:rPr>
          <w:rFonts w:ascii="Times New Roman" w:hAnsi="Times New Roman"/>
          <w:snapToGrid w:val="0"/>
          <w:spacing w:val="-16"/>
          <w:kern w:val="21"/>
          <w:szCs w:val="21"/>
        </w:rPr>
        <w:fldChar w:fldCharType="begin"/>
      </w:r>
      <w:r>
        <w:rPr>
          <w:rFonts w:ascii="Times New Roman" w:hAnsi="Times New Roman"/>
          <w:snapToGrid w:val="0"/>
          <w:spacing w:val="-16"/>
          <w:kern w:val="21"/>
          <w:szCs w:val="21"/>
        </w:rPr>
        <w:instrText xml:space="preserve"> = 6 \* GB3 \* MERGEFORMAT </w:instrText>
      </w:r>
      <w:r>
        <w:rPr>
          <w:rFonts w:ascii="Times New Roman" w:hAnsi="Times New Roman"/>
          <w:snapToGrid w:val="0"/>
          <w:spacing w:val="-16"/>
          <w:kern w:val="21"/>
          <w:szCs w:val="21"/>
        </w:rPr>
        <w:fldChar w:fldCharType="separate"/>
      </w:r>
      <w:r>
        <w:rPr>
          <w:rFonts w:hint="eastAsia" w:hAnsi="宋体" w:cs="宋体"/>
          <w:szCs w:val="21"/>
        </w:rPr>
        <w:t>⑥</w:t>
      </w:r>
      <w:r>
        <w:rPr>
          <w:rFonts w:ascii="Times New Roman" w:hAnsi="Times New Roman"/>
          <w:snapToGrid w:val="0"/>
          <w:spacing w:val="-16"/>
          <w:kern w:val="21"/>
          <w:szCs w:val="21"/>
        </w:rPr>
        <w:fldChar w:fldCharType="end"/>
      </w:r>
      <w:r>
        <w:rPr>
          <w:rFonts w:ascii="Times New Roman" w:hAnsi="Times New Roman"/>
          <w:snapToGrid w:val="0"/>
          <w:spacing w:val="-16"/>
          <w:kern w:val="21"/>
          <w:szCs w:val="21"/>
        </w:rPr>
        <w:t>-</w:t>
      </w:r>
      <w:r>
        <w:rPr>
          <w:rFonts w:ascii="Times New Roman" w:hAnsi="Times New Roman"/>
          <w:snapToGrid w:val="0"/>
          <w:spacing w:val="-6"/>
          <w:kern w:val="21"/>
          <w:szCs w:val="21"/>
        </w:rPr>
        <w:fldChar w:fldCharType="begin"/>
      </w:r>
      <w:r>
        <w:rPr>
          <w:rFonts w:ascii="Times New Roman" w:hAnsi="Times New Roman"/>
          <w:snapToGrid w:val="0"/>
          <w:spacing w:val="-6"/>
          <w:kern w:val="21"/>
          <w:szCs w:val="21"/>
        </w:rPr>
        <w:instrText xml:space="preserve"> = 1 \* GB3 \* MERGEFORMAT </w:instrText>
      </w:r>
      <w:r>
        <w:rPr>
          <w:rFonts w:ascii="Times New Roman" w:hAnsi="Times New Roman"/>
          <w:snapToGrid w:val="0"/>
          <w:spacing w:val="-6"/>
          <w:kern w:val="21"/>
          <w:szCs w:val="21"/>
        </w:rPr>
        <w:fldChar w:fldCharType="separate"/>
      </w:r>
      <w:r>
        <w:rPr>
          <w:rFonts w:hint="eastAsia" w:hAnsi="宋体" w:cs="宋体"/>
          <w:szCs w:val="21"/>
        </w:rPr>
        <w:t>①</w:t>
      </w:r>
      <w:r>
        <w:rPr>
          <w:rFonts w:ascii="Times New Roman" w:hAnsi="Times New Roman"/>
          <w:snapToGrid w:val="0"/>
          <w:spacing w:val="-6"/>
          <w:kern w:val="21"/>
          <w:szCs w:val="21"/>
        </w:rPr>
        <w:fldChar w:fldCharType="end"/>
      </w:r>
    </w:p>
    <w:p>
      <w:pPr>
        <w:ind w:firstLine="600"/>
        <w:jc w:val="left"/>
        <w:rPr>
          <w:rFonts w:ascii="Times New Roman" w:hAnsi="Times New Roman" w:eastAsia="仿宋"/>
          <w:sz w:val="30"/>
        </w:rPr>
      </w:pPr>
    </w:p>
    <w:p>
      <w:pPr>
        <w:rPr>
          <w:rFonts w:ascii="Times New Roman" w:hAnsi="Times New Roman"/>
        </w:rPr>
        <w:sectPr>
          <w:footerReference r:id="rId7" w:type="default"/>
          <w:pgSz w:w="16838" w:h="11906" w:orient="landscape"/>
          <w:pgMar w:top="1701" w:right="1531" w:bottom="1701" w:left="1531" w:header="851" w:footer="851" w:gutter="0"/>
          <w:cols w:space="720" w:num="1"/>
          <w:docGrid w:linePitch="312" w:charSpace="0"/>
        </w:sectPr>
      </w:pPr>
    </w:p>
    <w:p>
      <w:pPr>
        <w:rPr>
          <w:rFonts w:ascii="Times New Roman" w:hAnsi="Times New Roman"/>
        </w:rPr>
      </w:pPr>
    </w:p>
    <w:sectPr>
      <w:footerReference r:id="rId8" w:type="default"/>
      <w:pgSz w:w="11906" w:h="16838"/>
      <w:pgMar w:top="1701" w:right="1531" w:bottom="1701" w:left="1531" w:header="851" w:footer="851"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Arial"/>
    <w:panose1 w:val="020F0502020204030204"/>
    <w:charset w:val="00"/>
    <w:family w:val="swiss"/>
    <w:pitch w:val="default"/>
    <w:sig w:usb0="00000000" w:usb1="00000000" w:usb2="00000001" w:usb3="00000000" w:csb0="0000019F" w:csb1="00000000"/>
  </w:font>
  <w:font w:name="Arial">
    <w:panose1 w:val="020B0604020202020204"/>
    <w:charset w:val="00"/>
    <w:family w:val="auto"/>
    <w:pitch w:val="default"/>
    <w:sig w:usb0="E0002AFF" w:usb1="C0007843" w:usb2="00000009" w:usb3="00000000" w:csb0="400001FF" w:csb1="FFFF0000"/>
  </w:font>
  <w:font w:name="方正黑体_GBK">
    <w:panose1 w:val="02000000000000000000"/>
    <w:charset w:val="86"/>
    <w:family w:val="auto"/>
    <w:pitch w:val="default"/>
    <w:sig w:usb0="00000001" w:usb1="08000000" w:usb2="0000000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Cambria">
    <w:altName w:val="Noto Sans Syriac Eastern"/>
    <w:panose1 w:val="02040503050406030204"/>
    <w:charset w:val="00"/>
    <w:family w:val="roman"/>
    <w:pitch w:val="default"/>
    <w:sig w:usb0="00000000" w:usb1="00000000" w:usb2="02000000" w:usb3="00000000" w:csb0="2000019F" w:csb1="00000000"/>
  </w:font>
  <w:font w:name="Noto Sans Syriac Eastern">
    <w:panose1 w:val="02040503050306020203"/>
    <w:charset w:val="86"/>
    <w:family w:val="auto"/>
    <w:pitch w:val="default"/>
    <w:sig w:usb0="00000000" w:usb1="00000000" w:usb2="00000080" w:usb3="00000000" w:csb0="203E0161" w:csb1="D7FF0000"/>
  </w:font>
  <w:font w:name="楷体_GB2312">
    <w:altName w:val="宋体"/>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新宋体-18030">
    <w:altName w:val="宋体"/>
    <w:panose1 w:val="00000000000000000000"/>
    <w:charset w:val="00"/>
    <w:family w:val="auto"/>
    <w:pitch w:val="default"/>
    <w:sig w:usb0="00000000" w:usb1="00000000" w:usb2="00000000" w:usb3="00000000" w:csb0="00040001" w:csb1="00000000"/>
  </w:font>
  <w:font w:name="Microsoft YaHei UI">
    <w:altName w:val="文泉驿微米黑"/>
    <w:panose1 w:val="020B0503020204020204"/>
    <w:charset w:val="86"/>
    <w:family w:val="swiss"/>
    <w:pitch w:val="default"/>
    <w:sig w:usb0="00000000" w:usb1="00000000" w:usb2="00000016" w:usb3="00000000" w:csb0="0004001F" w:csb1="00000000"/>
  </w:font>
  <w:font w:name="文泉驿微米黑">
    <w:panose1 w:val="020B0606030804020204"/>
    <w:charset w:val="86"/>
    <w:family w:val="auto"/>
    <w:pitch w:val="default"/>
    <w:sig w:usb0="E10002EF" w:usb1="6BDFFCFB" w:usb2="00800036" w:usb3="00000000" w:csb0="603E019F" w:csb1="DFD70000"/>
  </w:font>
  <w:font w:name="方正小标宋_GBK">
    <w:panose1 w:val="02000000000000000000"/>
    <w:charset w:val="86"/>
    <w:family w:val="script"/>
    <w:pitch w:val="default"/>
    <w:sig w:usb0="00000001" w:usb1="08000000" w:usb2="00000000" w:usb3="00000000" w:csb0="00040000" w:csb1="00000000"/>
  </w:font>
  <w:font w:name="华文仿宋">
    <w:altName w:val="方正仿宋_GBK"/>
    <w:panose1 w:val="02010600040101010101"/>
    <w:charset w:val="86"/>
    <w:family w:val="auto"/>
    <w:pitch w:val="default"/>
    <w:sig w:usb0="00000000" w:usb1="00000000" w:usb2="00000000" w:usb3="00000000" w:csb0="0004009F" w:csb1="DFD70000"/>
  </w:font>
  <w:font w:name="方正仿宋_GBK">
    <w:panose1 w:val="02000000000000000000"/>
    <w:charset w:val="86"/>
    <w:family w:val="auto"/>
    <w:pitch w:val="default"/>
    <w:sig w:usb0="00000001" w:usb1="0800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仿宋_GB2312">
    <w:altName w:val="宋体"/>
    <w:panose1 w:val="00000000000000000000"/>
    <w:charset w:val="86"/>
    <w:family w:val="modern"/>
    <w:pitch w:val="default"/>
    <w:sig w:usb0="00000000" w:usb1="0000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等线">
    <w:altName w:val="宋体"/>
    <w:panose1 w:val="02010600030101010101"/>
    <w:charset w:val="86"/>
    <w:family w:val="auto"/>
    <w:pitch w:val="default"/>
    <w:sig w:usb0="00000000" w:usb1="00000000" w:usb2="00000016" w:usb3="00000000" w:csb0="0004000F" w:csb1="00000000"/>
  </w:font>
  <w:font w:name="微软雅黑">
    <w:altName w:val="方正黑体_GBK"/>
    <w:panose1 w:val="020B0503020204020204"/>
    <w:charset w:val="86"/>
    <w:family w:val="swiss"/>
    <w:pitch w:val="default"/>
    <w:sig w:usb0="00000000" w:usb1="00000000" w:usb2="00000016" w:usb3="00000000" w:csb0="0004001F" w:csb1="00000000"/>
  </w:font>
  <w:font w:name="MS Gothic">
    <w:altName w:val="宋体"/>
    <w:panose1 w:val="020B0609070205080204"/>
    <w:charset w:val="80"/>
    <w:family w:val="modern"/>
    <w:pitch w:val="default"/>
    <w:sig w:usb0="00000000" w:usb1="00000000" w:usb2="08000012" w:usb3="00000000" w:csb0="4002009F" w:csb1="DFD70000"/>
  </w:font>
  <w:font w:name="华文宋体">
    <w:altName w:val="宋体"/>
    <w:panose1 w:val="02010600040101010101"/>
    <w:charset w:val="86"/>
    <w:family w:val="auto"/>
    <w:pitch w:val="default"/>
    <w:sig w:usb0="00000000" w:usb1="00000000" w:usb2="00000000" w:usb3="00000000" w:csb0="0004009F" w:csb1="DFD70000"/>
  </w:font>
  <w:font w:name="Tahoma">
    <w:altName w:val="DejaVu Sans"/>
    <w:panose1 w:val="020B0604030504040204"/>
    <w:charset w:val="00"/>
    <w:family w:val="swiss"/>
    <w:pitch w:val="default"/>
    <w:sig w:usb0="00000000" w:usb1="00000000"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right="360"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framePr w:wrap="around" w:vAnchor="text" w:hAnchor="margin" w:xAlign="center" w:y="1"/>
      <w:rPr>
        <w:rStyle w:val="29"/>
      </w:rPr>
    </w:pPr>
    <w:r>
      <w:fldChar w:fldCharType="begin"/>
    </w:r>
    <w:r>
      <w:rPr>
        <w:rStyle w:val="29"/>
      </w:rPr>
      <w:instrText xml:space="preserve">PAGE  </w:instrText>
    </w:r>
    <w:r>
      <w:fldChar w:fldCharType="end"/>
    </w:r>
  </w:p>
  <w:p>
    <w:pPr>
      <w:pStyle w:val="19"/>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mc:AlternateContent>
        <mc:Choice Requires="wps">
          <w:drawing>
            <wp:anchor distT="0" distB="0" distL="114300" distR="114300" simplePos="0" relativeHeight="251671552" behindDoc="0" locked="0" layoutInCell="1" allowOverlap="1">
              <wp:simplePos x="0" y="0"/>
              <wp:positionH relativeFrom="margin">
                <wp:posOffset>-972185</wp:posOffset>
              </wp:positionH>
              <wp:positionV relativeFrom="paragraph">
                <wp:posOffset>-10012045</wp:posOffset>
              </wp:positionV>
              <wp:extent cx="521335" cy="230505"/>
              <wp:effectExtent l="0" t="0" r="0" b="0"/>
              <wp:wrapNone/>
              <wp:docPr id="36" name="文本框 1"/>
              <wp:cNvGraphicFramePr/>
              <a:graphic xmlns:a="http://schemas.openxmlformats.org/drawingml/2006/main">
                <a:graphicData uri="http://schemas.microsoft.com/office/word/2010/wordprocessingShape">
                  <wps:wsp>
                    <wps:cNvSpPr txBox="1"/>
                    <wps:spPr>
                      <a:xfrm>
                        <a:off x="0" y="0"/>
                        <a:ext cx="521335" cy="23050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rPr>
                              <w:rStyle w:val="29"/>
                              <w:rFonts w:ascii="宋体" w:hAnsi="宋体"/>
                              <w:sz w:val="28"/>
                              <w:szCs w:val="28"/>
                            </w:rPr>
                          </w:pPr>
                          <w:r>
                            <w:rPr>
                              <w:rStyle w:val="29"/>
                              <w:rFonts w:hint="eastAsia" w:ascii="宋体" w:hAnsi="宋体"/>
                              <w:sz w:val="28"/>
                              <w:szCs w:val="28"/>
                            </w:rPr>
                            <w:t>—</w:t>
                          </w:r>
                          <w:r>
                            <w:rPr>
                              <w:rFonts w:ascii="宋体" w:hAnsi="宋体"/>
                              <w:sz w:val="21"/>
                              <w:szCs w:val="21"/>
                            </w:rPr>
                            <w:fldChar w:fldCharType="begin"/>
                          </w:r>
                          <w:r>
                            <w:rPr>
                              <w:rStyle w:val="29"/>
                              <w:rFonts w:ascii="宋体" w:hAnsi="宋体"/>
                              <w:sz w:val="21"/>
                              <w:szCs w:val="21"/>
                            </w:rPr>
                            <w:instrText xml:space="preserve">PAGE  </w:instrText>
                          </w:r>
                          <w:r>
                            <w:rPr>
                              <w:rFonts w:ascii="宋体" w:hAnsi="宋体"/>
                              <w:sz w:val="21"/>
                              <w:szCs w:val="21"/>
                            </w:rPr>
                            <w:fldChar w:fldCharType="separate"/>
                          </w:r>
                          <w:r>
                            <w:rPr>
                              <w:rStyle w:val="29"/>
                              <w:rFonts w:ascii="宋体" w:hAnsi="宋体"/>
                              <w:sz w:val="21"/>
                              <w:szCs w:val="21"/>
                            </w:rPr>
                            <w:t>94</w:t>
                          </w:r>
                          <w:r>
                            <w:rPr>
                              <w:rFonts w:ascii="宋体" w:hAnsi="宋体"/>
                              <w:sz w:val="21"/>
                              <w:szCs w:val="21"/>
                            </w:rPr>
                            <w:fldChar w:fldCharType="end"/>
                          </w:r>
                          <w:r>
                            <w:rPr>
                              <w:rStyle w:val="29"/>
                              <w:rFonts w:hint="eastAsia" w:ascii="宋体" w:hAnsi="宋体"/>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left:-76.55pt;margin-top:-788.35pt;height:18.15pt;width:41.05pt;mso-position-horizontal-relative:margin;mso-wrap-style:none;z-index:251671552;mso-width-relative:page;mso-height-relative:page;" filled="f" stroked="f" coordsize="21600,21600" o:gfxdata="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FgAAAGRycy9QSwECFAAUAAAACACHTuJAyQDaB9oAAAAQAQAADwAAAAAAAAAB&#10;ACAAAAA4AAAAZHJzL2Rvd25yZXYueG1sUEsBAhQAFAAAAAgAh07iQBbVesIxAgAAVAQAAA4AAAAA&#10;AAAAAQAgAAAAPwEAAGRycy9lMm9Eb2MueG1sUEsFBgAAAAAGAAYAWQEAAOIFAAAAAA==&#10;">
              <v:fill on="f" focussize="0,0"/>
              <v:stroke on="f" weight="0.5pt"/>
              <v:imagedata o:title=""/>
              <o:lock v:ext="edit" aspectratio="f"/>
              <v:textbox inset="0mm,0mm,0mm,0mm" style="mso-fit-shape-to-text:t;">
                <w:txbxContent>
                  <w:p>
                    <w:pPr>
                      <w:pStyle w:val="19"/>
                      <w:rPr>
                        <w:rStyle w:val="29"/>
                        <w:rFonts w:ascii="宋体" w:hAnsi="宋体"/>
                        <w:sz w:val="28"/>
                        <w:szCs w:val="28"/>
                      </w:rPr>
                    </w:pPr>
                    <w:r>
                      <w:rPr>
                        <w:rStyle w:val="29"/>
                        <w:rFonts w:hint="eastAsia" w:ascii="宋体" w:hAnsi="宋体"/>
                        <w:sz w:val="28"/>
                        <w:szCs w:val="28"/>
                      </w:rPr>
                      <w:t>—</w:t>
                    </w:r>
                    <w:r>
                      <w:rPr>
                        <w:rFonts w:ascii="宋体" w:hAnsi="宋体"/>
                        <w:sz w:val="21"/>
                        <w:szCs w:val="21"/>
                      </w:rPr>
                      <w:fldChar w:fldCharType="begin"/>
                    </w:r>
                    <w:r>
                      <w:rPr>
                        <w:rStyle w:val="29"/>
                        <w:rFonts w:ascii="宋体" w:hAnsi="宋体"/>
                        <w:sz w:val="21"/>
                        <w:szCs w:val="21"/>
                      </w:rPr>
                      <w:instrText xml:space="preserve">PAGE  </w:instrText>
                    </w:r>
                    <w:r>
                      <w:rPr>
                        <w:rFonts w:ascii="宋体" w:hAnsi="宋体"/>
                        <w:sz w:val="21"/>
                        <w:szCs w:val="21"/>
                      </w:rPr>
                      <w:fldChar w:fldCharType="separate"/>
                    </w:r>
                    <w:r>
                      <w:rPr>
                        <w:rStyle w:val="29"/>
                        <w:rFonts w:ascii="宋体" w:hAnsi="宋体"/>
                        <w:sz w:val="21"/>
                        <w:szCs w:val="21"/>
                      </w:rPr>
                      <w:t>94</w:t>
                    </w:r>
                    <w:r>
                      <w:rPr>
                        <w:rFonts w:ascii="宋体" w:hAnsi="宋体"/>
                        <w:sz w:val="21"/>
                        <w:szCs w:val="21"/>
                      </w:rPr>
                      <w:fldChar w:fldCharType="end"/>
                    </w:r>
                    <w:r>
                      <w:rPr>
                        <w:rStyle w:val="29"/>
                        <w:rFonts w:hint="eastAsia" w:ascii="宋体" w:hAnsi="宋体"/>
                        <w:sz w:val="28"/>
                        <w:szCs w:val="28"/>
                      </w:rPr>
                      <w:t>—</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right="360" w:firstLine="360"/>
      <w:jc w:val="center"/>
    </w:pPr>
    <w: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438785" cy="230505"/>
              <wp:effectExtent l="0" t="0" r="0" b="0"/>
              <wp:wrapNone/>
              <wp:docPr id="64710274" name="文本框 3"/>
              <wp:cNvGraphicFramePr/>
              <a:graphic xmlns:a="http://schemas.openxmlformats.org/drawingml/2006/main">
                <a:graphicData uri="http://schemas.microsoft.com/office/word/2010/wordprocessingShape">
                  <wps:wsp>
                    <wps:cNvSpPr txBox="1"/>
                    <wps:spPr>
                      <a:xfrm>
                        <a:off x="0" y="0"/>
                        <a:ext cx="438785" cy="23050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rPr>
                              <w:rStyle w:val="29"/>
                              <w:rFonts w:ascii="宋体" w:hAnsi="宋体"/>
                              <w:sz w:val="28"/>
                              <w:szCs w:val="28"/>
                            </w:rPr>
                          </w:pPr>
                          <w:r>
                            <w:rPr>
                              <w:rStyle w:val="29"/>
                              <w:rFonts w:hint="eastAsia" w:ascii="宋体" w:hAnsi="宋体"/>
                              <w:sz w:val="21"/>
                              <w:szCs w:val="21"/>
                            </w:rPr>
                            <w:t>—</w:t>
                          </w:r>
                          <w:r>
                            <w:rPr>
                              <w:rFonts w:ascii="宋体" w:hAnsi="宋体"/>
                              <w:sz w:val="21"/>
                              <w:szCs w:val="21"/>
                            </w:rPr>
                            <w:fldChar w:fldCharType="begin"/>
                          </w:r>
                          <w:r>
                            <w:rPr>
                              <w:rStyle w:val="29"/>
                              <w:rFonts w:ascii="宋体" w:hAnsi="宋体"/>
                              <w:sz w:val="21"/>
                              <w:szCs w:val="21"/>
                            </w:rPr>
                            <w:instrText xml:space="preserve">PAGE  </w:instrText>
                          </w:r>
                          <w:r>
                            <w:rPr>
                              <w:rFonts w:ascii="宋体" w:hAnsi="宋体"/>
                              <w:sz w:val="21"/>
                              <w:szCs w:val="21"/>
                            </w:rPr>
                            <w:fldChar w:fldCharType="separate"/>
                          </w:r>
                          <w:r>
                            <w:rPr>
                              <w:rStyle w:val="29"/>
                              <w:rFonts w:ascii="宋体" w:hAnsi="宋体"/>
                              <w:sz w:val="21"/>
                              <w:szCs w:val="21"/>
                            </w:rPr>
                            <w:t>58</w:t>
                          </w:r>
                          <w:r>
                            <w:rPr>
                              <w:rFonts w:ascii="宋体" w:hAnsi="宋体"/>
                              <w:sz w:val="21"/>
                              <w:szCs w:val="21"/>
                            </w:rPr>
                            <w:fldChar w:fldCharType="end"/>
                          </w:r>
                          <w:r>
                            <w:rPr>
                              <w:rStyle w:val="29"/>
                              <w:rFonts w:hint="eastAsia" w:ascii="宋体" w:hAnsi="宋体"/>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3" o:spid="_x0000_s1026" o:spt="202" type="#_x0000_t202" style="position:absolute;left:0pt;margin-top:0pt;height:18.15pt;width:34.55pt;mso-position-horizontal:center;mso-position-horizontal-relative:margin;mso-wrap-style:none;z-index:251669504;mso-width-relative:page;mso-height-relative:page;" filled="f" stroked="f" coordsize="21600,21600" o:gfxdata="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FgAAAGRycy9QSwECFAAUAAAACACHTuJArDsjdNEAAAADAQAADwAAAAAAAAABACAA&#10;AAA4AAAAZHJzL2Rvd25yZXYueG1sUEsBAhQAFAAAAAgAh07iQJ70Gi83AgAAWgQAAA4AAAAAAAAA&#10;AQAgAAAANgEAAGRycy9lMm9Eb2MueG1sUEsFBgAAAAAGAAYAWQEAAN8FAAAAAA==&#10;">
              <v:fill on="f" focussize="0,0"/>
              <v:stroke on="f" weight="0.5pt"/>
              <v:imagedata o:title=""/>
              <o:lock v:ext="edit" aspectratio="f"/>
              <v:textbox inset="0mm,0mm,0mm,0mm" style="mso-fit-shape-to-text:t;">
                <w:txbxContent>
                  <w:p>
                    <w:pPr>
                      <w:pStyle w:val="19"/>
                      <w:rPr>
                        <w:rStyle w:val="29"/>
                        <w:rFonts w:ascii="宋体" w:hAnsi="宋体"/>
                        <w:sz w:val="28"/>
                        <w:szCs w:val="28"/>
                      </w:rPr>
                    </w:pPr>
                    <w:r>
                      <w:rPr>
                        <w:rStyle w:val="29"/>
                        <w:rFonts w:hint="eastAsia" w:ascii="宋体" w:hAnsi="宋体"/>
                        <w:sz w:val="21"/>
                        <w:szCs w:val="21"/>
                      </w:rPr>
                      <w:t>—</w:t>
                    </w:r>
                    <w:r>
                      <w:rPr>
                        <w:rFonts w:ascii="宋体" w:hAnsi="宋体"/>
                        <w:sz w:val="21"/>
                        <w:szCs w:val="21"/>
                      </w:rPr>
                      <w:fldChar w:fldCharType="begin"/>
                    </w:r>
                    <w:r>
                      <w:rPr>
                        <w:rStyle w:val="29"/>
                        <w:rFonts w:ascii="宋体" w:hAnsi="宋体"/>
                        <w:sz w:val="21"/>
                        <w:szCs w:val="21"/>
                      </w:rPr>
                      <w:instrText xml:space="preserve">PAGE  </w:instrText>
                    </w:r>
                    <w:r>
                      <w:rPr>
                        <w:rFonts w:ascii="宋体" w:hAnsi="宋体"/>
                        <w:sz w:val="21"/>
                        <w:szCs w:val="21"/>
                      </w:rPr>
                      <w:fldChar w:fldCharType="separate"/>
                    </w:r>
                    <w:r>
                      <w:rPr>
                        <w:rStyle w:val="29"/>
                        <w:rFonts w:ascii="宋体" w:hAnsi="宋体"/>
                        <w:sz w:val="21"/>
                        <w:szCs w:val="21"/>
                      </w:rPr>
                      <w:t>58</w:t>
                    </w:r>
                    <w:r>
                      <w:rPr>
                        <w:rFonts w:ascii="宋体" w:hAnsi="宋体"/>
                        <w:sz w:val="21"/>
                        <w:szCs w:val="21"/>
                      </w:rPr>
                      <w:fldChar w:fldCharType="end"/>
                    </w:r>
                    <w:r>
                      <w:rPr>
                        <w:rStyle w:val="29"/>
                        <w:rFonts w:hint="eastAsia" w:ascii="宋体" w:hAnsi="宋体"/>
                        <w:sz w:val="28"/>
                        <w:szCs w:val="28"/>
                      </w:rPr>
                      <w:t>—</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right="360" w:firstLine="360"/>
      <w:jc w:val="center"/>
    </w:pPr>
    <w: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521335" cy="230505"/>
              <wp:effectExtent l="0" t="0" r="0" b="0"/>
              <wp:wrapNone/>
              <wp:docPr id="1308357721" name="文本框 2"/>
              <wp:cNvGraphicFramePr/>
              <a:graphic xmlns:a="http://schemas.openxmlformats.org/drawingml/2006/main">
                <a:graphicData uri="http://schemas.microsoft.com/office/word/2010/wordprocessingShape">
                  <wps:wsp>
                    <wps:cNvSpPr txBox="1"/>
                    <wps:spPr>
                      <a:xfrm>
                        <a:off x="0" y="0"/>
                        <a:ext cx="521335" cy="23050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rPr>
                              <w:rStyle w:val="29"/>
                              <w:rFonts w:ascii="宋体" w:hAnsi="宋体"/>
                              <w:sz w:val="28"/>
                              <w:szCs w:val="28"/>
                            </w:rPr>
                          </w:pPr>
                          <w:r>
                            <w:rPr>
                              <w:rStyle w:val="29"/>
                              <w:rFonts w:hint="eastAsia" w:ascii="宋体" w:hAnsi="宋体"/>
                              <w:sz w:val="21"/>
                              <w:szCs w:val="21"/>
                            </w:rPr>
                            <w:t>—</w:t>
                          </w:r>
                          <w:r>
                            <w:rPr>
                              <w:rFonts w:ascii="宋体" w:hAnsi="宋体"/>
                              <w:sz w:val="21"/>
                              <w:szCs w:val="21"/>
                            </w:rPr>
                            <w:fldChar w:fldCharType="begin"/>
                          </w:r>
                          <w:r>
                            <w:rPr>
                              <w:rStyle w:val="29"/>
                              <w:rFonts w:ascii="宋体" w:hAnsi="宋体"/>
                              <w:sz w:val="21"/>
                              <w:szCs w:val="21"/>
                            </w:rPr>
                            <w:instrText xml:space="preserve">PAGE  </w:instrText>
                          </w:r>
                          <w:r>
                            <w:rPr>
                              <w:rFonts w:ascii="宋体" w:hAnsi="宋体"/>
                              <w:sz w:val="21"/>
                              <w:szCs w:val="21"/>
                            </w:rPr>
                            <w:fldChar w:fldCharType="separate"/>
                          </w:r>
                          <w:r>
                            <w:rPr>
                              <w:rStyle w:val="29"/>
                              <w:rFonts w:ascii="宋体" w:hAnsi="宋体"/>
                              <w:sz w:val="21"/>
                              <w:szCs w:val="21"/>
                            </w:rPr>
                            <w:t>59</w:t>
                          </w:r>
                          <w:r>
                            <w:rPr>
                              <w:rFonts w:ascii="宋体" w:hAnsi="宋体"/>
                              <w:sz w:val="21"/>
                              <w:szCs w:val="21"/>
                            </w:rPr>
                            <w:fldChar w:fldCharType="end"/>
                          </w:r>
                          <w:r>
                            <w:rPr>
                              <w:rStyle w:val="29"/>
                              <w:rFonts w:hint="eastAsia" w:ascii="宋体" w:hAnsi="宋体"/>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2" o:spid="_x0000_s1026" o:spt="202" type="#_x0000_t202" style="position:absolute;left:0pt;margin-top:0pt;height:18.15pt;width:41.05pt;mso-position-horizontal:center;mso-position-horizontal-relative:margin;mso-wrap-style:none;z-index:251670528;mso-width-relative:page;mso-height-relative:page;" filled="f" stroked="f" coordsize="21600,21600" o:gfxdata="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BYAAABkcnMvUEsBAhQAFAAAAAgAh07iQFjB70TSAAAAAwEAAA8AAAAAAAAAAQAg&#10;AAAAOAAAAGRycy9kb3ducmV2LnhtbFBLAQIUABQAAAAIAIdO4kB3w+DsNwIAAFwEAAAOAAAAAAAA&#10;AAEAIAAAADcBAABkcnMvZTJvRG9jLnhtbFBLBQYAAAAABgAGAFkBAADgBQAAAAA=&#10;">
              <v:fill on="f" focussize="0,0"/>
              <v:stroke on="f" weight="0.5pt"/>
              <v:imagedata o:title=""/>
              <o:lock v:ext="edit" aspectratio="f"/>
              <v:textbox inset="0mm,0mm,0mm,0mm" style="mso-fit-shape-to-text:t;">
                <w:txbxContent>
                  <w:p>
                    <w:pPr>
                      <w:pStyle w:val="19"/>
                      <w:rPr>
                        <w:rStyle w:val="29"/>
                        <w:rFonts w:ascii="宋体" w:hAnsi="宋体"/>
                        <w:sz w:val="28"/>
                        <w:szCs w:val="28"/>
                      </w:rPr>
                    </w:pPr>
                    <w:r>
                      <w:rPr>
                        <w:rStyle w:val="29"/>
                        <w:rFonts w:hint="eastAsia" w:ascii="宋体" w:hAnsi="宋体"/>
                        <w:sz w:val="21"/>
                        <w:szCs w:val="21"/>
                      </w:rPr>
                      <w:t>—</w:t>
                    </w:r>
                    <w:r>
                      <w:rPr>
                        <w:rFonts w:ascii="宋体" w:hAnsi="宋体"/>
                        <w:sz w:val="21"/>
                        <w:szCs w:val="21"/>
                      </w:rPr>
                      <w:fldChar w:fldCharType="begin"/>
                    </w:r>
                    <w:r>
                      <w:rPr>
                        <w:rStyle w:val="29"/>
                        <w:rFonts w:ascii="宋体" w:hAnsi="宋体"/>
                        <w:sz w:val="21"/>
                        <w:szCs w:val="21"/>
                      </w:rPr>
                      <w:instrText xml:space="preserve">PAGE  </w:instrText>
                    </w:r>
                    <w:r>
                      <w:rPr>
                        <w:rFonts w:ascii="宋体" w:hAnsi="宋体"/>
                        <w:sz w:val="21"/>
                        <w:szCs w:val="21"/>
                      </w:rPr>
                      <w:fldChar w:fldCharType="separate"/>
                    </w:r>
                    <w:r>
                      <w:rPr>
                        <w:rStyle w:val="29"/>
                        <w:rFonts w:ascii="宋体" w:hAnsi="宋体"/>
                        <w:sz w:val="21"/>
                        <w:szCs w:val="21"/>
                      </w:rPr>
                      <w:t>59</w:t>
                    </w:r>
                    <w:r>
                      <w:rPr>
                        <w:rFonts w:ascii="宋体" w:hAnsi="宋体"/>
                        <w:sz w:val="21"/>
                        <w:szCs w:val="21"/>
                      </w:rPr>
                      <w:fldChar w:fldCharType="end"/>
                    </w:r>
                    <w:r>
                      <w:rPr>
                        <w:rStyle w:val="29"/>
                        <w:rFonts w:hint="eastAsia" w:ascii="宋体" w:hAnsi="宋体"/>
                        <w:sz w:val="28"/>
                        <w:szCs w:val="28"/>
                      </w:rPr>
                      <w:t>—</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right="360" w:firstLine="360"/>
      <w:jc w:val="cen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881322"/>
    <w:multiLevelType w:val="singleLevel"/>
    <w:tmpl w:val="81881322"/>
    <w:lvl w:ilvl="0" w:tentative="0">
      <w:start w:val="1"/>
      <w:numFmt w:val="decimal"/>
      <w:suff w:val="nothing"/>
      <w:lvlText w:val="（%1）"/>
      <w:lvlJc w:val="left"/>
    </w:lvl>
  </w:abstractNum>
  <w:abstractNum w:abstractNumId="1">
    <w:nsid w:val="8873F145"/>
    <w:multiLevelType w:val="singleLevel"/>
    <w:tmpl w:val="8873F145"/>
    <w:lvl w:ilvl="0" w:tentative="0">
      <w:start w:val="1"/>
      <w:numFmt w:val="decimal"/>
      <w:suff w:val="nothing"/>
      <w:lvlText w:val="（%1）"/>
      <w:lvlJc w:val="left"/>
    </w:lvl>
  </w:abstractNum>
  <w:abstractNum w:abstractNumId="2">
    <w:nsid w:val="88EEAA93"/>
    <w:multiLevelType w:val="singleLevel"/>
    <w:tmpl w:val="88EEAA93"/>
    <w:lvl w:ilvl="0" w:tentative="0">
      <w:start w:val="5"/>
      <w:numFmt w:val="decimal"/>
      <w:suff w:val="nothing"/>
      <w:lvlText w:val="（%1）"/>
      <w:lvlJc w:val="left"/>
    </w:lvl>
  </w:abstractNum>
  <w:abstractNum w:abstractNumId="3">
    <w:nsid w:val="8DAD7A82"/>
    <w:multiLevelType w:val="singleLevel"/>
    <w:tmpl w:val="8DAD7A82"/>
    <w:lvl w:ilvl="0" w:tentative="0">
      <w:start w:val="1"/>
      <w:numFmt w:val="decimal"/>
      <w:suff w:val="nothing"/>
      <w:lvlText w:val="（%1）"/>
      <w:lvlJc w:val="left"/>
    </w:lvl>
  </w:abstractNum>
  <w:abstractNum w:abstractNumId="4">
    <w:nsid w:val="B95F05E5"/>
    <w:multiLevelType w:val="singleLevel"/>
    <w:tmpl w:val="B95F05E5"/>
    <w:lvl w:ilvl="0" w:tentative="0">
      <w:start w:val="1"/>
      <w:numFmt w:val="decimal"/>
      <w:suff w:val="nothing"/>
      <w:lvlText w:val="%1）"/>
      <w:lvlJc w:val="left"/>
    </w:lvl>
  </w:abstractNum>
  <w:abstractNum w:abstractNumId="5">
    <w:nsid w:val="C72FA5CD"/>
    <w:multiLevelType w:val="singleLevel"/>
    <w:tmpl w:val="C72FA5CD"/>
    <w:lvl w:ilvl="0" w:tentative="0">
      <w:start w:val="1"/>
      <w:numFmt w:val="chineseCounting"/>
      <w:suff w:val="nothing"/>
      <w:lvlText w:val="%1、"/>
      <w:lvlJc w:val="left"/>
      <w:rPr>
        <w:rFonts w:hint="eastAsia"/>
      </w:rPr>
    </w:lvl>
  </w:abstractNum>
  <w:abstractNum w:abstractNumId="6">
    <w:nsid w:val="CCA6A4A8"/>
    <w:multiLevelType w:val="singleLevel"/>
    <w:tmpl w:val="CCA6A4A8"/>
    <w:lvl w:ilvl="0" w:tentative="0">
      <w:start w:val="1"/>
      <w:numFmt w:val="decimal"/>
      <w:suff w:val="nothing"/>
      <w:lvlText w:val="（%1）"/>
      <w:lvlJc w:val="left"/>
    </w:lvl>
  </w:abstractNum>
  <w:abstractNum w:abstractNumId="7">
    <w:nsid w:val="CCDB8574"/>
    <w:multiLevelType w:val="singleLevel"/>
    <w:tmpl w:val="CCDB8574"/>
    <w:lvl w:ilvl="0" w:tentative="0">
      <w:start w:val="1"/>
      <w:numFmt w:val="decimal"/>
      <w:suff w:val="nothing"/>
      <w:lvlText w:val="（%1）"/>
      <w:lvlJc w:val="left"/>
    </w:lvl>
  </w:abstractNum>
  <w:abstractNum w:abstractNumId="8">
    <w:nsid w:val="D1868748"/>
    <w:multiLevelType w:val="singleLevel"/>
    <w:tmpl w:val="D1868748"/>
    <w:lvl w:ilvl="0" w:tentative="0">
      <w:start w:val="2"/>
      <w:numFmt w:val="chineseCounting"/>
      <w:suff w:val="nothing"/>
      <w:lvlText w:val="%1、"/>
      <w:lvlJc w:val="left"/>
      <w:rPr>
        <w:rFonts w:hint="eastAsia"/>
      </w:rPr>
    </w:lvl>
  </w:abstractNum>
  <w:abstractNum w:abstractNumId="9">
    <w:nsid w:val="D484B813"/>
    <w:multiLevelType w:val="singleLevel"/>
    <w:tmpl w:val="D484B813"/>
    <w:lvl w:ilvl="0" w:tentative="0">
      <w:start w:val="1"/>
      <w:numFmt w:val="decimal"/>
      <w:suff w:val="nothing"/>
      <w:lvlText w:val="（%1）"/>
      <w:lvlJc w:val="left"/>
    </w:lvl>
  </w:abstractNum>
  <w:abstractNum w:abstractNumId="10">
    <w:nsid w:val="E249E49B"/>
    <w:multiLevelType w:val="singleLevel"/>
    <w:tmpl w:val="E249E49B"/>
    <w:lvl w:ilvl="0" w:tentative="0">
      <w:start w:val="1"/>
      <w:numFmt w:val="chineseCounting"/>
      <w:suff w:val="nothing"/>
      <w:lvlText w:val="%1、"/>
      <w:lvlJc w:val="left"/>
      <w:rPr>
        <w:rFonts w:hint="eastAsia"/>
      </w:rPr>
    </w:lvl>
  </w:abstractNum>
  <w:abstractNum w:abstractNumId="11">
    <w:nsid w:val="F65810F9"/>
    <w:multiLevelType w:val="singleLevel"/>
    <w:tmpl w:val="F65810F9"/>
    <w:lvl w:ilvl="0" w:tentative="0">
      <w:start w:val="1"/>
      <w:numFmt w:val="decimal"/>
      <w:suff w:val="nothing"/>
      <w:lvlText w:val="（%1）"/>
      <w:lvlJc w:val="left"/>
    </w:lvl>
  </w:abstractNum>
  <w:abstractNum w:abstractNumId="12">
    <w:nsid w:val="F7E943A2"/>
    <w:multiLevelType w:val="singleLevel"/>
    <w:tmpl w:val="F7E943A2"/>
    <w:lvl w:ilvl="0" w:tentative="0">
      <w:start w:val="1"/>
      <w:numFmt w:val="upperLetter"/>
      <w:lvlText w:val="%1."/>
      <w:lvlJc w:val="left"/>
      <w:pPr>
        <w:tabs>
          <w:tab w:val="left" w:pos="312"/>
        </w:tabs>
      </w:pPr>
    </w:lvl>
  </w:abstractNum>
  <w:abstractNum w:abstractNumId="13">
    <w:nsid w:val="0AF0C722"/>
    <w:multiLevelType w:val="singleLevel"/>
    <w:tmpl w:val="0AF0C722"/>
    <w:lvl w:ilvl="0" w:tentative="0">
      <w:start w:val="1"/>
      <w:numFmt w:val="decimal"/>
      <w:suff w:val="nothing"/>
      <w:lvlText w:val="（%1）"/>
      <w:lvlJc w:val="left"/>
    </w:lvl>
  </w:abstractNum>
  <w:abstractNum w:abstractNumId="14">
    <w:nsid w:val="1A1A10BA"/>
    <w:multiLevelType w:val="multilevel"/>
    <w:tmpl w:val="1A1A10BA"/>
    <w:lvl w:ilvl="0" w:tentative="0">
      <w:start w:val="1"/>
      <w:numFmt w:val="chineseCountingThousand"/>
      <w:suff w:val="nothing"/>
      <w:lvlText w:val="%1、"/>
      <w:lvlJc w:val="center"/>
      <w:pPr>
        <w:ind w:left="0" w:firstLine="0"/>
      </w:pPr>
      <w:rPr>
        <w:rFonts w:hint="default" w:ascii="Times New Roman" w:hAnsi="Times New Roman" w:eastAsia="黑体"/>
        <w:b w:val="0"/>
        <w:i w:val="0"/>
        <w:sz w:val="30"/>
      </w:rPr>
    </w:lvl>
    <w:lvl w:ilvl="1" w:tentative="0">
      <w:start w:val="1"/>
      <w:numFmt w:val="decimal"/>
      <w:isLgl/>
      <w:suff w:val="nothing"/>
      <w:lvlText w:val="%1.%2"/>
      <w:lvlJc w:val="left"/>
      <w:pPr>
        <w:ind w:left="0" w:firstLine="0"/>
      </w:pPr>
      <w:rPr>
        <w:rFonts w:hint="default" w:ascii="Times New Roman" w:hAnsi="Times New Roman" w:eastAsia="黑体"/>
        <w:b/>
        <w:i w:val="0"/>
        <w:sz w:val="28"/>
      </w:rPr>
    </w:lvl>
    <w:lvl w:ilvl="2" w:tentative="0">
      <w:start w:val="1"/>
      <w:numFmt w:val="decimal"/>
      <w:pStyle w:val="8"/>
      <w:isLgl/>
      <w:suff w:val="nothing"/>
      <w:lvlText w:val="%1.%2.%3"/>
      <w:lvlJc w:val="left"/>
      <w:pPr>
        <w:ind w:left="708" w:firstLine="0"/>
      </w:pPr>
      <w:rPr>
        <w:rFonts w:hint="default" w:ascii="Times New Roman" w:hAnsi="Times New Roman" w:eastAsia="黑体"/>
        <w:b/>
        <w:i w:val="0"/>
        <w:sz w:val="24"/>
      </w:rPr>
    </w:lvl>
    <w:lvl w:ilvl="3" w:tentative="0">
      <w:start w:val="1"/>
      <w:numFmt w:val="decimal"/>
      <w:pStyle w:val="9"/>
      <w:isLgl/>
      <w:suff w:val="nothing"/>
      <w:lvlText w:val="%1.%2.%3.%4"/>
      <w:lvlJc w:val="left"/>
      <w:pPr>
        <w:ind w:left="709" w:firstLine="0"/>
      </w:pPr>
      <w:rPr>
        <w:rFonts w:hint="default" w:ascii="Times New Roman" w:hAnsi="Times New Roman" w:eastAsia="黑体"/>
        <w:b/>
        <w:i w:val="0"/>
        <w:sz w:val="24"/>
      </w:rPr>
    </w:lvl>
    <w:lvl w:ilvl="4" w:tentative="0">
      <w:start w:val="1"/>
      <w:numFmt w:val="decimal"/>
      <w:lvlText w:val="表4-%5"/>
      <w:lvlJc w:val="left"/>
      <w:pPr>
        <w:ind w:left="0" w:firstLine="0"/>
      </w:pPr>
      <w:rPr>
        <w:rFonts w:hint="default" w:ascii="Times New Roman" w:hAnsi="Times New Roman" w:eastAsia="黑体"/>
        <w:b w:val="0"/>
        <w:i w:val="0"/>
        <w:sz w:val="24"/>
      </w:rPr>
    </w:lvl>
    <w:lvl w:ilvl="5" w:tentative="0">
      <w:start w:val="1"/>
      <w:numFmt w:val="decimal"/>
      <w:lvlRestart w:val="0"/>
      <w:suff w:val="space"/>
      <w:lvlText w:val="图%6"/>
      <w:lvlJc w:val="left"/>
      <w:pPr>
        <w:ind w:left="0" w:firstLine="0"/>
      </w:pPr>
      <w:rPr>
        <w:rFonts w:hint="default" w:ascii="Times New Roman" w:hAnsi="Times New Roman" w:eastAsia="宋体"/>
        <w:b/>
        <w:i w:val="0"/>
        <w:sz w:val="24"/>
      </w:rPr>
    </w:lvl>
    <w:lvl w:ilvl="6" w:tentative="0">
      <w:start w:val="0"/>
      <w:numFmt w:val="none"/>
      <w:lvlText w:val=""/>
      <w:lvlJc w:val="left"/>
      <w:pPr>
        <w:tabs>
          <w:tab w:val="left" w:pos="360"/>
        </w:tabs>
      </w:pPr>
    </w:lvl>
    <w:lvl w:ilvl="7" w:tentative="0">
      <w:start w:val="0"/>
      <w:numFmt w:val="none"/>
      <w:lvlText w:val=""/>
      <w:lvlJc w:val="left"/>
      <w:pPr>
        <w:tabs>
          <w:tab w:val="left" w:pos="360"/>
        </w:tabs>
      </w:pPr>
    </w:lvl>
    <w:lvl w:ilvl="8" w:tentative="0">
      <w:start w:val="0"/>
      <w:numFmt w:val="none"/>
      <w:lvlText w:val=""/>
      <w:lvlJc w:val="left"/>
      <w:pPr>
        <w:tabs>
          <w:tab w:val="left" w:pos="360"/>
        </w:tabs>
      </w:pPr>
    </w:lvl>
  </w:abstractNum>
  <w:abstractNum w:abstractNumId="15">
    <w:nsid w:val="26A77DE2"/>
    <w:multiLevelType w:val="multilevel"/>
    <w:tmpl w:val="26A77DE2"/>
    <w:lvl w:ilvl="0" w:tentative="0">
      <w:start w:val="1"/>
      <w:numFmt w:val="decimalEnclosedCircle"/>
      <w:lvlText w:val="%1"/>
      <w:lvlJc w:val="left"/>
      <w:pPr>
        <w:ind w:left="840" w:hanging="360"/>
      </w:pPr>
      <w:rPr>
        <w:rFonts w:hint="default" w:ascii="Times New Roman" w:hAnsi="Times New Roman" w:cs="Times New Roman"/>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6">
    <w:nsid w:val="2E3732B6"/>
    <w:multiLevelType w:val="multilevel"/>
    <w:tmpl w:val="2E3732B6"/>
    <w:lvl w:ilvl="0" w:tentative="0">
      <w:start w:val="1"/>
      <w:numFmt w:val="decimal"/>
      <w:lvlText w:val="（%1）"/>
      <w:lvlJc w:val="left"/>
      <w:pPr>
        <w:ind w:left="1202" w:hanging="720"/>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17">
    <w:nsid w:val="36035391"/>
    <w:multiLevelType w:val="multilevel"/>
    <w:tmpl w:val="36035391"/>
    <w:lvl w:ilvl="0" w:tentative="0">
      <w:start w:val="1"/>
      <w:numFmt w:val="bullet"/>
      <w:lvlText w:val=""/>
      <w:lvlJc w:val="left"/>
      <w:pPr>
        <w:ind w:left="902" w:hanging="420"/>
      </w:pPr>
      <w:rPr>
        <w:rFonts w:hint="default" w:ascii="Wingdings" w:hAnsi="Wingdings"/>
      </w:rPr>
    </w:lvl>
    <w:lvl w:ilvl="1" w:tentative="0">
      <w:start w:val="1"/>
      <w:numFmt w:val="bullet"/>
      <w:lvlText w:val=""/>
      <w:lvlJc w:val="left"/>
      <w:pPr>
        <w:ind w:left="1322" w:hanging="420"/>
      </w:pPr>
      <w:rPr>
        <w:rFonts w:hint="default" w:ascii="Wingdings" w:hAnsi="Wingdings"/>
      </w:rPr>
    </w:lvl>
    <w:lvl w:ilvl="2" w:tentative="0">
      <w:start w:val="1"/>
      <w:numFmt w:val="bullet"/>
      <w:lvlText w:val=""/>
      <w:lvlJc w:val="left"/>
      <w:pPr>
        <w:ind w:left="1742" w:hanging="420"/>
      </w:pPr>
      <w:rPr>
        <w:rFonts w:hint="default" w:ascii="Wingdings" w:hAnsi="Wingdings"/>
      </w:rPr>
    </w:lvl>
    <w:lvl w:ilvl="3" w:tentative="0">
      <w:start w:val="1"/>
      <w:numFmt w:val="bullet"/>
      <w:lvlText w:val=""/>
      <w:lvlJc w:val="left"/>
      <w:pPr>
        <w:ind w:left="2162" w:hanging="420"/>
      </w:pPr>
      <w:rPr>
        <w:rFonts w:hint="default" w:ascii="Wingdings" w:hAnsi="Wingdings"/>
      </w:rPr>
    </w:lvl>
    <w:lvl w:ilvl="4" w:tentative="0">
      <w:start w:val="1"/>
      <w:numFmt w:val="bullet"/>
      <w:lvlText w:val=""/>
      <w:lvlJc w:val="left"/>
      <w:pPr>
        <w:ind w:left="2582" w:hanging="420"/>
      </w:pPr>
      <w:rPr>
        <w:rFonts w:hint="default" w:ascii="Wingdings" w:hAnsi="Wingdings"/>
      </w:rPr>
    </w:lvl>
    <w:lvl w:ilvl="5" w:tentative="0">
      <w:start w:val="1"/>
      <w:numFmt w:val="bullet"/>
      <w:lvlText w:val=""/>
      <w:lvlJc w:val="left"/>
      <w:pPr>
        <w:ind w:left="3002" w:hanging="420"/>
      </w:pPr>
      <w:rPr>
        <w:rFonts w:hint="default" w:ascii="Wingdings" w:hAnsi="Wingdings"/>
      </w:rPr>
    </w:lvl>
    <w:lvl w:ilvl="6" w:tentative="0">
      <w:start w:val="1"/>
      <w:numFmt w:val="bullet"/>
      <w:lvlText w:val=""/>
      <w:lvlJc w:val="left"/>
      <w:pPr>
        <w:ind w:left="3422" w:hanging="420"/>
      </w:pPr>
      <w:rPr>
        <w:rFonts w:hint="default" w:ascii="Wingdings" w:hAnsi="Wingdings"/>
      </w:rPr>
    </w:lvl>
    <w:lvl w:ilvl="7" w:tentative="0">
      <w:start w:val="1"/>
      <w:numFmt w:val="bullet"/>
      <w:lvlText w:val=""/>
      <w:lvlJc w:val="left"/>
      <w:pPr>
        <w:ind w:left="3842" w:hanging="420"/>
      </w:pPr>
      <w:rPr>
        <w:rFonts w:hint="default" w:ascii="Wingdings" w:hAnsi="Wingdings"/>
      </w:rPr>
    </w:lvl>
    <w:lvl w:ilvl="8" w:tentative="0">
      <w:start w:val="1"/>
      <w:numFmt w:val="bullet"/>
      <w:lvlText w:val=""/>
      <w:lvlJc w:val="left"/>
      <w:pPr>
        <w:ind w:left="4262" w:hanging="420"/>
      </w:pPr>
      <w:rPr>
        <w:rFonts w:hint="default" w:ascii="Wingdings" w:hAnsi="Wingdings"/>
      </w:rPr>
    </w:lvl>
  </w:abstractNum>
  <w:abstractNum w:abstractNumId="18">
    <w:nsid w:val="4DE7C153"/>
    <w:multiLevelType w:val="multilevel"/>
    <w:tmpl w:val="4DE7C153"/>
    <w:lvl w:ilvl="0" w:tentative="0">
      <w:start w:val="1"/>
      <w:numFmt w:val="chineseCountingThousand"/>
      <w:lvlText w:val="第%1章"/>
      <w:lvlJc w:val="left"/>
      <w:pPr>
        <w:tabs>
          <w:tab w:val="left" w:pos="432"/>
        </w:tabs>
        <w:ind w:left="432" w:hanging="432"/>
      </w:pPr>
    </w:lvl>
    <w:lvl w:ilvl="1" w:tentative="0">
      <w:start w:val="1"/>
      <w:numFmt w:val="decimal"/>
      <w:isLgl/>
      <w:lvlText w:val="%1.%2"/>
      <w:lvlJc w:val="left"/>
      <w:pPr>
        <w:tabs>
          <w:tab w:val="left" w:pos="576"/>
        </w:tabs>
        <w:ind w:left="576" w:hanging="576"/>
      </w:pPr>
    </w:lvl>
    <w:lvl w:ilvl="2" w:tentative="0">
      <w:start w:val="1"/>
      <w:numFmt w:val="decimal"/>
      <w:pStyle w:val="35"/>
      <w:isLgl/>
      <w:lvlText w:val="%1.%2.%3"/>
      <w:lvlJc w:val="left"/>
      <w:pPr>
        <w:tabs>
          <w:tab w:val="left" w:pos="0"/>
        </w:tabs>
        <w:ind w:left="0" w:firstLine="0"/>
      </w:pPr>
      <w:rPr>
        <w:rFonts w:hint="default" w:ascii="Times New Roman" w:hAnsi="Times New Roman" w:cs="Times New Roman"/>
        <w:sz w:val="30"/>
        <w:szCs w:val="30"/>
      </w:rPr>
    </w:lvl>
    <w:lvl w:ilvl="3" w:tentative="0">
      <w:start w:val="1"/>
      <w:numFmt w:val="decimal"/>
      <w:isLgl/>
      <w:lvlText w:val="%1.%2.%3.%4"/>
      <w:lvlJc w:val="left"/>
      <w:pPr>
        <w:tabs>
          <w:tab w:val="left" w:pos="3912"/>
        </w:tabs>
        <w:ind w:left="3912" w:hanging="864"/>
      </w:pPr>
      <w:rPr>
        <w:rFonts w:hint="default" w:ascii="Times New Roman" w:hAnsi="Times New Roman" w:cs="Times New Roman"/>
      </w:r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19">
    <w:nsid w:val="69B768DA"/>
    <w:multiLevelType w:val="multilevel"/>
    <w:tmpl w:val="69B768DA"/>
    <w:lvl w:ilvl="0" w:tentative="0">
      <w:start w:val="1"/>
      <w:numFmt w:val="decimal"/>
      <w:pStyle w:val="33"/>
      <w:lvlText w:val="表1-%1"/>
      <w:lvlJc w:val="left"/>
      <w:pPr>
        <w:tabs>
          <w:tab w:val="left" w:pos="425"/>
        </w:tabs>
        <w:ind w:left="425" w:hanging="425"/>
      </w:pPr>
      <w:rPr>
        <w:rFonts w:hint="eastAsia"/>
        <w:lang w:val="en-US"/>
      </w:rPr>
    </w:lvl>
    <w:lvl w:ilvl="1" w:tentative="0">
      <w:start w:val="1"/>
      <w:numFmt w:val="decimal"/>
      <w:lvlText w:val="2.%2."/>
      <w:lvlJc w:val="left"/>
      <w:pPr>
        <w:tabs>
          <w:tab w:val="left" w:pos="720"/>
        </w:tabs>
        <w:ind w:left="567" w:hanging="567"/>
      </w:pPr>
      <w:rPr>
        <w:rFonts w:hint="eastAsia"/>
      </w:rPr>
    </w:lvl>
    <w:lvl w:ilvl="2" w:tentative="0">
      <w:start w:val="1"/>
      <w:numFmt w:val="none"/>
      <w:lvlText w:val="4.4.5."/>
      <w:lvlJc w:val="left"/>
      <w:pPr>
        <w:tabs>
          <w:tab w:val="left" w:pos="1080"/>
        </w:tabs>
        <w:ind w:left="567" w:hanging="567"/>
      </w:pPr>
      <w:rPr>
        <w:rFonts w:hint="eastAsia"/>
      </w:rPr>
    </w:lvl>
    <w:lvl w:ilvl="3" w:tentative="0">
      <w:start w:val="1"/>
      <w:numFmt w:val="decimal"/>
      <w:lvlText w:val="%1.%2.%3.%4."/>
      <w:lvlJc w:val="left"/>
      <w:pPr>
        <w:tabs>
          <w:tab w:val="left" w:pos="1440"/>
        </w:tabs>
        <w:ind w:left="567" w:hanging="56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0">
    <w:nsid w:val="78B174F2"/>
    <w:multiLevelType w:val="multilevel"/>
    <w:tmpl w:val="78B174F2"/>
    <w:lvl w:ilvl="0" w:tentative="0">
      <w:start w:val="1"/>
      <w:numFmt w:val="japaneseCounting"/>
      <w:lvlText w:val="%1、"/>
      <w:lvlJc w:val="left"/>
      <w:pPr>
        <w:ind w:left="720" w:hanging="72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1">
    <w:nsid w:val="7F6BB6D8"/>
    <w:multiLevelType w:val="singleLevel"/>
    <w:tmpl w:val="7F6BB6D8"/>
    <w:lvl w:ilvl="0" w:tentative="0">
      <w:start w:val="1"/>
      <w:numFmt w:val="decimal"/>
      <w:suff w:val="nothing"/>
      <w:lvlText w:val="（%1）"/>
      <w:lvlJc w:val="left"/>
    </w:lvl>
  </w:abstractNum>
  <w:num w:numId="1">
    <w:abstractNumId w:val="14"/>
  </w:num>
  <w:num w:numId="2">
    <w:abstractNumId w:val="19"/>
  </w:num>
  <w:num w:numId="3">
    <w:abstractNumId w:val="18"/>
  </w:num>
  <w:num w:numId="4">
    <w:abstractNumId w:val="20"/>
  </w:num>
  <w:num w:numId="5">
    <w:abstractNumId w:val="6"/>
  </w:num>
  <w:num w:numId="6">
    <w:abstractNumId w:val="8"/>
  </w:num>
  <w:num w:numId="7">
    <w:abstractNumId w:val="13"/>
  </w:num>
  <w:num w:numId="8">
    <w:abstractNumId w:val="21"/>
  </w:num>
  <w:num w:numId="9">
    <w:abstractNumId w:val="9"/>
  </w:num>
  <w:num w:numId="10">
    <w:abstractNumId w:val="4"/>
  </w:num>
  <w:num w:numId="11">
    <w:abstractNumId w:val="10"/>
  </w:num>
  <w:num w:numId="12">
    <w:abstractNumId w:val="5"/>
  </w:num>
  <w:num w:numId="13">
    <w:abstractNumId w:val="2"/>
  </w:num>
  <w:num w:numId="14">
    <w:abstractNumId w:val="12"/>
  </w:num>
  <w:num w:numId="15">
    <w:abstractNumId w:val="7"/>
  </w:num>
  <w:num w:numId="16">
    <w:abstractNumId w:val="16"/>
  </w:num>
  <w:num w:numId="17">
    <w:abstractNumId w:val="17"/>
  </w:num>
  <w:num w:numId="18">
    <w:abstractNumId w:val="15"/>
  </w:num>
  <w:num w:numId="19">
    <w:abstractNumId w:val="0"/>
  </w:num>
  <w:num w:numId="20">
    <w:abstractNumId w:val="1"/>
  </w:num>
  <w:num w:numId="21">
    <w:abstractNumId w:val="3"/>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420"/>
  <w:noPunctuationKerning w:val="1"/>
  <w:characterSpacingControl w:val="doNotCompress"/>
  <w:noLineBreaksAfter w:lang="zh-CN" w:val="([{·‘“〈《「『【〔〖（．［｛￡￥"/>
  <w:noLineBreaksBefore w:lang="zh-CN" w:val="!),.:;?]}¨·ˇˉ―‖’”…∶、。〃々〉》」』】〕〗！＂＇），．：；？］｀｜｝～￠"/>
  <w:compat>
    <w:balanceSingleByteDoubleByteWidth/>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FmNzVjZTU2MjNmYzU4ZGNjMzIxNGI1YjY2ZGM3ZGQifQ=="/>
    <w:docVar w:name="KSO_WPS_MARK_KEY" w:val="22876c7b-6a5d-4d8c-af6d-e3a327d16f40"/>
  </w:docVars>
  <w:rsids>
    <w:rsidRoot w:val="00172A27"/>
    <w:rsid w:val="00000337"/>
    <w:rsid w:val="000060B3"/>
    <w:rsid w:val="00014820"/>
    <w:rsid w:val="00014B46"/>
    <w:rsid w:val="0002424B"/>
    <w:rsid w:val="00025229"/>
    <w:rsid w:val="00035EEA"/>
    <w:rsid w:val="000367DC"/>
    <w:rsid w:val="0004169D"/>
    <w:rsid w:val="0004364B"/>
    <w:rsid w:val="00047C7F"/>
    <w:rsid w:val="00057C60"/>
    <w:rsid w:val="00060A32"/>
    <w:rsid w:val="000610DB"/>
    <w:rsid w:val="00061B1F"/>
    <w:rsid w:val="000646C7"/>
    <w:rsid w:val="00067B62"/>
    <w:rsid w:val="000733C4"/>
    <w:rsid w:val="00074783"/>
    <w:rsid w:val="00075621"/>
    <w:rsid w:val="00077672"/>
    <w:rsid w:val="0008070B"/>
    <w:rsid w:val="000810AC"/>
    <w:rsid w:val="00081A02"/>
    <w:rsid w:val="00082231"/>
    <w:rsid w:val="0009196D"/>
    <w:rsid w:val="00092D38"/>
    <w:rsid w:val="0009377B"/>
    <w:rsid w:val="00095808"/>
    <w:rsid w:val="00096F24"/>
    <w:rsid w:val="000A13D3"/>
    <w:rsid w:val="000A20C9"/>
    <w:rsid w:val="000B0088"/>
    <w:rsid w:val="000B058F"/>
    <w:rsid w:val="000B1CA8"/>
    <w:rsid w:val="000B3DF4"/>
    <w:rsid w:val="000B4467"/>
    <w:rsid w:val="000B4DB9"/>
    <w:rsid w:val="000C09AC"/>
    <w:rsid w:val="000C18B0"/>
    <w:rsid w:val="000C2C9C"/>
    <w:rsid w:val="000C767F"/>
    <w:rsid w:val="000D1FA4"/>
    <w:rsid w:val="000D5A44"/>
    <w:rsid w:val="000E3ED2"/>
    <w:rsid w:val="000F281A"/>
    <w:rsid w:val="0010197A"/>
    <w:rsid w:val="00105F84"/>
    <w:rsid w:val="00113C9E"/>
    <w:rsid w:val="0012533A"/>
    <w:rsid w:val="00125982"/>
    <w:rsid w:val="00131F42"/>
    <w:rsid w:val="00132E4B"/>
    <w:rsid w:val="001357F1"/>
    <w:rsid w:val="00140FA8"/>
    <w:rsid w:val="00141BFF"/>
    <w:rsid w:val="001427EE"/>
    <w:rsid w:val="0014291D"/>
    <w:rsid w:val="00142FEB"/>
    <w:rsid w:val="00143A2D"/>
    <w:rsid w:val="00145A41"/>
    <w:rsid w:val="001472D7"/>
    <w:rsid w:val="00151675"/>
    <w:rsid w:val="00157435"/>
    <w:rsid w:val="001577A4"/>
    <w:rsid w:val="001617C2"/>
    <w:rsid w:val="001618C2"/>
    <w:rsid w:val="00162A20"/>
    <w:rsid w:val="0016554E"/>
    <w:rsid w:val="001674AF"/>
    <w:rsid w:val="00172A27"/>
    <w:rsid w:val="00173DF8"/>
    <w:rsid w:val="00174124"/>
    <w:rsid w:val="0017504D"/>
    <w:rsid w:val="0017671A"/>
    <w:rsid w:val="00177422"/>
    <w:rsid w:val="0018311E"/>
    <w:rsid w:val="00184590"/>
    <w:rsid w:val="0018548A"/>
    <w:rsid w:val="001870D1"/>
    <w:rsid w:val="0018781E"/>
    <w:rsid w:val="0019262D"/>
    <w:rsid w:val="00193BDC"/>
    <w:rsid w:val="00196DA5"/>
    <w:rsid w:val="001A1106"/>
    <w:rsid w:val="001A1397"/>
    <w:rsid w:val="001A1B35"/>
    <w:rsid w:val="001A48A2"/>
    <w:rsid w:val="001A65B9"/>
    <w:rsid w:val="001A6F61"/>
    <w:rsid w:val="001B1C9F"/>
    <w:rsid w:val="001B64FE"/>
    <w:rsid w:val="001B72B8"/>
    <w:rsid w:val="001C3110"/>
    <w:rsid w:val="001C5CD4"/>
    <w:rsid w:val="001C69B3"/>
    <w:rsid w:val="001D1B18"/>
    <w:rsid w:val="001D36AE"/>
    <w:rsid w:val="001D5595"/>
    <w:rsid w:val="001D5ACE"/>
    <w:rsid w:val="001D7874"/>
    <w:rsid w:val="001D7F22"/>
    <w:rsid w:val="001E0251"/>
    <w:rsid w:val="001F0F17"/>
    <w:rsid w:val="001F1587"/>
    <w:rsid w:val="001F3347"/>
    <w:rsid w:val="001F69E4"/>
    <w:rsid w:val="00203C65"/>
    <w:rsid w:val="00211E1C"/>
    <w:rsid w:val="002125B4"/>
    <w:rsid w:val="00212B24"/>
    <w:rsid w:val="00212C91"/>
    <w:rsid w:val="00214FA0"/>
    <w:rsid w:val="002155B8"/>
    <w:rsid w:val="0022004E"/>
    <w:rsid w:val="00222C54"/>
    <w:rsid w:val="00224839"/>
    <w:rsid w:val="002249B2"/>
    <w:rsid w:val="00226574"/>
    <w:rsid w:val="002278EC"/>
    <w:rsid w:val="0023280E"/>
    <w:rsid w:val="00232AA1"/>
    <w:rsid w:val="002330D5"/>
    <w:rsid w:val="002353B9"/>
    <w:rsid w:val="002377D1"/>
    <w:rsid w:val="00247017"/>
    <w:rsid w:val="00247905"/>
    <w:rsid w:val="002506BC"/>
    <w:rsid w:val="00254345"/>
    <w:rsid w:val="0025502C"/>
    <w:rsid w:val="0026409C"/>
    <w:rsid w:val="00264557"/>
    <w:rsid w:val="00265387"/>
    <w:rsid w:val="002805AB"/>
    <w:rsid w:val="00284204"/>
    <w:rsid w:val="002872F4"/>
    <w:rsid w:val="00291773"/>
    <w:rsid w:val="00291828"/>
    <w:rsid w:val="0029202E"/>
    <w:rsid w:val="002968EF"/>
    <w:rsid w:val="002A168C"/>
    <w:rsid w:val="002A3DC7"/>
    <w:rsid w:val="002A6623"/>
    <w:rsid w:val="002A6C6A"/>
    <w:rsid w:val="002A71BC"/>
    <w:rsid w:val="002A768C"/>
    <w:rsid w:val="002A7FC8"/>
    <w:rsid w:val="002B0373"/>
    <w:rsid w:val="002B2DE7"/>
    <w:rsid w:val="002B4997"/>
    <w:rsid w:val="002B49E2"/>
    <w:rsid w:val="002B7B00"/>
    <w:rsid w:val="002B7C44"/>
    <w:rsid w:val="002C2B17"/>
    <w:rsid w:val="002D1C1B"/>
    <w:rsid w:val="002D3DD0"/>
    <w:rsid w:val="002E1AC4"/>
    <w:rsid w:val="002E1F3A"/>
    <w:rsid w:val="002E298A"/>
    <w:rsid w:val="002E38CF"/>
    <w:rsid w:val="00301978"/>
    <w:rsid w:val="0030332C"/>
    <w:rsid w:val="00303889"/>
    <w:rsid w:val="003051C2"/>
    <w:rsid w:val="00305370"/>
    <w:rsid w:val="00312296"/>
    <w:rsid w:val="00314248"/>
    <w:rsid w:val="0031477C"/>
    <w:rsid w:val="00314D53"/>
    <w:rsid w:val="00314F0E"/>
    <w:rsid w:val="00321D8E"/>
    <w:rsid w:val="00323A88"/>
    <w:rsid w:val="00324A76"/>
    <w:rsid w:val="003258F0"/>
    <w:rsid w:val="00325928"/>
    <w:rsid w:val="00326D9B"/>
    <w:rsid w:val="003302D2"/>
    <w:rsid w:val="00331D5E"/>
    <w:rsid w:val="00332863"/>
    <w:rsid w:val="003332B6"/>
    <w:rsid w:val="0033684D"/>
    <w:rsid w:val="00337B42"/>
    <w:rsid w:val="003400B4"/>
    <w:rsid w:val="00341585"/>
    <w:rsid w:val="00341B42"/>
    <w:rsid w:val="0034348F"/>
    <w:rsid w:val="0034409C"/>
    <w:rsid w:val="003458AD"/>
    <w:rsid w:val="00352FA6"/>
    <w:rsid w:val="0035568F"/>
    <w:rsid w:val="00355955"/>
    <w:rsid w:val="00356653"/>
    <w:rsid w:val="0035743F"/>
    <w:rsid w:val="00357BE2"/>
    <w:rsid w:val="0036170C"/>
    <w:rsid w:val="00366DB9"/>
    <w:rsid w:val="00366E0F"/>
    <w:rsid w:val="0037013C"/>
    <w:rsid w:val="00373324"/>
    <w:rsid w:val="003754F3"/>
    <w:rsid w:val="003766B2"/>
    <w:rsid w:val="00377364"/>
    <w:rsid w:val="003815DF"/>
    <w:rsid w:val="00381A72"/>
    <w:rsid w:val="00381B3A"/>
    <w:rsid w:val="00382710"/>
    <w:rsid w:val="00383176"/>
    <w:rsid w:val="003837E1"/>
    <w:rsid w:val="00384676"/>
    <w:rsid w:val="00390857"/>
    <w:rsid w:val="0039186B"/>
    <w:rsid w:val="0039247B"/>
    <w:rsid w:val="003944EC"/>
    <w:rsid w:val="003A0361"/>
    <w:rsid w:val="003A07BC"/>
    <w:rsid w:val="003A0A28"/>
    <w:rsid w:val="003A19BF"/>
    <w:rsid w:val="003A1AB3"/>
    <w:rsid w:val="003A288F"/>
    <w:rsid w:val="003A45A6"/>
    <w:rsid w:val="003A4BF3"/>
    <w:rsid w:val="003A50CC"/>
    <w:rsid w:val="003A5DB3"/>
    <w:rsid w:val="003B1305"/>
    <w:rsid w:val="003B420D"/>
    <w:rsid w:val="003B641D"/>
    <w:rsid w:val="003C5FA5"/>
    <w:rsid w:val="003C6AFE"/>
    <w:rsid w:val="003C6C16"/>
    <w:rsid w:val="003D0245"/>
    <w:rsid w:val="003D730A"/>
    <w:rsid w:val="003D794D"/>
    <w:rsid w:val="003E3058"/>
    <w:rsid w:val="003E3250"/>
    <w:rsid w:val="003E3F3C"/>
    <w:rsid w:val="003E76A9"/>
    <w:rsid w:val="003F0809"/>
    <w:rsid w:val="003F2750"/>
    <w:rsid w:val="003F2D83"/>
    <w:rsid w:val="003F6A8C"/>
    <w:rsid w:val="003F755C"/>
    <w:rsid w:val="00406C60"/>
    <w:rsid w:val="00406F01"/>
    <w:rsid w:val="00410257"/>
    <w:rsid w:val="00412CB6"/>
    <w:rsid w:val="00412F5E"/>
    <w:rsid w:val="00416D50"/>
    <w:rsid w:val="00416FD5"/>
    <w:rsid w:val="00417772"/>
    <w:rsid w:val="00417825"/>
    <w:rsid w:val="0042013F"/>
    <w:rsid w:val="00420E6A"/>
    <w:rsid w:val="00425A9E"/>
    <w:rsid w:val="00426D6B"/>
    <w:rsid w:val="004310D9"/>
    <w:rsid w:val="00431E6C"/>
    <w:rsid w:val="00433CE7"/>
    <w:rsid w:val="004343F2"/>
    <w:rsid w:val="004466B9"/>
    <w:rsid w:val="004519D0"/>
    <w:rsid w:val="00452738"/>
    <w:rsid w:val="00453168"/>
    <w:rsid w:val="00453CF9"/>
    <w:rsid w:val="00456091"/>
    <w:rsid w:val="0046624F"/>
    <w:rsid w:val="00466321"/>
    <w:rsid w:val="00466A41"/>
    <w:rsid w:val="00473534"/>
    <w:rsid w:val="0047412B"/>
    <w:rsid w:val="00474F75"/>
    <w:rsid w:val="00474FCE"/>
    <w:rsid w:val="00477EFD"/>
    <w:rsid w:val="00484B9B"/>
    <w:rsid w:val="004855F6"/>
    <w:rsid w:val="0048661E"/>
    <w:rsid w:val="00494670"/>
    <w:rsid w:val="00495B5F"/>
    <w:rsid w:val="004A3823"/>
    <w:rsid w:val="004A70A4"/>
    <w:rsid w:val="004A78EC"/>
    <w:rsid w:val="004D23BA"/>
    <w:rsid w:val="004E1586"/>
    <w:rsid w:val="004E6946"/>
    <w:rsid w:val="004F1AD8"/>
    <w:rsid w:val="004F236E"/>
    <w:rsid w:val="004F5C29"/>
    <w:rsid w:val="00500FB2"/>
    <w:rsid w:val="00502045"/>
    <w:rsid w:val="005039CB"/>
    <w:rsid w:val="0050558F"/>
    <w:rsid w:val="00506286"/>
    <w:rsid w:val="00510813"/>
    <w:rsid w:val="00510D24"/>
    <w:rsid w:val="00511990"/>
    <w:rsid w:val="00511DE0"/>
    <w:rsid w:val="0051397D"/>
    <w:rsid w:val="0051443E"/>
    <w:rsid w:val="00514870"/>
    <w:rsid w:val="00514B9B"/>
    <w:rsid w:val="00517F02"/>
    <w:rsid w:val="00524303"/>
    <w:rsid w:val="00524A8F"/>
    <w:rsid w:val="005258A2"/>
    <w:rsid w:val="00532F92"/>
    <w:rsid w:val="00534775"/>
    <w:rsid w:val="005401AE"/>
    <w:rsid w:val="00542E07"/>
    <w:rsid w:val="00545424"/>
    <w:rsid w:val="00551120"/>
    <w:rsid w:val="00551982"/>
    <w:rsid w:val="00551B7A"/>
    <w:rsid w:val="005525D3"/>
    <w:rsid w:val="005543AF"/>
    <w:rsid w:val="00554A7B"/>
    <w:rsid w:val="0055572C"/>
    <w:rsid w:val="0056106A"/>
    <w:rsid w:val="0056108A"/>
    <w:rsid w:val="00566ABB"/>
    <w:rsid w:val="005720AE"/>
    <w:rsid w:val="005741B5"/>
    <w:rsid w:val="00593C81"/>
    <w:rsid w:val="00594B69"/>
    <w:rsid w:val="00594D77"/>
    <w:rsid w:val="005964AA"/>
    <w:rsid w:val="005969E4"/>
    <w:rsid w:val="005A06B7"/>
    <w:rsid w:val="005A0EF7"/>
    <w:rsid w:val="005A1759"/>
    <w:rsid w:val="005A1934"/>
    <w:rsid w:val="005A2E7F"/>
    <w:rsid w:val="005A35B5"/>
    <w:rsid w:val="005A68A7"/>
    <w:rsid w:val="005B20B5"/>
    <w:rsid w:val="005B40A5"/>
    <w:rsid w:val="005B6897"/>
    <w:rsid w:val="005C0BA0"/>
    <w:rsid w:val="005C3CD5"/>
    <w:rsid w:val="005C602E"/>
    <w:rsid w:val="005D15CA"/>
    <w:rsid w:val="005D2E06"/>
    <w:rsid w:val="005D36AB"/>
    <w:rsid w:val="005E0F73"/>
    <w:rsid w:val="005E11D6"/>
    <w:rsid w:val="005E28AD"/>
    <w:rsid w:val="005F00A5"/>
    <w:rsid w:val="005F1929"/>
    <w:rsid w:val="005F29DD"/>
    <w:rsid w:val="005F2F37"/>
    <w:rsid w:val="0060452E"/>
    <w:rsid w:val="006063BC"/>
    <w:rsid w:val="006107FE"/>
    <w:rsid w:val="0061776B"/>
    <w:rsid w:val="00617CC3"/>
    <w:rsid w:val="006259CB"/>
    <w:rsid w:val="00627584"/>
    <w:rsid w:val="006377A6"/>
    <w:rsid w:val="00637A3D"/>
    <w:rsid w:val="006411EF"/>
    <w:rsid w:val="00643610"/>
    <w:rsid w:val="006455F5"/>
    <w:rsid w:val="006470C5"/>
    <w:rsid w:val="006472F8"/>
    <w:rsid w:val="0064778E"/>
    <w:rsid w:val="0065390D"/>
    <w:rsid w:val="00666442"/>
    <w:rsid w:val="00670AF2"/>
    <w:rsid w:val="00671403"/>
    <w:rsid w:val="00671EFF"/>
    <w:rsid w:val="006748B8"/>
    <w:rsid w:val="00675E93"/>
    <w:rsid w:val="006775C3"/>
    <w:rsid w:val="00683347"/>
    <w:rsid w:val="00685553"/>
    <w:rsid w:val="006878A5"/>
    <w:rsid w:val="00690B34"/>
    <w:rsid w:val="0069290A"/>
    <w:rsid w:val="00692F5D"/>
    <w:rsid w:val="00694BB5"/>
    <w:rsid w:val="00694DF4"/>
    <w:rsid w:val="0069775A"/>
    <w:rsid w:val="00697813"/>
    <w:rsid w:val="006A16C7"/>
    <w:rsid w:val="006A2B0D"/>
    <w:rsid w:val="006A3EE8"/>
    <w:rsid w:val="006A72BF"/>
    <w:rsid w:val="006B03F2"/>
    <w:rsid w:val="006B1C03"/>
    <w:rsid w:val="006B37DC"/>
    <w:rsid w:val="006B4F68"/>
    <w:rsid w:val="006B6CAA"/>
    <w:rsid w:val="006B6D63"/>
    <w:rsid w:val="006C0592"/>
    <w:rsid w:val="006C272E"/>
    <w:rsid w:val="006C5479"/>
    <w:rsid w:val="006C5B31"/>
    <w:rsid w:val="006D13B5"/>
    <w:rsid w:val="006D2044"/>
    <w:rsid w:val="006D256E"/>
    <w:rsid w:val="006D6DBF"/>
    <w:rsid w:val="006D729B"/>
    <w:rsid w:val="006E12FF"/>
    <w:rsid w:val="006E47CF"/>
    <w:rsid w:val="006E607E"/>
    <w:rsid w:val="006F3D79"/>
    <w:rsid w:val="006F3FF1"/>
    <w:rsid w:val="00700446"/>
    <w:rsid w:val="007043AC"/>
    <w:rsid w:val="00704579"/>
    <w:rsid w:val="00706C5D"/>
    <w:rsid w:val="00710541"/>
    <w:rsid w:val="00711777"/>
    <w:rsid w:val="00716905"/>
    <w:rsid w:val="007176AD"/>
    <w:rsid w:val="0072405A"/>
    <w:rsid w:val="00724582"/>
    <w:rsid w:val="00731FEA"/>
    <w:rsid w:val="007327CF"/>
    <w:rsid w:val="00732922"/>
    <w:rsid w:val="007329B5"/>
    <w:rsid w:val="00732AE8"/>
    <w:rsid w:val="00736532"/>
    <w:rsid w:val="007372F3"/>
    <w:rsid w:val="00740617"/>
    <w:rsid w:val="00743F48"/>
    <w:rsid w:val="007457FF"/>
    <w:rsid w:val="00747849"/>
    <w:rsid w:val="00750D55"/>
    <w:rsid w:val="0075162E"/>
    <w:rsid w:val="00751979"/>
    <w:rsid w:val="00754034"/>
    <w:rsid w:val="0075501B"/>
    <w:rsid w:val="00756556"/>
    <w:rsid w:val="007618C4"/>
    <w:rsid w:val="0076203F"/>
    <w:rsid w:val="00762C3E"/>
    <w:rsid w:val="00763581"/>
    <w:rsid w:val="0076371D"/>
    <w:rsid w:val="00763D48"/>
    <w:rsid w:val="00765A7F"/>
    <w:rsid w:val="00766576"/>
    <w:rsid w:val="00767980"/>
    <w:rsid w:val="00770B19"/>
    <w:rsid w:val="0077463F"/>
    <w:rsid w:val="00780DD0"/>
    <w:rsid w:val="007836EA"/>
    <w:rsid w:val="00784CDA"/>
    <w:rsid w:val="00785638"/>
    <w:rsid w:val="007906C4"/>
    <w:rsid w:val="007918D7"/>
    <w:rsid w:val="00792416"/>
    <w:rsid w:val="007940EA"/>
    <w:rsid w:val="0079543A"/>
    <w:rsid w:val="007967E8"/>
    <w:rsid w:val="007A0656"/>
    <w:rsid w:val="007A2170"/>
    <w:rsid w:val="007A22BF"/>
    <w:rsid w:val="007A3323"/>
    <w:rsid w:val="007A3E78"/>
    <w:rsid w:val="007A4285"/>
    <w:rsid w:val="007A517F"/>
    <w:rsid w:val="007B698D"/>
    <w:rsid w:val="007B72B8"/>
    <w:rsid w:val="007B7A58"/>
    <w:rsid w:val="007C10DA"/>
    <w:rsid w:val="007C21B5"/>
    <w:rsid w:val="007C36E7"/>
    <w:rsid w:val="007C4DDF"/>
    <w:rsid w:val="007C7561"/>
    <w:rsid w:val="007D08CB"/>
    <w:rsid w:val="007D18ED"/>
    <w:rsid w:val="007E07BC"/>
    <w:rsid w:val="007E3829"/>
    <w:rsid w:val="007E4BD2"/>
    <w:rsid w:val="007F7DF7"/>
    <w:rsid w:val="008003CD"/>
    <w:rsid w:val="00801393"/>
    <w:rsid w:val="00802F88"/>
    <w:rsid w:val="0081293E"/>
    <w:rsid w:val="0081340A"/>
    <w:rsid w:val="00815465"/>
    <w:rsid w:val="0081576B"/>
    <w:rsid w:val="0081649E"/>
    <w:rsid w:val="00817E9A"/>
    <w:rsid w:val="008306BD"/>
    <w:rsid w:val="00830DB5"/>
    <w:rsid w:val="008316E9"/>
    <w:rsid w:val="00831A80"/>
    <w:rsid w:val="00833743"/>
    <w:rsid w:val="00833DA1"/>
    <w:rsid w:val="008340A4"/>
    <w:rsid w:val="008342DF"/>
    <w:rsid w:val="0084200B"/>
    <w:rsid w:val="00844521"/>
    <w:rsid w:val="008465E9"/>
    <w:rsid w:val="008508E5"/>
    <w:rsid w:val="0085614A"/>
    <w:rsid w:val="008630CD"/>
    <w:rsid w:val="00865A0B"/>
    <w:rsid w:val="00867D8D"/>
    <w:rsid w:val="008701C3"/>
    <w:rsid w:val="0087135F"/>
    <w:rsid w:val="00872D94"/>
    <w:rsid w:val="0087594B"/>
    <w:rsid w:val="00876A29"/>
    <w:rsid w:val="008770FA"/>
    <w:rsid w:val="00877C14"/>
    <w:rsid w:val="00880364"/>
    <w:rsid w:val="00891592"/>
    <w:rsid w:val="00891E9E"/>
    <w:rsid w:val="008969B9"/>
    <w:rsid w:val="008A2BF3"/>
    <w:rsid w:val="008A2F68"/>
    <w:rsid w:val="008A4A29"/>
    <w:rsid w:val="008A52C8"/>
    <w:rsid w:val="008B1406"/>
    <w:rsid w:val="008B4FA6"/>
    <w:rsid w:val="008B5282"/>
    <w:rsid w:val="008B60A8"/>
    <w:rsid w:val="008B7C17"/>
    <w:rsid w:val="008C2D01"/>
    <w:rsid w:val="008C40E6"/>
    <w:rsid w:val="008C5D47"/>
    <w:rsid w:val="008D0F7A"/>
    <w:rsid w:val="008D1050"/>
    <w:rsid w:val="008D5587"/>
    <w:rsid w:val="008D68E4"/>
    <w:rsid w:val="008E0506"/>
    <w:rsid w:val="008E0CFF"/>
    <w:rsid w:val="008E4F29"/>
    <w:rsid w:val="008E5ABC"/>
    <w:rsid w:val="008E5D6B"/>
    <w:rsid w:val="008E5E54"/>
    <w:rsid w:val="008E76F0"/>
    <w:rsid w:val="008F15FE"/>
    <w:rsid w:val="008F2D29"/>
    <w:rsid w:val="008F5187"/>
    <w:rsid w:val="008F60D8"/>
    <w:rsid w:val="0090023A"/>
    <w:rsid w:val="00902727"/>
    <w:rsid w:val="0090312B"/>
    <w:rsid w:val="0090562F"/>
    <w:rsid w:val="009056F9"/>
    <w:rsid w:val="00906A38"/>
    <w:rsid w:val="00915077"/>
    <w:rsid w:val="0091736D"/>
    <w:rsid w:val="0093037A"/>
    <w:rsid w:val="0093353A"/>
    <w:rsid w:val="009354E8"/>
    <w:rsid w:val="00940562"/>
    <w:rsid w:val="0094154D"/>
    <w:rsid w:val="009420A8"/>
    <w:rsid w:val="00942150"/>
    <w:rsid w:val="00942FAC"/>
    <w:rsid w:val="009455D8"/>
    <w:rsid w:val="00946DD0"/>
    <w:rsid w:val="0095155F"/>
    <w:rsid w:val="0095244B"/>
    <w:rsid w:val="00954429"/>
    <w:rsid w:val="00954A22"/>
    <w:rsid w:val="00956278"/>
    <w:rsid w:val="009563CE"/>
    <w:rsid w:val="00956DC5"/>
    <w:rsid w:val="009606BE"/>
    <w:rsid w:val="00960AB7"/>
    <w:rsid w:val="00960FDA"/>
    <w:rsid w:val="00965BE5"/>
    <w:rsid w:val="00973594"/>
    <w:rsid w:val="00975C29"/>
    <w:rsid w:val="009762D0"/>
    <w:rsid w:val="00976328"/>
    <w:rsid w:val="0097680D"/>
    <w:rsid w:val="00976E93"/>
    <w:rsid w:val="00982438"/>
    <w:rsid w:val="0098404C"/>
    <w:rsid w:val="00985283"/>
    <w:rsid w:val="00986ACD"/>
    <w:rsid w:val="00987C5F"/>
    <w:rsid w:val="00995992"/>
    <w:rsid w:val="0099706B"/>
    <w:rsid w:val="009974D1"/>
    <w:rsid w:val="009A03E5"/>
    <w:rsid w:val="009A0F3B"/>
    <w:rsid w:val="009A1BB4"/>
    <w:rsid w:val="009A2628"/>
    <w:rsid w:val="009A3200"/>
    <w:rsid w:val="009B0897"/>
    <w:rsid w:val="009B0CD4"/>
    <w:rsid w:val="009B3298"/>
    <w:rsid w:val="009B4E38"/>
    <w:rsid w:val="009B4E41"/>
    <w:rsid w:val="009B604D"/>
    <w:rsid w:val="009B7BD9"/>
    <w:rsid w:val="009C0CAF"/>
    <w:rsid w:val="009C1643"/>
    <w:rsid w:val="009C3AEB"/>
    <w:rsid w:val="009C7DD5"/>
    <w:rsid w:val="009E227D"/>
    <w:rsid w:val="009E5019"/>
    <w:rsid w:val="009E795F"/>
    <w:rsid w:val="009F09E8"/>
    <w:rsid w:val="009F1808"/>
    <w:rsid w:val="009F24C7"/>
    <w:rsid w:val="009F33E0"/>
    <w:rsid w:val="009F50D6"/>
    <w:rsid w:val="00A04F1B"/>
    <w:rsid w:val="00A0501B"/>
    <w:rsid w:val="00A06D0E"/>
    <w:rsid w:val="00A11388"/>
    <w:rsid w:val="00A140AF"/>
    <w:rsid w:val="00A14947"/>
    <w:rsid w:val="00A203C2"/>
    <w:rsid w:val="00A21EA8"/>
    <w:rsid w:val="00A32A5E"/>
    <w:rsid w:val="00A32A83"/>
    <w:rsid w:val="00A33C55"/>
    <w:rsid w:val="00A368DB"/>
    <w:rsid w:val="00A423AA"/>
    <w:rsid w:val="00A43204"/>
    <w:rsid w:val="00A44EF5"/>
    <w:rsid w:val="00A476A3"/>
    <w:rsid w:val="00A53EC6"/>
    <w:rsid w:val="00A54BE1"/>
    <w:rsid w:val="00A55C0F"/>
    <w:rsid w:val="00A60967"/>
    <w:rsid w:val="00A61FE4"/>
    <w:rsid w:val="00A67F07"/>
    <w:rsid w:val="00A7052F"/>
    <w:rsid w:val="00A71721"/>
    <w:rsid w:val="00A85A3F"/>
    <w:rsid w:val="00A86505"/>
    <w:rsid w:val="00A86E7A"/>
    <w:rsid w:val="00A8713F"/>
    <w:rsid w:val="00A90BA1"/>
    <w:rsid w:val="00A93EB9"/>
    <w:rsid w:val="00A97A9A"/>
    <w:rsid w:val="00AA0671"/>
    <w:rsid w:val="00AA2531"/>
    <w:rsid w:val="00AB1D1A"/>
    <w:rsid w:val="00AB1E09"/>
    <w:rsid w:val="00AB5330"/>
    <w:rsid w:val="00AB7747"/>
    <w:rsid w:val="00AC14CE"/>
    <w:rsid w:val="00AC2A56"/>
    <w:rsid w:val="00AC4AFD"/>
    <w:rsid w:val="00AC619F"/>
    <w:rsid w:val="00AC62DB"/>
    <w:rsid w:val="00AC7642"/>
    <w:rsid w:val="00AD055E"/>
    <w:rsid w:val="00AD0671"/>
    <w:rsid w:val="00AD14B9"/>
    <w:rsid w:val="00AD3878"/>
    <w:rsid w:val="00AD47A7"/>
    <w:rsid w:val="00AD49B1"/>
    <w:rsid w:val="00AD7F95"/>
    <w:rsid w:val="00AE02DE"/>
    <w:rsid w:val="00AE18F2"/>
    <w:rsid w:val="00AE1F95"/>
    <w:rsid w:val="00AE2A32"/>
    <w:rsid w:val="00AF0CBF"/>
    <w:rsid w:val="00AF257F"/>
    <w:rsid w:val="00AF2A8A"/>
    <w:rsid w:val="00AF33CF"/>
    <w:rsid w:val="00AF401F"/>
    <w:rsid w:val="00AF4D50"/>
    <w:rsid w:val="00AF6179"/>
    <w:rsid w:val="00B03EE0"/>
    <w:rsid w:val="00B04200"/>
    <w:rsid w:val="00B1295A"/>
    <w:rsid w:val="00B131FE"/>
    <w:rsid w:val="00B1521B"/>
    <w:rsid w:val="00B20019"/>
    <w:rsid w:val="00B20A45"/>
    <w:rsid w:val="00B22C5C"/>
    <w:rsid w:val="00B24F30"/>
    <w:rsid w:val="00B2637A"/>
    <w:rsid w:val="00B31ABF"/>
    <w:rsid w:val="00B33BE3"/>
    <w:rsid w:val="00B347C3"/>
    <w:rsid w:val="00B42AC4"/>
    <w:rsid w:val="00B45FB1"/>
    <w:rsid w:val="00B502B7"/>
    <w:rsid w:val="00B53B5D"/>
    <w:rsid w:val="00B55ABE"/>
    <w:rsid w:val="00B56B0A"/>
    <w:rsid w:val="00B56C3F"/>
    <w:rsid w:val="00B56C51"/>
    <w:rsid w:val="00B57F8D"/>
    <w:rsid w:val="00B6055E"/>
    <w:rsid w:val="00B60CDA"/>
    <w:rsid w:val="00B6122C"/>
    <w:rsid w:val="00B6317D"/>
    <w:rsid w:val="00B631ED"/>
    <w:rsid w:val="00B718F0"/>
    <w:rsid w:val="00B72B38"/>
    <w:rsid w:val="00B75644"/>
    <w:rsid w:val="00B7723F"/>
    <w:rsid w:val="00B80534"/>
    <w:rsid w:val="00B81585"/>
    <w:rsid w:val="00B82C88"/>
    <w:rsid w:val="00B8433C"/>
    <w:rsid w:val="00B85DA1"/>
    <w:rsid w:val="00B86AA9"/>
    <w:rsid w:val="00B87491"/>
    <w:rsid w:val="00B93099"/>
    <w:rsid w:val="00B965ED"/>
    <w:rsid w:val="00B972CE"/>
    <w:rsid w:val="00BA29E9"/>
    <w:rsid w:val="00BA5198"/>
    <w:rsid w:val="00BA52C3"/>
    <w:rsid w:val="00BA6EE8"/>
    <w:rsid w:val="00BA7142"/>
    <w:rsid w:val="00BB237C"/>
    <w:rsid w:val="00BB41A3"/>
    <w:rsid w:val="00BB548A"/>
    <w:rsid w:val="00BC28DB"/>
    <w:rsid w:val="00BC32DC"/>
    <w:rsid w:val="00BC35B6"/>
    <w:rsid w:val="00BC405F"/>
    <w:rsid w:val="00BC53AE"/>
    <w:rsid w:val="00BD1B51"/>
    <w:rsid w:val="00BD4596"/>
    <w:rsid w:val="00BE0196"/>
    <w:rsid w:val="00BE0229"/>
    <w:rsid w:val="00BE04D4"/>
    <w:rsid w:val="00BE1405"/>
    <w:rsid w:val="00BE14C6"/>
    <w:rsid w:val="00BE312D"/>
    <w:rsid w:val="00BE5D3E"/>
    <w:rsid w:val="00BF1C20"/>
    <w:rsid w:val="00C01195"/>
    <w:rsid w:val="00C014D5"/>
    <w:rsid w:val="00C02BC3"/>
    <w:rsid w:val="00C058D5"/>
    <w:rsid w:val="00C074FD"/>
    <w:rsid w:val="00C10578"/>
    <w:rsid w:val="00C135BC"/>
    <w:rsid w:val="00C15C95"/>
    <w:rsid w:val="00C16D5F"/>
    <w:rsid w:val="00C17499"/>
    <w:rsid w:val="00C236C8"/>
    <w:rsid w:val="00C23D70"/>
    <w:rsid w:val="00C24BF1"/>
    <w:rsid w:val="00C24D86"/>
    <w:rsid w:val="00C2596A"/>
    <w:rsid w:val="00C27537"/>
    <w:rsid w:val="00C27569"/>
    <w:rsid w:val="00C31C96"/>
    <w:rsid w:val="00C328FE"/>
    <w:rsid w:val="00C33507"/>
    <w:rsid w:val="00C35B8C"/>
    <w:rsid w:val="00C36A5C"/>
    <w:rsid w:val="00C44041"/>
    <w:rsid w:val="00C4409D"/>
    <w:rsid w:val="00C44E72"/>
    <w:rsid w:val="00C44F86"/>
    <w:rsid w:val="00C45A06"/>
    <w:rsid w:val="00C47E5B"/>
    <w:rsid w:val="00C5164B"/>
    <w:rsid w:val="00C524E9"/>
    <w:rsid w:val="00C55C47"/>
    <w:rsid w:val="00C56334"/>
    <w:rsid w:val="00C61E4B"/>
    <w:rsid w:val="00C6431F"/>
    <w:rsid w:val="00C643AC"/>
    <w:rsid w:val="00C64BFF"/>
    <w:rsid w:val="00C66CF6"/>
    <w:rsid w:val="00C704E9"/>
    <w:rsid w:val="00C70C05"/>
    <w:rsid w:val="00C742D9"/>
    <w:rsid w:val="00C763C9"/>
    <w:rsid w:val="00C80057"/>
    <w:rsid w:val="00C80A0B"/>
    <w:rsid w:val="00C81885"/>
    <w:rsid w:val="00C82232"/>
    <w:rsid w:val="00C82913"/>
    <w:rsid w:val="00C83205"/>
    <w:rsid w:val="00C972B1"/>
    <w:rsid w:val="00CA01CC"/>
    <w:rsid w:val="00CA035F"/>
    <w:rsid w:val="00CA2CCE"/>
    <w:rsid w:val="00CA43FD"/>
    <w:rsid w:val="00CA4C71"/>
    <w:rsid w:val="00CA7EF8"/>
    <w:rsid w:val="00CB0F78"/>
    <w:rsid w:val="00CB5924"/>
    <w:rsid w:val="00CC03E1"/>
    <w:rsid w:val="00CC489B"/>
    <w:rsid w:val="00CD01D6"/>
    <w:rsid w:val="00CD1AAC"/>
    <w:rsid w:val="00CD2BCD"/>
    <w:rsid w:val="00CD3A4C"/>
    <w:rsid w:val="00CE10E9"/>
    <w:rsid w:val="00CE1AE0"/>
    <w:rsid w:val="00CE1F91"/>
    <w:rsid w:val="00CE2910"/>
    <w:rsid w:val="00CE5393"/>
    <w:rsid w:val="00CE732E"/>
    <w:rsid w:val="00CF2C80"/>
    <w:rsid w:val="00CF36BE"/>
    <w:rsid w:val="00CF4601"/>
    <w:rsid w:val="00CF5056"/>
    <w:rsid w:val="00CF5FE2"/>
    <w:rsid w:val="00CF6000"/>
    <w:rsid w:val="00CF6FE6"/>
    <w:rsid w:val="00D003F3"/>
    <w:rsid w:val="00D0364F"/>
    <w:rsid w:val="00D054E0"/>
    <w:rsid w:val="00D06834"/>
    <w:rsid w:val="00D07DE7"/>
    <w:rsid w:val="00D10E22"/>
    <w:rsid w:val="00D11426"/>
    <w:rsid w:val="00D13BB2"/>
    <w:rsid w:val="00D17440"/>
    <w:rsid w:val="00D267F2"/>
    <w:rsid w:val="00D2683C"/>
    <w:rsid w:val="00D308ED"/>
    <w:rsid w:val="00D33368"/>
    <w:rsid w:val="00D357A1"/>
    <w:rsid w:val="00D36D86"/>
    <w:rsid w:val="00D3755D"/>
    <w:rsid w:val="00D40F5A"/>
    <w:rsid w:val="00D41ABB"/>
    <w:rsid w:val="00D428AA"/>
    <w:rsid w:val="00D42C59"/>
    <w:rsid w:val="00D459B5"/>
    <w:rsid w:val="00D50A34"/>
    <w:rsid w:val="00D524C9"/>
    <w:rsid w:val="00D53EFA"/>
    <w:rsid w:val="00D61899"/>
    <w:rsid w:val="00D80A42"/>
    <w:rsid w:val="00D83B6A"/>
    <w:rsid w:val="00D846A0"/>
    <w:rsid w:val="00D92AC4"/>
    <w:rsid w:val="00D94138"/>
    <w:rsid w:val="00D94A7C"/>
    <w:rsid w:val="00D95896"/>
    <w:rsid w:val="00D95992"/>
    <w:rsid w:val="00D95EB3"/>
    <w:rsid w:val="00D9696E"/>
    <w:rsid w:val="00D9738A"/>
    <w:rsid w:val="00DA0161"/>
    <w:rsid w:val="00DB2983"/>
    <w:rsid w:val="00DB5210"/>
    <w:rsid w:val="00DC0195"/>
    <w:rsid w:val="00DC1257"/>
    <w:rsid w:val="00DC3DC0"/>
    <w:rsid w:val="00DC5B2B"/>
    <w:rsid w:val="00DC6F35"/>
    <w:rsid w:val="00DD318D"/>
    <w:rsid w:val="00DD367C"/>
    <w:rsid w:val="00DE15CD"/>
    <w:rsid w:val="00DF26FD"/>
    <w:rsid w:val="00DF2E12"/>
    <w:rsid w:val="00DF48A0"/>
    <w:rsid w:val="00DF514A"/>
    <w:rsid w:val="00DF6690"/>
    <w:rsid w:val="00DF6804"/>
    <w:rsid w:val="00E02217"/>
    <w:rsid w:val="00E0358D"/>
    <w:rsid w:val="00E04323"/>
    <w:rsid w:val="00E06013"/>
    <w:rsid w:val="00E070A2"/>
    <w:rsid w:val="00E10978"/>
    <w:rsid w:val="00E112E8"/>
    <w:rsid w:val="00E12240"/>
    <w:rsid w:val="00E140B9"/>
    <w:rsid w:val="00E16DC9"/>
    <w:rsid w:val="00E22A1C"/>
    <w:rsid w:val="00E22B29"/>
    <w:rsid w:val="00E2656A"/>
    <w:rsid w:val="00E33AE4"/>
    <w:rsid w:val="00E3750C"/>
    <w:rsid w:val="00E412D0"/>
    <w:rsid w:val="00E44279"/>
    <w:rsid w:val="00E4532F"/>
    <w:rsid w:val="00E46A15"/>
    <w:rsid w:val="00E47417"/>
    <w:rsid w:val="00E510A0"/>
    <w:rsid w:val="00E55E4F"/>
    <w:rsid w:val="00E56322"/>
    <w:rsid w:val="00E60982"/>
    <w:rsid w:val="00E62C62"/>
    <w:rsid w:val="00E654C1"/>
    <w:rsid w:val="00E65D97"/>
    <w:rsid w:val="00E67C9D"/>
    <w:rsid w:val="00E72A5A"/>
    <w:rsid w:val="00E73354"/>
    <w:rsid w:val="00E74C23"/>
    <w:rsid w:val="00E905D1"/>
    <w:rsid w:val="00E9147E"/>
    <w:rsid w:val="00E9218D"/>
    <w:rsid w:val="00E9242D"/>
    <w:rsid w:val="00E942CF"/>
    <w:rsid w:val="00EA46D4"/>
    <w:rsid w:val="00EB2283"/>
    <w:rsid w:val="00EB27C6"/>
    <w:rsid w:val="00EB5255"/>
    <w:rsid w:val="00EB5C47"/>
    <w:rsid w:val="00EC3EAF"/>
    <w:rsid w:val="00EC414D"/>
    <w:rsid w:val="00EC4AB8"/>
    <w:rsid w:val="00EC4E53"/>
    <w:rsid w:val="00EC5151"/>
    <w:rsid w:val="00EC623B"/>
    <w:rsid w:val="00ED0639"/>
    <w:rsid w:val="00ED7A3E"/>
    <w:rsid w:val="00EE1CF1"/>
    <w:rsid w:val="00EE4536"/>
    <w:rsid w:val="00EE754F"/>
    <w:rsid w:val="00EF328E"/>
    <w:rsid w:val="00EF39E4"/>
    <w:rsid w:val="00EF4755"/>
    <w:rsid w:val="00EF7135"/>
    <w:rsid w:val="00F027DB"/>
    <w:rsid w:val="00F03702"/>
    <w:rsid w:val="00F05148"/>
    <w:rsid w:val="00F05C2F"/>
    <w:rsid w:val="00F06839"/>
    <w:rsid w:val="00F105A1"/>
    <w:rsid w:val="00F121FC"/>
    <w:rsid w:val="00F13D37"/>
    <w:rsid w:val="00F14A7A"/>
    <w:rsid w:val="00F162BE"/>
    <w:rsid w:val="00F216D4"/>
    <w:rsid w:val="00F21AD4"/>
    <w:rsid w:val="00F22985"/>
    <w:rsid w:val="00F249AC"/>
    <w:rsid w:val="00F2658A"/>
    <w:rsid w:val="00F3383E"/>
    <w:rsid w:val="00F355A6"/>
    <w:rsid w:val="00F445C4"/>
    <w:rsid w:val="00F465A7"/>
    <w:rsid w:val="00F46B64"/>
    <w:rsid w:val="00F46C3A"/>
    <w:rsid w:val="00F50477"/>
    <w:rsid w:val="00F50B7C"/>
    <w:rsid w:val="00F550E6"/>
    <w:rsid w:val="00F558BA"/>
    <w:rsid w:val="00F6554B"/>
    <w:rsid w:val="00F6661D"/>
    <w:rsid w:val="00F70863"/>
    <w:rsid w:val="00F70A99"/>
    <w:rsid w:val="00F72CA2"/>
    <w:rsid w:val="00F73075"/>
    <w:rsid w:val="00F73104"/>
    <w:rsid w:val="00F74063"/>
    <w:rsid w:val="00F74345"/>
    <w:rsid w:val="00F80A0A"/>
    <w:rsid w:val="00F820D8"/>
    <w:rsid w:val="00F82B19"/>
    <w:rsid w:val="00F8433B"/>
    <w:rsid w:val="00F86307"/>
    <w:rsid w:val="00F86BE1"/>
    <w:rsid w:val="00F91B99"/>
    <w:rsid w:val="00F91EA0"/>
    <w:rsid w:val="00F91F5D"/>
    <w:rsid w:val="00F9212D"/>
    <w:rsid w:val="00F92CBC"/>
    <w:rsid w:val="00F965DA"/>
    <w:rsid w:val="00F96EDA"/>
    <w:rsid w:val="00FA25FE"/>
    <w:rsid w:val="00FA406A"/>
    <w:rsid w:val="00FA475F"/>
    <w:rsid w:val="00FA47DD"/>
    <w:rsid w:val="00FB503A"/>
    <w:rsid w:val="00FB516C"/>
    <w:rsid w:val="00FB7922"/>
    <w:rsid w:val="00FC1D7D"/>
    <w:rsid w:val="00FC31E1"/>
    <w:rsid w:val="00FC53D2"/>
    <w:rsid w:val="00FD0236"/>
    <w:rsid w:val="00FD18F4"/>
    <w:rsid w:val="00FD38AF"/>
    <w:rsid w:val="00FD54DB"/>
    <w:rsid w:val="00FD619F"/>
    <w:rsid w:val="00FD6700"/>
    <w:rsid w:val="00FF1401"/>
    <w:rsid w:val="00FF238A"/>
    <w:rsid w:val="00FF4B1C"/>
    <w:rsid w:val="00FF5562"/>
    <w:rsid w:val="01154186"/>
    <w:rsid w:val="01290F7E"/>
    <w:rsid w:val="015D1E09"/>
    <w:rsid w:val="019E3125"/>
    <w:rsid w:val="01BD6ECD"/>
    <w:rsid w:val="01BF5575"/>
    <w:rsid w:val="02021905"/>
    <w:rsid w:val="0204567E"/>
    <w:rsid w:val="02697903"/>
    <w:rsid w:val="029577CD"/>
    <w:rsid w:val="02AC2B73"/>
    <w:rsid w:val="02B340EB"/>
    <w:rsid w:val="02CC0626"/>
    <w:rsid w:val="02F96569"/>
    <w:rsid w:val="03675EC4"/>
    <w:rsid w:val="036C34DA"/>
    <w:rsid w:val="03847A45"/>
    <w:rsid w:val="03BB4139"/>
    <w:rsid w:val="03EA7B21"/>
    <w:rsid w:val="0400191F"/>
    <w:rsid w:val="043B4C5B"/>
    <w:rsid w:val="0463317D"/>
    <w:rsid w:val="04695C6C"/>
    <w:rsid w:val="04A978C9"/>
    <w:rsid w:val="04B41175"/>
    <w:rsid w:val="05024800"/>
    <w:rsid w:val="05845B9B"/>
    <w:rsid w:val="05A337A5"/>
    <w:rsid w:val="05C0366A"/>
    <w:rsid w:val="05C81ADC"/>
    <w:rsid w:val="05CB139B"/>
    <w:rsid w:val="05F83EAE"/>
    <w:rsid w:val="06092E16"/>
    <w:rsid w:val="061F5DFF"/>
    <w:rsid w:val="063E7D85"/>
    <w:rsid w:val="066466EB"/>
    <w:rsid w:val="06B21E61"/>
    <w:rsid w:val="06C3598D"/>
    <w:rsid w:val="06CF26FD"/>
    <w:rsid w:val="06F537E7"/>
    <w:rsid w:val="0716019F"/>
    <w:rsid w:val="07293586"/>
    <w:rsid w:val="07295285"/>
    <w:rsid w:val="07310B57"/>
    <w:rsid w:val="074556FE"/>
    <w:rsid w:val="07636392"/>
    <w:rsid w:val="07770C56"/>
    <w:rsid w:val="077E48AC"/>
    <w:rsid w:val="07A76F9F"/>
    <w:rsid w:val="085F168C"/>
    <w:rsid w:val="088C1F29"/>
    <w:rsid w:val="089902D7"/>
    <w:rsid w:val="08D625DB"/>
    <w:rsid w:val="08DF7A47"/>
    <w:rsid w:val="092217DD"/>
    <w:rsid w:val="093A7294"/>
    <w:rsid w:val="094265A6"/>
    <w:rsid w:val="096E0ABE"/>
    <w:rsid w:val="09A23581"/>
    <w:rsid w:val="09C03C2F"/>
    <w:rsid w:val="09C03C99"/>
    <w:rsid w:val="09F6495A"/>
    <w:rsid w:val="0A0A396A"/>
    <w:rsid w:val="0A135A12"/>
    <w:rsid w:val="0A150910"/>
    <w:rsid w:val="0A263993"/>
    <w:rsid w:val="0A2D3AC2"/>
    <w:rsid w:val="0A336235"/>
    <w:rsid w:val="0A413A61"/>
    <w:rsid w:val="0A596CCC"/>
    <w:rsid w:val="0A5D5514"/>
    <w:rsid w:val="0A9B6453"/>
    <w:rsid w:val="0AA35B83"/>
    <w:rsid w:val="0AA50C1E"/>
    <w:rsid w:val="0AA755DF"/>
    <w:rsid w:val="0B120D44"/>
    <w:rsid w:val="0B1E349A"/>
    <w:rsid w:val="0B20525A"/>
    <w:rsid w:val="0B3D5778"/>
    <w:rsid w:val="0BC75A97"/>
    <w:rsid w:val="0BD27BF6"/>
    <w:rsid w:val="0C207D26"/>
    <w:rsid w:val="0C3B3C7D"/>
    <w:rsid w:val="0C4961A7"/>
    <w:rsid w:val="0C6F29E4"/>
    <w:rsid w:val="0C765C35"/>
    <w:rsid w:val="0CAB2EAE"/>
    <w:rsid w:val="0CF02BD5"/>
    <w:rsid w:val="0D162709"/>
    <w:rsid w:val="0D3939D6"/>
    <w:rsid w:val="0D621C7D"/>
    <w:rsid w:val="0D855D0D"/>
    <w:rsid w:val="0DBC5B31"/>
    <w:rsid w:val="0DD14781"/>
    <w:rsid w:val="0DD3190F"/>
    <w:rsid w:val="0DDF2E5A"/>
    <w:rsid w:val="0DE960F6"/>
    <w:rsid w:val="0E24463F"/>
    <w:rsid w:val="0E73034D"/>
    <w:rsid w:val="0E741495"/>
    <w:rsid w:val="0E990EFC"/>
    <w:rsid w:val="0EAB5304"/>
    <w:rsid w:val="0EAC1FDF"/>
    <w:rsid w:val="0ECE5049"/>
    <w:rsid w:val="0EDF0C04"/>
    <w:rsid w:val="0F044ADA"/>
    <w:rsid w:val="0F0516C6"/>
    <w:rsid w:val="0F13775A"/>
    <w:rsid w:val="0F5F45FE"/>
    <w:rsid w:val="0F94357C"/>
    <w:rsid w:val="0F9A112B"/>
    <w:rsid w:val="10106773"/>
    <w:rsid w:val="106D2F64"/>
    <w:rsid w:val="10B4359F"/>
    <w:rsid w:val="10B63710"/>
    <w:rsid w:val="10F10820"/>
    <w:rsid w:val="111C2F7A"/>
    <w:rsid w:val="11665CA1"/>
    <w:rsid w:val="11966099"/>
    <w:rsid w:val="119A4505"/>
    <w:rsid w:val="11E06E41"/>
    <w:rsid w:val="124155B8"/>
    <w:rsid w:val="12686472"/>
    <w:rsid w:val="128D521B"/>
    <w:rsid w:val="13111463"/>
    <w:rsid w:val="13951726"/>
    <w:rsid w:val="13BA672E"/>
    <w:rsid w:val="142810D0"/>
    <w:rsid w:val="14305E5E"/>
    <w:rsid w:val="14396509"/>
    <w:rsid w:val="145A48D8"/>
    <w:rsid w:val="14C121AD"/>
    <w:rsid w:val="14D10E78"/>
    <w:rsid w:val="14D12B01"/>
    <w:rsid w:val="14DD2C3C"/>
    <w:rsid w:val="14E06002"/>
    <w:rsid w:val="151E22C8"/>
    <w:rsid w:val="15607C26"/>
    <w:rsid w:val="15F83EAA"/>
    <w:rsid w:val="16087E1D"/>
    <w:rsid w:val="160E641B"/>
    <w:rsid w:val="162E5E5D"/>
    <w:rsid w:val="1663620B"/>
    <w:rsid w:val="166F7E9E"/>
    <w:rsid w:val="16C11DA3"/>
    <w:rsid w:val="1701702A"/>
    <w:rsid w:val="173A128B"/>
    <w:rsid w:val="17660320"/>
    <w:rsid w:val="17701D14"/>
    <w:rsid w:val="17735226"/>
    <w:rsid w:val="178F03F3"/>
    <w:rsid w:val="17966920"/>
    <w:rsid w:val="180E2A99"/>
    <w:rsid w:val="18204B18"/>
    <w:rsid w:val="183726AE"/>
    <w:rsid w:val="185C7497"/>
    <w:rsid w:val="189F624C"/>
    <w:rsid w:val="18F12E8D"/>
    <w:rsid w:val="19007A4A"/>
    <w:rsid w:val="190D06CD"/>
    <w:rsid w:val="196D19C7"/>
    <w:rsid w:val="19E31F04"/>
    <w:rsid w:val="1A1C66C0"/>
    <w:rsid w:val="1A42393B"/>
    <w:rsid w:val="1A565FF9"/>
    <w:rsid w:val="1AAD45DE"/>
    <w:rsid w:val="1AE41750"/>
    <w:rsid w:val="1B046F80"/>
    <w:rsid w:val="1B3267B5"/>
    <w:rsid w:val="1B3F58FC"/>
    <w:rsid w:val="1B40161D"/>
    <w:rsid w:val="1B4072CF"/>
    <w:rsid w:val="1B441859"/>
    <w:rsid w:val="1B6606B1"/>
    <w:rsid w:val="1B666609"/>
    <w:rsid w:val="1B7022B0"/>
    <w:rsid w:val="1C5E7925"/>
    <w:rsid w:val="1C867746"/>
    <w:rsid w:val="1CA46570"/>
    <w:rsid w:val="1CDA7A42"/>
    <w:rsid w:val="1CFD070F"/>
    <w:rsid w:val="1D370260"/>
    <w:rsid w:val="1D3A7FC4"/>
    <w:rsid w:val="1D5F6196"/>
    <w:rsid w:val="1D6132A5"/>
    <w:rsid w:val="1D78776F"/>
    <w:rsid w:val="1D7A7612"/>
    <w:rsid w:val="1D8E56D5"/>
    <w:rsid w:val="1DAB47A7"/>
    <w:rsid w:val="1DAF2571"/>
    <w:rsid w:val="1DB26A69"/>
    <w:rsid w:val="1DE17B0C"/>
    <w:rsid w:val="1E190B75"/>
    <w:rsid w:val="1E6107A3"/>
    <w:rsid w:val="1E7A43DA"/>
    <w:rsid w:val="1EB37DB8"/>
    <w:rsid w:val="1F2951AD"/>
    <w:rsid w:val="1F7F154F"/>
    <w:rsid w:val="1F83778A"/>
    <w:rsid w:val="1FE7539E"/>
    <w:rsid w:val="1FF871A3"/>
    <w:rsid w:val="20671BE0"/>
    <w:rsid w:val="20963CB8"/>
    <w:rsid w:val="20A81A1B"/>
    <w:rsid w:val="20B07FB6"/>
    <w:rsid w:val="20B646FB"/>
    <w:rsid w:val="212D0374"/>
    <w:rsid w:val="213B74B1"/>
    <w:rsid w:val="215A2310"/>
    <w:rsid w:val="217B79F0"/>
    <w:rsid w:val="217F27C4"/>
    <w:rsid w:val="219F4A5B"/>
    <w:rsid w:val="21DE318A"/>
    <w:rsid w:val="21EF5B80"/>
    <w:rsid w:val="22576990"/>
    <w:rsid w:val="228F6446"/>
    <w:rsid w:val="22AC25E8"/>
    <w:rsid w:val="22AE33CB"/>
    <w:rsid w:val="22CB6CA4"/>
    <w:rsid w:val="22EF04AE"/>
    <w:rsid w:val="22F47480"/>
    <w:rsid w:val="2318468D"/>
    <w:rsid w:val="232D520C"/>
    <w:rsid w:val="236713C7"/>
    <w:rsid w:val="23795DFE"/>
    <w:rsid w:val="23DE1C48"/>
    <w:rsid w:val="240210CD"/>
    <w:rsid w:val="242F7962"/>
    <w:rsid w:val="24AF1507"/>
    <w:rsid w:val="24BF09F7"/>
    <w:rsid w:val="24F81FD4"/>
    <w:rsid w:val="25167329"/>
    <w:rsid w:val="252D53FE"/>
    <w:rsid w:val="25913271"/>
    <w:rsid w:val="25B4794F"/>
    <w:rsid w:val="25EC2D81"/>
    <w:rsid w:val="25FE744E"/>
    <w:rsid w:val="26921F67"/>
    <w:rsid w:val="26F6389B"/>
    <w:rsid w:val="2711031F"/>
    <w:rsid w:val="275A2A5B"/>
    <w:rsid w:val="277057A2"/>
    <w:rsid w:val="27A26C1B"/>
    <w:rsid w:val="27A42C72"/>
    <w:rsid w:val="27E81135"/>
    <w:rsid w:val="28372A20"/>
    <w:rsid w:val="285E3344"/>
    <w:rsid w:val="289266D6"/>
    <w:rsid w:val="290D3007"/>
    <w:rsid w:val="29206EB8"/>
    <w:rsid w:val="29595666"/>
    <w:rsid w:val="29874881"/>
    <w:rsid w:val="29E325E0"/>
    <w:rsid w:val="29E70AF3"/>
    <w:rsid w:val="2A452503"/>
    <w:rsid w:val="2A4C202D"/>
    <w:rsid w:val="2AAD1B5F"/>
    <w:rsid w:val="2AB70C30"/>
    <w:rsid w:val="2B3E4320"/>
    <w:rsid w:val="2B830B12"/>
    <w:rsid w:val="2B8718C7"/>
    <w:rsid w:val="2B9A7CC8"/>
    <w:rsid w:val="2B9C42F6"/>
    <w:rsid w:val="2BA936A8"/>
    <w:rsid w:val="2BE41202"/>
    <w:rsid w:val="2C315A5A"/>
    <w:rsid w:val="2C3A0E8C"/>
    <w:rsid w:val="2C4B1C25"/>
    <w:rsid w:val="2C5B788B"/>
    <w:rsid w:val="2C6F357B"/>
    <w:rsid w:val="2C870C74"/>
    <w:rsid w:val="2C8929FD"/>
    <w:rsid w:val="2C9034E6"/>
    <w:rsid w:val="2D047631"/>
    <w:rsid w:val="2D2E1517"/>
    <w:rsid w:val="2D5B56D3"/>
    <w:rsid w:val="2D5E5F47"/>
    <w:rsid w:val="2D9E56F5"/>
    <w:rsid w:val="2DD53A01"/>
    <w:rsid w:val="2DE72364"/>
    <w:rsid w:val="2DF14458"/>
    <w:rsid w:val="2E2A11B8"/>
    <w:rsid w:val="2E4722CA"/>
    <w:rsid w:val="2E667F96"/>
    <w:rsid w:val="2E8226AB"/>
    <w:rsid w:val="2E8861C3"/>
    <w:rsid w:val="2E9F782F"/>
    <w:rsid w:val="2EA90170"/>
    <w:rsid w:val="2EF07FD2"/>
    <w:rsid w:val="2F446CFF"/>
    <w:rsid w:val="2F5F3BD2"/>
    <w:rsid w:val="2FC35949"/>
    <w:rsid w:val="2FD065E6"/>
    <w:rsid w:val="2FD96870"/>
    <w:rsid w:val="30580BC9"/>
    <w:rsid w:val="30E36B49"/>
    <w:rsid w:val="311E2ED7"/>
    <w:rsid w:val="31206DDA"/>
    <w:rsid w:val="315619EE"/>
    <w:rsid w:val="315B4580"/>
    <w:rsid w:val="315C449C"/>
    <w:rsid w:val="315F16D9"/>
    <w:rsid w:val="318B3CAF"/>
    <w:rsid w:val="31B4028E"/>
    <w:rsid w:val="31B82709"/>
    <w:rsid w:val="31D05482"/>
    <w:rsid w:val="31D5046D"/>
    <w:rsid w:val="31F03F85"/>
    <w:rsid w:val="32400B34"/>
    <w:rsid w:val="325E7BE3"/>
    <w:rsid w:val="328B1A0B"/>
    <w:rsid w:val="329E6876"/>
    <w:rsid w:val="32C043F9"/>
    <w:rsid w:val="33284092"/>
    <w:rsid w:val="333015F2"/>
    <w:rsid w:val="33332E1D"/>
    <w:rsid w:val="334B6320"/>
    <w:rsid w:val="339C6C14"/>
    <w:rsid w:val="33D42EA5"/>
    <w:rsid w:val="33D934D4"/>
    <w:rsid w:val="33FE2F6A"/>
    <w:rsid w:val="340E07E5"/>
    <w:rsid w:val="34235BF7"/>
    <w:rsid w:val="342A7A2B"/>
    <w:rsid w:val="342E1C20"/>
    <w:rsid w:val="344A596D"/>
    <w:rsid w:val="345578E8"/>
    <w:rsid w:val="34913A6C"/>
    <w:rsid w:val="34DB42A0"/>
    <w:rsid w:val="351256CE"/>
    <w:rsid w:val="358C5FA8"/>
    <w:rsid w:val="35C15DF1"/>
    <w:rsid w:val="35E5096B"/>
    <w:rsid w:val="35FD4F3C"/>
    <w:rsid w:val="36074A7F"/>
    <w:rsid w:val="367C0FDF"/>
    <w:rsid w:val="36864A9D"/>
    <w:rsid w:val="36922A38"/>
    <w:rsid w:val="36923549"/>
    <w:rsid w:val="36B75FBF"/>
    <w:rsid w:val="36BB1D6C"/>
    <w:rsid w:val="36BD0C45"/>
    <w:rsid w:val="36BE6EA2"/>
    <w:rsid w:val="36D70F38"/>
    <w:rsid w:val="36E806D4"/>
    <w:rsid w:val="370B7C47"/>
    <w:rsid w:val="371670C2"/>
    <w:rsid w:val="37211265"/>
    <w:rsid w:val="37212514"/>
    <w:rsid w:val="37262A19"/>
    <w:rsid w:val="374002FB"/>
    <w:rsid w:val="37C46749"/>
    <w:rsid w:val="37E00298"/>
    <w:rsid w:val="380D6C19"/>
    <w:rsid w:val="38210F58"/>
    <w:rsid w:val="38701C5D"/>
    <w:rsid w:val="387C0DC3"/>
    <w:rsid w:val="38B302F9"/>
    <w:rsid w:val="38F12CD3"/>
    <w:rsid w:val="38F94775"/>
    <w:rsid w:val="392971ED"/>
    <w:rsid w:val="39325651"/>
    <w:rsid w:val="39E4699F"/>
    <w:rsid w:val="3A561988"/>
    <w:rsid w:val="3A6E0E37"/>
    <w:rsid w:val="3A872856"/>
    <w:rsid w:val="3AA446F9"/>
    <w:rsid w:val="3B1016CD"/>
    <w:rsid w:val="3B273268"/>
    <w:rsid w:val="3B3763D1"/>
    <w:rsid w:val="3B873017"/>
    <w:rsid w:val="3B9C69AD"/>
    <w:rsid w:val="3C1934F8"/>
    <w:rsid w:val="3C2F6E1E"/>
    <w:rsid w:val="3C393687"/>
    <w:rsid w:val="3C4E6ED4"/>
    <w:rsid w:val="3C4F64BA"/>
    <w:rsid w:val="3C990195"/>
    <w:rsid w:val="3CD50757"/>
    <w:rsid w:val="3CDA245A"/>
    <w:rsid w:val="3CE77881"/>
    <w:rsid w:val="3D1E06B7"/>
    <w:rsid w:val="3D651623"/>
    <w:rsid w:val="3D655DC6"/>
    <w:rsid w:val="3DE67E7E"/>
    <w:rsid w:val="3E335122"/>
    <w:rsid w:val="3EAE23FA"/>
    <w:rsid w:val="3ECE0946"/>
    <w:rsid w:val="3EDA0523"/>
    <w:rsid w:val="3EF51F1B"/>
    <w:rsid w:val="3F706F9E"/>
    <w:rsid w:val="3FC7442B"/>
    <w:rsid w:val="3FFC5F15"/>
    <w:rsid w:val="400A4AA6"/>
    <w:rsid w:val="403A15A5"/>
    <w:rsid w:val="405A79DE"/>
    <w:rsid w:val="407A6407"/>
    <w:rsid w:val="40F26047"/>
    <w:rsid w:val="411E0E78"/>
    <w:rsid w:val="414C6557"/>
    <w:rsid w:val="4178626B"/>
    <w:rsid w:val="41C71AAA"/>
    <w:rsid w:val="4200449D"/>
    <w:rsid w:val="423A3BCC"/>
    <w:rsid w:val="424E57D2"/>
    <w:rsid w:val="4253606F"/>
    <w:rsid w:val="42B26C49"/>
    <w:rsid w:val="42D01FB0"/>
    <w:rsid w:val="42ED3B5A"/>
    <w:rsid w:val="431C65E8"/>
    <w:rsid w:val="433A6FE6"/>
    <w:rsid w:val="43480868"/>
    <w:rsid w:val="4350713C"/>
    <w:rsid w:val="435766B4"/>
    <w:rsid w:val="436653E0"/>
    <w:rsid w:val="43681598"/>
    <w:rsid w:val="43C4431A"/>
    <w:rsid w:val="44246EDE"/>
    <w:rsid w:val="442D76BC"/>
    <w:rsid w:val="44B951CC"/>
    <w:rsid w:val="44BF1087"/>
    <w:rsid w:val="44C674A1"/>
    <w:rsid w:val="44CD14E0"/>
    <w:rsid w:val="44F20B0B"/>
    <w:rsid w:val="4517434D"/>
    <w:rsid w:val="452E5F4C"/>
    <w:rsid w:val="45577BAC"/>
    <w:rsid w:val="45612018"/>
    <w:rsid w:val="458946E9"/>
    <w:rsid w:val="45A47C0E"/>
    <w:rsid w:val="45A9310F"/>
    <w:rsid w:val="46577FD6"/>
    <w:rsid w:val="46913736"/>
    <w:rsid w:val="46A55C4A"/>
    <w:rsid w:val="46D955A7"/>
    <w:rsid w:val="47133957"/>
    <w:rsid w:val="47134AD4"/>
    <w:rsid w:val="474F0898"/>
    <w:rsid w:val="478B62E5"/>
    <w:rsid w:val="47A07E0C"/>
    <w:rsid w:val="47A3669A"/>
    <w:rsid w:val="481371B5"/>
    <w:rsid w:val="483941CF"/>
    <w:rsid w:val="4870272E"/>
    <w:rsid w:val="48F5643E"/>
    <w:rsid w:val="493F20C4"/>
    <w:rsid w:val="496C3162"/>
    <w:rsid w:val="49DC7715"/>
    <w:rsid w:val="4A023139"/>
    <w:rsid w:val="4A0F5998"/>
    <w:rsid w:val="4A6018A9"/>
    <w:rsid w:val="4A7B576F"/>
    <w:rsid w:val="4A8F5E5F"/>
    <w:rsid w:val="4AAE7501"/>
    <w:rsid w:val="4ADE58F2"/>
    <w:rsid w:val="4AF561A9"/>
    <w:rsid w:val="4B624E50"/>
    <w:rsid w:val="4B69212F"/>
    <w:rsid w:val="4B8838F1"/>
    <w:rsid w:val="4C4A0649"/>
    <w:rsid w:val="4C7E5ECA"/>
    <w:rsid w:val="4C876AA5"/>
    <w:rsid w:val="4D043409"/>
    <w:rsid w:val="4D0E00FB"/>
    <w:rsid w:val="4D176606"/>
    <w:rsid w:val="4D1963E7"/>
    <w:rsid w:val="4D34340A"/>
    <w:rsid w:val="4D5F11C7"/>
    <w:rsid w:val="4D6D183E"/>
    <w:rsid w:val="4D8857CA"/>
    <w:rsid w:val="4D994E29"/>
    <w:rsid w:val="4DEC4FB0"/>
    <w:rsid w:val="4E075D8A"/>
    <w:rsid w:val="4E577C88"/>
    <w:rsid w:val="4EC00FAD"/>
    <w:rsid w:val="4F147B4F"/>
    <w:rsid w:val="4F2E4D49"/>
    <w:rsid w:val="4F37196C"/>
    <w:rsid w:val="4F456831"/>
    <w:rsid w:val="4F793A12"/>
    <w:rsid w:val="4F9843DC"/>
    <w:rsid w:val="4FC62A8C"/>
    <w:rsid w:val="4FC6709B"/>
    <w:rsid w:val="4FC926E8"/>
    <w:rsid w:val="4FE20F0D"/>
    <w:rsid w:val="4FE51552"/>
    <w:rsid w:val="50504C4B"/>
    <w:rsid w:val="507E14F3"/>
    <w:rsid w:val="508F6F73"/>
    <w:rsid w:val="50991A2C"/>
    <w:rsid w:val="509C6E7C"/>
    <w:rsid w:val="50C63987"/>
    <w:rsid w:val="50EC3FDB"/>
    <w:rsid w:val="511F5E82"/>
    <w:rsid w:val="514069D9"/>
    <w:rsid w:val="5162104E"/>
    <w:rsid w:val="5181293B"/>
    <w:rsid w:val="5181346C"/>
    <w:rsid w:val="51977C5C"/>
    <w:rsid w:val="52233AC3"/>
    <w:rsid w:val="523E501E"/>
    <w:rsid w:val="52A631B4"/>
    <w:rsid w:val="52EB6140"/>
    <w:rsid w:val="531910E2"/>
    <w:rsid w:val="534977BA"/>
    <w:rsid w:val="536034F6"/>
    <w:rsid w:val="53A039CC"/>
    <w:rsid w:val="53A1505A"/>
    <w:rsid w:val="53C733E2"/>
    <w:rsid w:val="54063E08"/>
    <w:rsid w:val="543437E8"/>
    <w:rsid w:val="543A4C7F"/>
    <w:rsid w:val="54EC0E4D"/>
    <w:rsid w:val="54F73313"/>
    <w:rsid w:val="54F80955"/>
    <w:rsid w:val="553B2320"/>
    <w:rsid w:val="555170A7"/>
    <w:rsid w:val="555C0933"/>
    <w:rsid w:val="5587536D"/>
    <w:rsid w:val="55970346"/>
    <w:rsid w:val="559B174B"/>
    <w:rsid w:val="55CE0CF4"/>
    <w:rsid w:val="55D66658"/>
    <w:rsid w:val="56437BB0"/>
    <w:rsid w:val="564956C0"/>
    <w:rsid w:val="56B22A9C"/>
    <w:rsid w:val="56B404DB"/>
    <w:rsid w:val="56E32475"/>
    <w:rsid w:val="570920B8"/>
    <w:rsid w:val="57172725"/>
    <w:rsid w:val="57AA2DFF"/>
    <w:rsid w:val="57B72A76"/>
    <w:rsid w:val="57C3426C"/>
    <w:rsid w:val="57CE1F93"/>
    <w:rsid w:val="57E071A3"/>
    <w:rsid w:val="57FD5624"/>
    <w:rsid w:val="58461F8B"/>
    <w:rsid w:val="5859488C"/>
    <w:rsid w:val="588743D1"/>
    <w:rsid w:val="5887701A"/>
    <w:rsid w:val="58A2554B"/>
    <w:rsid w:val="58AA2D6A"/>
    <w:rsid w:val="58AD0DF8"/>
    <w:rsid w:val="58BD5EE1"/>
    <w:rsid w:val="58BF2A34"/>
    <w:rsid w:val="58F24A5D"/>
    <w:rsid w:val="590B7411"/>
    <w:rsid w:val="596C0CB3"/>
    <w:rsid w:val="59C0439F"/>
    <w:rsid w:val="59C715F3"/>
    <w:rsid w:val="59E90B92"/>
    <w:rsid w:val="5ABE2233"/>
    <w:rsid w:val="5ACB5DC5"/>
    <w:rsid w:val="5ACF7241"/>
    <w:rsid w:val="5ADE5991"/>
    <w:rsid w:val="5AF61DEA"/>
    <w:rsid w:val="5AF725D0"/>
    <w:rsid w:val="5B526E24"/>
    <w:rsid w:val="5B5D7E1A"/>
    <w:rsid w:val="5BA85F06"/>
    <w:rsid w:val="5BB11D4C"/>
    <w:rsid w:val="5BDF5D95"/>
    <w:rsid w:val="5BFE7528"/>
    <w:rsid w:val="5C2D0239"/>
    <w:rsid w:val="5C365696"/>
    <w:rsid w:val="5C4D2A9D"/>
    <w:rsid w:val="5C763521"/>
    <w:rsid w:val="5C9C22F4"/>
    <w:rsid w:val="5DEE5DC3"/>
    <w:rsid w:val="5E08087F"/>
    <w:rsid w:val="5E2467F1"/>
    <w:rsid w:val="5E4F0B0C"/>
    <w:rsid w:val="5EA373BD"/>
    <w:rsid w:val="5EA37711"/>
    <w:rsid w:val="5EB00823"/>
    <w:rsid w:val="5F1A2B43"/>
    <w:rsid w:val="5F1F604D"/>
    <w:rsid w:val="5F5B71E1"/>
    <w:rsid w:val="5F6160B5"/>
    <w:rsid w:val="5F7A1C50"/>
    <w:rsid w:val="5F981124"/>
    <w:rsid w:val="5FB837BB"/>
    <w:rsid w:val="5FFB262A"/>
    <w:rsid w:val="60413008"/>
    <w:rsid w:val="60687CA9"/>
    <w:rsid w:val="60767D50"/>
    <w:rsid w:val="60820DBC"/>
    <w:rsid w:val="609D5BF6"/>
    <w:rsid w:val="60AC3BE1"/>
    <w:rsid w:val="60BB1432"/>
    <w:rsid w:val="60CC405A"/>
    <w:rsid w:val="60F12B46"/>
    <w:rsid w:val="60F465BB"/>
    <w:rsid w:val="60F938E8"/>
    <w:rsid w:val="612C0560"/>
    <w:rsid w:val="612C2BCE"/>
    <w:rsid w:val="61763E97"/>
    <w:rsid w:val="61962DE1"/>
    <w:rsid w:val="61A46172"/>
    <w:rsid w:val="61E215D8"/>
    <w:rsid w:val="61F21F72"/>
    <w:rsid w:val="621B3775"/>
    <w:rsid w:val="62277DD3"/>
    <w:rsid w:val="62364782"/>
    <w:rsid w:val="624B571C"/>
    <w:rsid w:val="62600710"/>
    <w:rsid w:val="627209BD"/>
    <w:rsid w:val="629152E7"/>
    <w:rsid w:val="6394356A"/>
    <w:rsid w:val="63972DD1"/>
    <w:rsid w:val="63C07B78"/>
    <w:rsid w:val="63C61B2C"/>
    <w:rsid w:val="63D40BE9"/>
    <w:rsid w:val="63FC022F"/>
    <w:rsid w:val="640E54A7"/>
    <w:rsid w:val="64102431"/>
    <w:rsid w:val="64A5243A"/>
    <w:rsid w:val="64E8140A"/>
    <w:rsid w:val="64E81786"/>
    <w:rsid w:val="64F531DE"/>
    <w:rsid w:val="65102E3B"/>
    <w:rsid w:val="65373578"/>
    <w:rsid w:val="658E0FD5"/>
    <w:rsid w:val="65AE09F4"/>
    <w:rsid w:val="65C55463"/>
    <w:rsid w:val="65C87174"/>
    <w:rsid w:val="65F622D0"/>
    <w:rsid w:val="66AA1EFD"/>
    <w:rsid w:val="66F55433"/>
    <w:rsid w:val="671F124A"/>
    <w:rsid w:val="6739419F"/>
    <w:rsid w:val="674E2338"/>
    <w:rsid w:val="677A33C6"/>
    <w:rsid w:val="678C66E4"/>
    <w:rsid w:val="67CD65F3"/>
    <w:rsid w:val="68002368"/>
    <w:rsid w:val="680317A6"/>
    <w:rsid w:val="681F6961"/>
    <w:rsid w:val="68610A2F"/>
    <w:rsid w:val="68805514"/>
    <w:rsid w:val="68B65AA7"/>
    <w:rsid w:val="68C752F2"/>
    <w:rsid w:val="69316E2F"/>
    <w:rsid w:val="693331DD"/>
    <w:rsid w:val="69394A85"/>
    <w:rsid w:val="694E2071"/>
    <w:rsid w:val="696A3AE2"/>
    <w:rsid w:val="69766163"/>
    <w:rsid w:val="697A3B33"/>
    <w:rsid w:val="69D44760"/>
    <w:rsid w:val="69EF2C81"/>
    <w:rsid w:val="6A227095"/>
    <w:rsid w:val="6A520EC7"/>
    <w:rsid w:val="6A9F445B"/>
    <w:rsid w:val="6AA91911"/>
    <w:rsid w:val="6ADF7D69"/>
    <w:rsid w:val="6AEB6692"/>
    <w:rsid w:val="6AF87E20"/>
    <w:rsid w:val="6B134528"/>
    <w:rsid w:val="6B322639"/>
    <w:rsid w:val="6BF1329A"/>
    <w:rsid w:val="6BFE1BC4"/>
    <w:rsid w:val="6C0E125D"/>
    <w:rsid w:val="6C636C38"/>
    <w:rsid w:val="6C9F4DB6"/>
    <w:rsid w:val="6CA53F07"/>
    <w:rsid w:val="6CB556D6"/>
    <w:rsid w:val="6CDC5687"/>
    <w:rsid w:val="6CDF6831"/>
    <w:rsid w:val="6D521EF3"/>
    <w:rsid w:val="6D9B7F8C"/>
    <w:rsid w:val="6DB34098"/>
    <w:rsid w:val="6DB545B6"/>
    <w:rsid w:val="6DD7389B"/>
    <w:rsid w:val="6DE02FB4"/>
    <w:rsid w:val="6DE235B9"/>
    <w:rsid w:val="6E1D33A4"/>
    <w:rsid w:val="6E5047C8"/>
    <w:rsid w:val="6E514CED"/>
    <w:rsid w:val="6EB563D5"/>
    <w:rsid w:val="6ED92677"/>
    <w:rsid w:val="6F225983"/>
    <w:rsid w:val="6F275421"/>
    <w:rsid w:val="6F3C0982"/>
    <w:rsid w:val="6FF97511"/>
    <w:rsid w:val="6FFC5590"/>
    <w:rsid w:val="70012E58"/>
    <w:rsid w:val="702074A4"/>
    <w:rsid w:val="706D1DD0"/>
    <w:rsid w:val="70856B87"/>
    <w:rsid w:val="70B623BC"/>
    <w:rsid w:val="70D527EE"/>
    <w:rsid w:val="71202899"/>
    <w:rsid w:val="7137013A"/>
    <w:rsid w:val="7145290B"/>
    <w:rsid w:val="715B5300"/>
    <w:rsid w:val="716E7B7F"/>
    <w:rsid w:val="719B7F30"/>
    <w:rsid w:val="71CE0D14"/>
    <w:rsid w:val="71D27F8A"/>
    <w:rsid w:val="71D417DE"/>
    <w:rsid w:val="72477770"/>
    <w:rsid w:val="72553024"/>
    <w:rsid w:val="72DF5BFA"/>
    <w:rsid w:val="73122968"/>
    <w:rsid w:val="731F5D5E"/>
    <w:rsid w:val="735655A1"/>
    <w:rsid w:val="73643796"/>
    <w:rsid w:val="737A7BE6"/>
    <w:rsid w:val="73C51AD5"/>
    <w:rsid w:val="741A1B3F"/>
    <w:rsid w:val="741E793C"/>
    <w:rsid w:val="745E3944"/>
    <w:rsid w:val="74736F42"/>
    <w:rsid w:val="74781C8C"/>
    <w:rsid w:val="75094211"/>
    <w:rsid w:val="755B2C17"/>
    <w:rsid w:val="75846F2D"/>
    <w:rsid w:val="758933F3"/>
    <w:rsid w:val="75BE5F9B"/>
    <w:rsid w:val="7612665D"/>
    <w:rsid w:val="7635099D"/>
    <w:rsid w:val="765E32DA"/>
    <w:rsid w:val="76990467"/>
    <w:rsid w:val="76DE3BC8"/>
    <w:rsid w:val="76FE0619"/>
    <w:rsid w:val="77026A79"/>
    <w:rsid w:val="7708189B"/>
    <w:rsid w:val="77091498"/>
    <w:rsid w:val="772A1E1F"/>
    <w:rsid w:val="77753637"/>
    <w:rsid w:val="77762421"/>
    <w:rsid w:val="77907C4F"/>
    <w:rsid w:val="77943E04"/>
    <w:rsid w:val="77B56B1F"/>
    <w:rsid w:val="77EF4EB7"/>
    <w:rsid w:val="780F09F4"/>
    <w:rsid w:val="784A73A9"/>
    <w:rsid w:val="78621BF3"/>
    <w:rsid w:val="78686622"/>
    <w:rsid w:val="78A90480"/>
    <w:rsid w:val="78B8435A"/>
    <w:rsid w:val="793E6303"/>
    <w:rsid w:val="798B772D"/>
    <w:rsid w:val="799210D1"/>
    <w:rsid w:val="79BC241C"/>
    <w:rsid w:val="79E62BDA"/>
    <w:rsid w:val="7A026F5B"/>
    <w:rsid w:val="7A364017"/>
    <w:rsid w:val="7A3E00A8"/>
    <w:rsid w:val="7A74000B"/>
    <w:rsid w:val="7A7E219D"/>
    <w:rsid w:val="7A8265E1"/>
    <w:rsid w:val="7A9773F8"/>
    <w:rsid w:val="7A9F58B0"/>
    <w:rsid w:val="7B686D42"/>
    <w:rsid w:val="7B841746"/>
    <w:rsid w:val="7C374F53"/>
    <w:rsid w:val="7C6C5AC7"/>
    <w:rsid w:val="7C750CEE"/>
    <w:rsid w:val="7CC6544B"/>
    <w:rsid w:val="7CCF6CE0"/>
    <w:rsid w:val="7D0239FF"/>
    <w:rsid w:val="7D2A03BA"/>
    <w:rsid w:val="7D3477F1"/>
    <w:rsid w:val="7D5E40CD"/>
    <w:rsid w:val="7D621902"/>
    <w:rsid w:val="7D982AFF"/>
    <w:rsid w:val="7DCD17A7"/>
    <w:rsid w:val="7DCD56F2"/>
    <w:rsid w:val="7DE77E03"/>
    <w:rsid w:val="7E473AB2"/>
    <w:rsid w:val="7E966316"/>
    <w:rsid w:val="7E9A7E8D"/>
    <w:rsid w:val="7EBE393A"/>
    <w:rsid w:val="7ED21D6F"/>
    <w:rsid w:val="7EEC3078"/>
    <w:rsid w:val="7F001CE7"/>
    <w:rsid w:val="7FAA57E2"/>
    <w:rsid w:val="7FBB354B"/>
    <w:rsid w:val="7FC341E5"/>
    <w:rsid w:val="7FC902AA"/>
    <w:rsid w:val="7FD12221"/>
    <w:rsid w:val="7FE47E50"/>
    <w:rsid w:val="7FEC6E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nhideWhenUsed="0" w:uiPriority="0" w:semiHidden="0" w:name="heading 2" w:locked="1"/>
    <w:lsdException w:qFormat="1" w:unhideWhenUsed="0" w:uiPriority="9" w:semiHidden="0" w:name="heading 3" w:locked="1"/>
    <w:lsdException w:qFormat="1" w:unhideWhenUsed="0" w:uiPriority="9"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ocked="1"/>
    <w:lsdException w:unhideWhenUsed="0" w:uiPriority="0" w:semiHidden="0" w:name="index 2" w:locked="1"/>
    <w:lsdException w:unhideWhenUsed="0" w:uiPriority="0" w:semiHidden="0" w:name="index 3" w:locked="1"/>
    <w:lsdException w:unhideWhenUsed="0" w:uiPriority="0" w:semiHidden="0" w:name="index 4" w:locked="1"/>
    <w:lsdException w:unhideWhenUsed="0" w:uiPriority="0" w:semiHidden="0" w:name="index 5" w:locked="1"/>
    <w:lsdException w:unhideWhenUsed="0" w:uiPriority="0" w:semiHidden="0" w:name="index 6" w:locked="1"/>
    <w:lsdException w:unhideWhenUsed="0" w:uiPriority="0" w:semiHidden="0" w:name="index 7" w:locked="1"/>
    <w:lsdException w:unhideWhenUsed="0" w:uiPriority="0" w:semiHidden="0" w:name="index 8" w:locked="1"/>
    <w:lsdException w:unhideWhenUsed="0" w:uiPriority="0" w:semiHidden="0" w:name="index 9" w:locked="1"/>
    <w:lsdException w:qFormat="1" w:unhideWhenUsed="0" w:uiPriority="99"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ocked="1"/>
    <w:lsdException w:unhideWhenUsed="0" w:uiPriority="0" w:semiHidden="0" w:name="footnote text" w:locked="1"/>
    <w:lsdException w:qFormat="1" w:unhideWhenUsed="0" w:uiPriority="0" w:name="annotation text"/>
    <w:lsdException w:qFormat="1" w:unhideWhenUsed="0" w:uiPriority="0" w:semiHidden="0" w:name="header"/>
    <w:lsdException w:qFormat="1" w:unhideWhenUsed="0" w:uiPriority="99" w:semiHidden="0" w:name="footer"/>
    <w:lsdException w:unhideWhenUsed="0" w:uiPriority="0" w:semiHidden="0" w:name="index heading" w:locked="1"/>
    <w:lsdException w:qFormat="1" w:uiPriority="0" w:name="caption" w:locked="1"/>
    <w:lsdException w:unhideWhenUsed="0" w:uiPriority="0" w:semiHidden="0" w:name="table of figures" w:locked="1"/>
    <w:lsdException w:unhideWhenUsed="0" w:uiPriority="0" w:semiHidden="0" w:name="envelope address" w:locked="1"/>
    <w:lsdException w:unhideWhenUsed="0" w:uiPriority="0" w:semiHidden="0" w:name="envelope return" w:locked="1"/>
    <w:lsdException w:unhideWhenUsed="0" w:uiPriority="0" w:semiHidden="0" w:name="footnote reference" w:locked="1"/>
    <w:lsdException w:qFormat="1" w:unhideWhenUsed="0" w:uiPriority="0" w:name="annotation reference"/>
    <w:lsdException w:unhideWhenUsed="0" w:uiPriority="0" w:semiHidden="0" w:name="line number" w:locked="1"/>
    <w:lsdException w:qFormat="1" w:unhideWhenUsed="0" w:uiPriority="0" w:semiHidden="0" w:name="page number" w:locked="1"/>
    <w:lsdException w:unhideWhenUsed="0" w:uiPriority="0" w:semiHidden="0" w:name="endnote reference" w:locked="1"/>
    <w:lsdException w:unhideWhenUsed="0" w:uiPriority="0" w:semiHidden="0" w:name="endnote text" w:locked="1"/>
    <w:lsdException w:unhideWhenUsed="0" w:uiPriority="0" w:semiHidden="0" w:name="table of authorities" w:locked="1"/>
    <w:lsdException w:unhideWhenUsed="0" w:uiPriority="0" w:semiHidden="0" w:name="macro" w:locked="1"/>
    <w:lsdException w:unhideWhenUsed="0" w:uiPriority="0" w:semiHidden="0" w:name="toa heading" w:locked="1"/>
    <w:lsdException w:unhideWhenUsed="0" w:uiPriority="0" w:semiHidden="0" w:name="List" w:locked="1"/>
    <w:lsdException w:unhideWhenUsed="0" w:uiPriority="0" w:semiHidden="0" w:name="List Bullet" w:locked="1"/>
    <w:lsdException w:unhideWhenUsed="0" w:uiPriority="0" w:semiHidden="0" w:name="List Number" w:locked="1"/>
    <w:lsdException w:unhideWhenUsed="0" w:uiPriority="0" w:semiHidden="0" w:name="List 2" w:locked="1"/>
    <w:lsdException w:unhideWhenUsed="0" w:uiPriority="0" w:semiHidden="0" w:name="List 3" w:locked="1"/>
    <w:lsdException w:unhideWhenUsed="0" w:uiPriority="0" w:semiHidden="0" w:name="List 4" w:locked="1"/>
    <w:lsdException w:unhideWhenUsed="0" w:uiPriority="0" w:semiHidden="0" w:name="List 5" w:locked="1"/>
    <w:lsdException w:unhideWhenUsed="0" w:uiPriority="0" w:semiHidden="0" w:name="List Bullet 2" w:locked="1"/>
    <w:lsdException w:unhideWhenUsed="0" w:uiPriority="0" w:semiHidden="0" w:name="List Bullet 3" w:locked="1"/>
    <w:lsdException w:unhideWhenUsed="0" w:uiPriority="0" w:semiHidden="0" w:name="List Bullet 4" w:locked="1"/>
    <w:lsdException w:unhideWhenUsed="0" w:uiPriority="0" w:semiHidden="0" w:name="List Bullet 5" w:locked="1"/>
    <w:lsdException w:unhideWhenUsed="0" w:uiPriority="0" w:semiHidden="0" w:name="List Number 2" w:locked="1"/>
    <w:lsdException w:unhideWhenUsed="0" w:uiPriority="0" w:semiHidden="0" w:name="List Number 3" w:locked="1"/>
    <w:lsdException w:unhideWhenUsed="0" w:uiPriority="0" w:semiHidden="0" w:name="List Number 4" w:locked="1"/>
    <w:lsdException w:unhideWhenUsed="0" w:uiPriority="0" w:semiHidden="0" w:name="List Number 5" w:locked="1"/>
    <w:lsdException w:qFormat="1" w:unhideWhenUsed="0" w:uiPriority="0" w:semiHidden="0" w:name="Title" w:locked="1"/>
    <w:lsdException w:unhideWhenUsed="0" w:uiPriority="0" w:semiHidden="0" w:name="Closing" w:locked="1"/>
    <w:lsdException w:unhideWhenUsed="0" w:uiPriority="0" w:semiHidden="0" w:name="Signature" w:locked="1"/>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ocked="1"/>
    <w:lsdException w:unhideWhenUsed="0" w:uiPriority="0" w:semiHidden="0" w:name="List Continue 2" w:locked="1"/>
    <w:lsdException w:unhideWhenUsed="0" w:uiPriority="0" w:semiHidden="0" w:name="List Continue 3" w:locked="1"/>
    <w:lsdException w:unhideWhenUsed="0" w:uiPriority="0" w:semiHidden="0" w:name="List Continue 4" w:locked="1"/>
    <w:lsdException w:unhideWhenUsed="0" w:uiPriority="0" w:semiHidden="0" w:name="List Continue 5" w:locked="1"/>
    <w:lsdException w:unhideWhenUsed="0" w:uiPriority="0" w:semiHidden="0" w:name="Message Header" w:locked="1"/>
    <w:lsdException w:qFormat="1" w:unhideWhenUsed="0" w:uiPriority="11" w:semiHidden="0" w:name="Subtitle" w:locked="1"/>
    <w:lsdException w:unhideWhenUsed="0" w:uiPriority="0" w:semiHidden="0" w:name="Salutation" w:locked="1"/>
    <w:lsdException w:qFormat="1" w:unhideWhenUsed="0" w:uiPriority="0" w:semiHidden="0" w:name="Date"/>
    <w:lsdException w:qFormat="1" w:uiPriority="99" w:semiHidden="0" w:name="Body Text First Indent" w:locked="1"/>
    <w:lsdException w:qFormat="1" w:unhideWhenUsed="0" w:uiPriority="0" w:semiHidden="0" w:name="Body Text First Indent 2" w:locked="1"/>
    <w:lsdException w:qFormat="1" w:unhideWhenUsed="0" w:uiPriority="0" w:semiHidden="0" w:name="Note Heading" w:locked="1"/>
    <w:lsdException w:unhideWhenUsed="0" w:uiPriority="0" w:semiHidden="0" w:name="Body Text 2" w:locked="1"/>
    <w:lsdException w:unhideWhenUsed="0" w:uiPriority="0" w:semiHidden="0" w:name="Body Text 3" w:locked="1"/>
    <w:lsdException w:qFormat="1" w:uiPriority="99" w:name="Body Text Indent 2" w:locked="1"/>
    <w:lsdException w:unhideWhenUsed="0" w:uiPriority="0" w:semiHidden="0" w:name="Body Text Indent 3" w:locked="1"/>
    <w:lsdException w:qFormat="1" w:unhideWhenUsed="0" w:uiPriority="0" w:semiHidden="0" w:name="Block Text" w:locked="1"/>
    <w:lsdException w:qFormat="1" w:uiPriority="99" w:semiHidden="0" w:name="Hyperlink" w:locked="1"/>
    <w:lsdException w:unhideWhenUsed="0" w:uiPriority="0" w:semiHidden="0" w:name="FollowedHyperlink" w:locked="1"/>
    <w:lsdException w:qFormat="1" w:unhideWhenUsed="0" w:uiPriority="0" w:semiHidden="0" w:name="Strong" w:locked="1"/>
    <w:lsdException w:qFormat="1" w:unhideWhenUsed="0" w:uiPriority="0" w:semiHidden="0" w:name="Emphasis" w:locked="1"/>
    <w:lsdException w:unhideWhenUsed="0" w:uiPriority="0" w:semiHidden="0" w:name="Document Map" w:locked="1"/>
    <w:lsdException w:qFormat="1" w:unhideWhenUsed="0" w:uiPriority="0" w:semiHidden="0" w:name="Plain Text" w:locked="1"/>
    <w:lsdException w:unhideWhenUsed="0" w:uiPriority="0" w:semiHidden="0" w:name="E-mail Signature" w:locked="1"/>
    <w:lsdException w:qFormat="1" w:unhideWhenUsed="0" w:uiPriority="0" w:semiHidden="0" w:name="Normal (Web)"/>
    <w:lsdException w:unhideWhenUsed="0" w:uiPriority="0" w:semiHidden="0" w:name="HTML Acronym" w:locked="1"/>
    <w:lsdException w:unhideWhenUsed="0" w:uiPriority="0" w:semiHidden="0" w:name="HTML Address" w:locked="1"/>
    <w:lsdException w:unhideWhenUsed="0" w:uiPriority="0" w:semiHidden="0" w:name="HTML Cite" w:locked="1"/>
    <w:lsdException w:unhideWhenUsed="0" w:uiPriority="0" w:semiHidden="0" w:name="HTML Code" w:locked="1"/>
    <w:lsdException w:unhideWhenUsed="0" w:uiPriority="0" w:semiHidden="0" w:name="HTML Definition" w:locked="1"/>
    <w:lsdException w:unhideWhenUsed="0" w:uiPriority="0" w:semiHidden="0" w:name="HTML Keyboard" w:locked="1"/>
    <w:lsdException w:unhideWhenUsed="0" w:uiPriority="0" w:semiHidden="0" w:name="HTML Preformatted" w:locked="1"/>
    <w:lsdException w:unhideWhenUsed="0" w:uiPriority="0" w:semiHidden="0" w:name="HTML Sample" w:locked="1"/>
    <w:lsdException w:unhideWhenUsed="0" w:uiPriority="0" w:semiHidden="0" w:name="HTML Typewriter" w:locked="1"/>
    <w:lsdException w:unhideWhenUsed="0" w:uiPriority="0" w:semiHidden="0" w:name="HTML Variable" w:locked="1"/>
    <w:lsdException w:qFormat="1" w:uiPriority="99" w:name="Normal Table"/>
    <w:lsdException w:qFormat="1" w:unhideWhenUsed="0" w:uiPriority="0" w:name="annotation subject"/>
    <w:lsdException w:uiPriority="0" w:name="Table Simple 1" w:locked="1"/>
    <w:lsdException w:uiPriority="0" w:name="Table Simple 2" w:locked="1"/>
    <w:lsdException w:uiPriority="0" w:name="Table Simple 3" w:locked="1"/>
    <w:lsdException w:uiPriority="0" w:name="Table Classic 1" w:locked="1"/>
    <w:lsdException w:uiPriority="0" w:name="Table Classic 2" w:locked="1"/>
    <w:lsdException w:uiPriority="0" w:name="Table Classic 3" w:locked="1"/>
    <w:lsdException w:uiPriority="0" w:name="Table Classic 4" w:locked="1"/>
    <w:lsdException w:uiPriority="0" w:name="Table Colorful 1" w:locked="1"/>
    <w:lsdException w:uiPriority="0" w:name="Table Colorful 2" w:locked="1"/>
    <w:lsdException w:uiPriority="0" w:name="Table Colorful 3" w:locked="1"/>
    <w:lsdException w:uiPriority="0" w:name="Table Columns 1" w:locked="1"/>
    <w:lsdException w:uiPriority="0" w:name="Table Columns 2" w:locked="1"/>
    <w:lsdException w:uiPriority="0" w:name="Table Columns 3" w:locked="1"/>
    <w:lsdException w:uiPriority="0" w:name="Table Columns 4" w:locked="1"/>
    <w:lsdException w:uiPriority="0" w:name="Table Columns 5" w:locked="1"/>
    <w:lsdException w:uiPriority="0" w:name="Table Grid 1" w:locked="1"/>
    <w:lsdException w:uiPriority="0" w:name="Table Grid 2" w:locked="1"/>
    <w:lsdException w:uiPriority="0" w:name="Table Grid 3" w:locked="1"/>
    <w:lsdException w:uiPriority="0" w:name="Table Grid 4" w:locked="1"/>
    <w:lsdException w:uiPriority="0" w:name="Table Grid 5" w:locked="1"/>
    <w:lsdException w:uiPriority="0" w:name="Table Grid 6" w:locked="1"/>
    <w:lsdException w:uiPriority="0" w:name="Table Grid 7" w:locked="1"/>
    <w:lsdException w:uiPriority="0" w:name="Table Grid 8" w:locked="1"/>
    <w:lsdException w:uiPriority="0" w:name="Table List 1" w:locked="1"/>
    <w:lsdException w:uiPriority="0" w:name="Table List 2" w:locked="1"/>
    <w:lsdException w:uiPriority="0" w:name="Table List 3" w:locked="1"/>
    <w:lsdException w:uiPriority="0" w:name="Table List 4" w:locked="1"/>
    <w:lsdException w:uiPriority="0" w:name="Table List 5" w:locked="1"/>
    <w:lsdException w:uiPriority="0" w:name="Table List 6" w:locked="1"/>
    <w:lsdException w:uiPriority="0" w:name="Table List 7" w:locked="1"/>
    <w:lsdException w:uiPriority="0" w:name="Table List 8" w:locked="1"/>
    <w:lsdException w:uiPriority="0" w:name="Table 3D effects 1" w:locked="1"/>
    <w:lsdException w:uiPriority="0" w:name="Table 3D effects 2" w:locked="1"/>
    <w:lsdException w:uiPriority="0" w:name="Table 3D effects 3" w:locked="1"/>
    <w:lsdException w:uiPriority="0" w:name="Table Contemporary" w:locked="1"/>
    <w:lsdException w:uiPriority="0" w:name="Table Elegant" w:locked="1"/>
    <w:lsdException w:uiPriority="0" w:name="Table Professional" w:locked="1"/>
    <w:lsdException w:uiPriority="0" w:name="Table Subtle 1" w:locked="1"/>
    <w:lsdException w:uiPriority="0" w:name="Table Subtle 2" w:locked="1"/>
    <w:lsdException w:uiPriority="0" w:name="Table Web 1" w:locked="1"/>
    <w:lsdException w:uiPriority="0" w:name="Table Web 2" w:locked="1"/>
    <w:lsdException w:uiPriority="0" w:name="Table Web 3" w:locked="1"/>
    <w:lsdException w:qFormat="1" w:unhideWhenUsed="0" w:uiPriority="0" w:name="Balloon Text"/>
    <w:lsdException w:qFormat="1" w:unhideWhenUsed="0" w:uiPriority="0" w:semiHidden="0" w:name="Table Grid"/>
    <w:lsdException w:uiPriority="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4"/>
      <w:szCs w:val="24"/>
      <w:lang w:val="en-US" w:eastAsia="zh-CN" w:bidi="ar-SA"/>
    </w:rPr>
  </w:style>
  <w:style w:type="paragraph" w:styleId="6">
    <w:name w:val="heading 1"/>
    <w:basedOn w:val="1"/>
    <w:next w:val="1"/>
    <w:link w:val="91"/>
    <w:qFormat/>
    <w:locked/>
    <w:uiPriority w:val="99"/>
    <w:pPr>
      <w:keepNext/>
      <w:overflowPunct w:val="0"/>
      <w:snapToGrid w:val="0"/>
      <w:spacing w:before="120" w:after="40" w:line="460" w:lineRule="exact"/>
      <w:ind w:left="431" w:hanging="431"/>
      <w:outlineLvl w:val="0"/>
    </w:pPr>
    <w:rPr>
      <w:rFonts w:ascii="Times New Roman" w:hAnsi="Times New Roman" w:eastAsia="黑体"/>
      <w:b/>
      <w:bCs/>
      <w:color w:val="000000"/>
      <w:kern w:val="44"/>
      <w:sz w:val="28"/>
      <w:szCs w:val="30"/>
    </w:rPr>
  </w:style>
  <w:style w:type="paragraph" w:styleId="7">
    <w:name w:val="heading 2"/>
    <w:basedOn w:val="1"/>
    <w:next w:val="1"/>
    <w:link w:val="90"/>
    <w:qFormat/>
    <w:locked/>
    <w:uiPriority w:val="0"/>
    <w:pPr>
      <w:keepNext/>
      <w:keepLines/>
      <w:spacing w:before="200" w:after="200" w:line="440" w:lineRule="exact"/>
      <w:ind w:firstLine="562"/>
      <w:outlineLvl w:val="1"/>
    </w:pPr>
    <w:rPr>
      <w:rFonts w:ascii="Times New Roman" w:hAnsi="Times New Roman" w:eastAsia="黑体"/>
      <w:b/>
      <w:color w:val="FF0000"/>
      <w:sz w:val="28"/>
      <w:szCs w:val="28"/>
    </w:rPr>
  </w:style>
  <w:style w:type="paragraph" w:styleId="8">
    <w:name w:val="heading 3"/>
    <w:basedOn w:val="1"/>
    <w:next w:val="1"/>
    <w:link w:val="88"/>
    <w:qFormat/>
    <w:locked/>
    <w:uiPriority w:val="9"/>
    <w:pPr>
      <w:keepNext/>
      <w:keepLines/>
      <w:numPr>
        <w:ilvl w:val="2"/>
        <w:numId w:val="1"/>
      </w:numPr>
      <w:spacing w:line="360" w:lineRule="auto"/>
      <w:jc w:val="left"/>
      <w:outlineLvl w:val="2"/>
    </w:pPr>
    <w:rPr>
      <w:rFonts w:eastAsia="黑体"/>
      <w:b/>
      <w:bCs/>
      <w:szCs w:val="32"/>
    </w:rPr>
  </w:style>
  <w:style w:type="paragraph" w:styleId="9">
    <w:name w:val="heading 4"/>
    <w:basedOn w:val="1"/>
    <w:next w:val="1"/>
    <w:link w:val="89"/>
    <w:qFormat/>
    <w:locked/>
    <w:uiPriority w:val="9"/>
    <w:pPr>
      <w:keepNext/>
      <w:keepLines/>
      <w:numPr>
        <w:ilvl w:val="3"/>
        <w:numId w:val="1"/>
      </w:numPr>
      <w:spacing w:line="360" w:lineRule="auto"/>
      <w:outlineLvl w:val="3"/>
    </w:pPr>
    <w:rPr>
      <w:rFonts w:ascii="等线 Light" w:hAnsi="等线 Light" w:eastAsia="黑体"/>
      <w:b/>
      <w:bCs/>
      <w:szCs w:val="28"/>
    </w:rPr>
  </w:style>
  <w:style w:type="paragraph" w:styleId="10">
    <w:name w:val="heading 9"/>
    <w:basedOn w:val="1"/>
    <w:next w:val="1"/>
    <w:link w:val="75"/>
    <w:semiHidden/>
    <w:unhideWhenUsed/>
    <w:qFormat/>
    <w:locked/>
    <w:uiPriority w:val="0"/>
    <w:pPr>
      <w:keepNext/>
      <w:keepLines/>
      <w:spacing w:before="240" w:after="64" w:line="320" w:lineRule="auto"/>
      <w:outlineLvl w:val="8"/>
    </w:pPr>
    <w:rPr>
      <w:rFonts w:asciiTheme="majorHAnsi" w:hAnsiTheme="majorHAnsi" w:eastAsiaTheme="majorEastAsia" w:cstheme="majorBidi"/>
      <w:sz w:val="21"/>
      <w:szCs w:val="21"/>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1"/>
    <w:next w:val="3"/>
    <w:qFormat/>
    <w:locked/>
    <w:uiPriority w:val="0"/>
    <w:pPr>
      <w:jc w:val="center"/>
    </w:pPr>
    <w:rPr>
      <w:rFonts w:ascii="Times New Roman" w:hAnsi="Times New Roman" w:eastAsia="黑体"/>
      <w:b/>
      <w:bCs/>
      <w:color w:val="FF0000"/>
      <w:sz w:val="21"/>
      <w:szCs w:val="21"/>
    </w:rPr>
  </w:style>
  <w:style w:type="paragraph" w:styleId="3">
    <w:name w:val="Body Text First Indent"/>
    <w:basedOn w:val="4"/>
    <w:next w:val="1"/>
    <w:unhideWhenUsed/>
    <w:qFormat/>
    <w:locked/>
    <w:uiPriority w:val="99"/>
    <w:pPr>
      <w:adjustRightInd w:val="0"/>
      <w:spacing w:before="0" w:after="120" w:line="360" w:lineRule="auto"/>
      <w:ind w:right="0" w:firstLine="420" w:firstLineChars="100"/>
    </w:pPr>
    <w:rPr>
      <w:sz w:val="24"/>
    </w:rPr>
  </w:style>
  <w:style w:type="paragraph" w:styleId="4">
    <w:name w:val="Body Text"/>
    <w:basedOn w:val="1"/>
    <w:next w:val="5"/>
    <w:link w:val="52"/>
    <w:qFormat/>
    <w:uiPriority w:val="0"/>
    <w:pPr>
      <w:widowControl/>
      <w:snapToGrid w:val="0"/>
      <w:spacing w:before="60" w:after="160" w:line="259" w:lineRule="auto"/>
      <w:ind w:right="113"/>
    </w:pPr>
    <w:rPr>
      <w:kern w:val="0"/>
      <w:sz w:val="18"/>
      <w:szCs w:val="20"/>
    </w:rPr>
  </w:style>
  <w:style w:type="paragraph" w:styleId="5">
    <w:name w:val="Note Heading"/>
    <w:basedOn w:val="1"/>
    <w:next w:val="1"/>
    <w:qFormat/>
    <w:locked/>
    <w:uiPriority w:val="0"/>
    <w:pPr>
      <w:spacing w:line="360" w:lineRule="auto"/>
      <w:ind w:firstLine="200" w:firstLineChars="200"/>
      <w:jc w:val="center"/>
    </w:pPr>
    <w:rPr>
      <w:sz w:val="18"/>
      <w:lang w:val="zh-CN"/>
    </w:rPr>
  </w:style>
  <w:style w:type="paragraph" w:styleId="11">
    <w:name w:val="Normal Indent"/>
    <w:basedOn w:val="1"/>
    <w:link w:val="70"/>
    <w:qFormat/>
    <w:locked/>
    <w:uiPriority w:val="0"/>
    <w:pPr>
      <w:ind w:firstLine="420" w:firstLineChars="200"/>
    </w:pPr>
  </w:style>
  <w:style w:type="paragraph" w:styleId="12">
    <w:name w:val="annotation text"/>
    <w:basedOn w:val="1"/>
    <w:link w:val="59"/>
    <w:semiHidden/>
    <w:qFormat/>
    <w:uiPriority w:val="0"/>
    <w:pPr>
      <w:jc w:val="left"/>
    </w:pPr>
    <w:rPr>
      <w:kern w:val="0"/>
      <w:szCs w:val="20"/>
    </w:rPr>
  </w:style>
  <w:style w:type="paragraph" w:styleId="13">
    <w:name w:val="Body Text Indent"/>
    <w:basedOn w:val="1"/>
    <w:link w:val="62"/>
    <w:qFormat/>
    <w:uiPriority w:val="0"/>
    <w:pPr>
      <w:spacing w:after="120"/>
      <w:ind w:left="420" w:leftChars="200"/>
    </w:pPr>
    <w:rPr>
      <w:kern w:val="0"/>
      <w:szCs w:val="20"/>
    </w:rPr>
  </w:style>
  <w:style w:type="paragraph" w:styleId="14">
    <w:name w:val="Block Text"/>
    <w:basedOn w:val="1"/>
    <w:qFormat/>
    <w:locked/>
    <w:uiPriority w:val="0"/>
    <w:pPr>
      <w:adjustRightInd w:val="0"/>
      <w:snapToGrid w:val="0"/>
      <w:spacing w:line="460" w:lineRule="exact"/>
      <w:ind w:left="113" w:right="113" w:firstLine="425"/>
      <w:textAlignment w:val="baseline"/>
    </w:pPr>
    <w:rPr>
      <w:rFonts w:ascii="楷体_GB2312" w:eastAsia="楷体_GB2312"/>
      <w:kern w:val="0"/>
      <w:sz w:val="28"/>
      <w:szCs w:val="20"/>
    </w:rPr>
  </w:style>
  <w:style w:type="paragraph" w:styleId="15">
    <w:name w:val="Plain Text"/>
    <w:basedOn w:val="1"/>
    <w:link w:val="71"/>
    <w:qFormat/>
    <w:locked/>
    <w:uiPriority w:val="0"/>
    <w:rPr>
      <w:rFonts w:ascii="宋体" w:hAnsi="Courier New"/>
      <w:szCs w:val="20"/>
    </w:rPr>
  </w:style>
  <w:style w:type="paragraph" w:styleId="16">
    <w:name w:val="Date"/>
    <w:basedOn w:val="1"/>
    <w:next w:val="1"/>
    <w:link w:val="54"/>
    <w:qFormat/>
    <w:uiPriority w:val="0"/>
    <w:pPr>
      <w:ind w:left="100" w:leftChars="2500"/>
    </w:pPr>
    <w:rPr>
      <w:kern w:val="0"/>
      <w:szCs w:val="20"/>
    </w:rPr>
  </w:style>
  <w:style w:type="paragraph" w:styleId="17">
    <w:name w:val="Body Text Indent 2"/>
    <w:basedOn w:val="1"/>
    <w:semiHidden/>
    <w:unhideWhenUsed/>
    <w:qFormat/>
    <w:locked/>
    <w:uiPriority w:val="99"/>
    <w:pPr>
      <w:spacing w:after="120" w:line="480" w:lineRule="auto"/>
      <w:ind w:left="420" w:leftChars="200"/>
    </w:pPr>
  </w:style>
  <w:style w:type="paragraph" w:styleId="18">
    <w:name w:val="Balloon Text"/>
    <w:basedOn w:val="1"/>
    <w:link w:val="51"/>
    <w:semiHidden/>
    <w:qFormat/>
    <w:uiPriority w:val="0"/>
    <w:rPr>
      <w:kern w:val="0"/>
      <w:sz w:val="18"/>
      <w:szCs w:val="20"/>
    </w:rPr>
  </w:style>
  <w:style w:type="paragraph" w:styleId="19">
    <w:name w:val="footer"/>
    <w:basedOn w:val="1"/>
    <w:link w:val="58"/>
    <w:qFormat/>
    <w:uiPriority w:val="99"/>
    <w:pPr>
      <w:tabs>
        <w:tab w:val="center" w:pos="4153"/>
        <w:tab w:val="right" w:pos="8306"/>
      </w:tabs>
      <w:snapToGrid w:val="0"/>
      <w:jc w:val="left"/>
    </w:pPr>
    <w:rPr>
      <w:kern w:val="0"/>
      <w:sz w:val="18"/>
      <w:szCs w:val="20"/>
    </w:rPr>
  </w:style>
  <w:style w:type="paragraph" w:styleId="20">
    <w:name w:val="header"/>
    <w:basedOn w:val="1"/>
    <w:link w:val="57"/>
    <w:qFormat/>
    <w:uiPriority w:val="0"/>
    <w:pPr>
      <w:pBdr>
        <w:bottom w:val="single" w:color="auto" w:sz="6" w:space="1"/>
      </w:pBdr>
      <w:tabs>
        <w:tab w:val="center" w:pos="4153"/>
        <w:tab w:val="right" w:pos="8306"/>
      </w:tabs>
      <w:snapToGrid w:val="0"/>
      <w:jc w:val="center"/>
    </w:pPr>
    <w:rPr>
      <w:kern w:val="0"/>
      <w:sz w:val="18"/>
      <w:szCs w:val="20"/>
    </w:rPr>
  </w:style>
  <w:style w:type="paragraph" w:styleId="21">
    <w:name w:val="toc 1"/>
    <w:basedOn w:val="1"/>
    <w:next w:val="1"/>
    <w:qFormat/>
    <w:locked/>
    <w:uiPriority w:val="99"/>
  </w:style>
  <w:style w:type="paragraph" w:styleId="22">
    <w:name w:val="Subtitle"/>
    <w:basedOn w:val="1"/>
    <w:next w:val="1"/>
    <w:link w:val="81"/>
    <w:qFormat/>
    <w:locked/>
    <w:uiPriority w:val="11"/>
    <w:pPr>
      <w:spacing w:before="240" w:after="60" w:line="312" w:lineRule="auto"/>
      <w:jc w:val="center"/>
      <w:outlineLvl w:val="1"/>
    </w:pPr>
    <w:rPr>
      <w:rFonts w:ascii="Cambria" w:hAnsi="Cambria"/>
      <w:b/>
      <w:bCs/>
      <w:kern w:val="28"/>
      <w:sz w:val="32"/>
      <w:szCs w:val="32"/>
    </w:rPr>
  </w:style>
  <w:style w:type="paragraph" w:styleId="23">
    <w:name w:val="Normal (Web)"/>
    <w:basedOn w:val="1"/>
    <w:link w:val="60"/>
    <w:qFormat/>
    <w:uiPriority w:val="0"/>
    <w:pPr>
      <w:widowControl/>
      <w:spacing w:before="100" w:beforeAutospacing="1" w:after="100" w:afterAutospacing="1"/>
      <w:jc w:val="left"/>
    </w:pPr>
    <w:rPr>
      <w:rFonts w:ascii="宋体" w:hAnsi="宋体"/>
      <w:kern w:val="0"/>
      <w:szCs w:val="20"/>
    </w:rPr>
  </w:style>
  <w:style w:type="paragraph" w:styleId="24">
    <w:name w:val="annotation subject"/>
    <w:basedOn w:val="12"/>
    <w:next w:val="12"/>
    <w:link w:val="63"/>
    <w:semiHidden/>
    <w:qFormat/>
    <w:uiPriority w:val="0"/>
    <w:rPr>
      <w:b/>
    </w:rPr>
  </w:style>
  <w:style w:type="table" w:styleId="26">
    <w:name w:val="Table Grid"/>
    <w:basedOn w:val="2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basedOn w:val="27"/>
    <w:qFormat/>
    <w:locked/>
    <w:uiPriority w:val="0"/>
    <w:rPr>
      <w:b/>
    </w:rPr>
  </w:style>
  <w:style w:type="character" w:styleId="29">
    <w:name w:val="page number"/>
    <w:basedOn w:val="27"/>
    <w:qFormat/>
    <w:locked/>
    <w:uiPriority w:val="0"/>
  </w:style>
  <w:style w:type="character" w:styleId="30">
    <w:name w:val="Emphasis"/>
    <w:qFormat/>
    <w:locked/>
    <w:uiPriority w:val="0"/>
    <w:rPr>
      <w:i/>
    </w:rPr>
  </w:style>
  <w:style w:type="character" w:styleId="31">
    <w:name w:val="Hyperlink"/>
    <w:basedOn w:val="27"/>
    <w:unhideWhenUsed/>
    <w:qFormat/>
    <w:locked/>
    <w:uiPriority w:val="99"/>
    <w:rPr>
      <w:color w:val="0000FF"/>
      <w:u w:val="single"/>
    </w:rPr>
  </w:style>
  <w:style w:type="character" w:styleId="32">
    <w:name w:val="annotation reference"/>
    <w:semiHidden/>
    <w:qFormat/>
    <w:uiPriority w:val="0"/>
    <w:rPr>
      <w:sz w:val="21"/>
    </w:rPr>
  </w:style>
  <w:style w:type="paragraph" w:customStyle="1" w:styleId="33">
    <w:name w:val="表格标题（居中）"/>
    <w:basedOn w:val="15"/>
    <w:semiHidden/>
    <w:qFormat/>
    <w:uiPriority w:val="0"/>
    <w:pPr>
      <w:numPr>
        <w:ilvl w:val="0"/>
        <w:numId w:val="2"/>
      </w:numPr>
      <w:adjustRightInd w:val="0"/>
      <w:snapToGrid w:val="0"/>
      <w:spacing w:before="120" w:beforeLines="50" w:after="120" w:afterLines="50"/>
      <w:jc w:val="center"/>
    </w:pPr>
    <w:rPr>
      <w:rFonts w:ascii="Times New Roman" w:hAnsi="Times New Roman" w:eastAsia="黑体"/>
      <w:color w:val="000000"/>
    </w:rPr>
  </w:style>
  <w:style w:type="paragraph" w:customStyle="1" w:styleId="34">
    <w:name w:val="自定义——表（图）头6"/>
    <w:basedOn w:val="1"/>
    <w:qFormat/>
    <w:uiPriority w:val="0"/>
    <w:pPr>
      <w:widowControl/>
      <w:spacing w:before="50" w:beforeLines="50"/>
      <w:jc w:val="center"/>
    </w:pPr>
    <w:rPr>
      <w:rFonts w:ascii="宋体" w:hAnsi="宋体" w:eastAsia="黑体"/>
      <w:kern w:val="0"/>
      <w:szCs w:val="22"/>
    </w:rPr>
  </w:style>
  <w:style w:type="paragraph" w:customStyle="1" w:styleId="35">
    <w:name w:val="第3级标题"/>
    <w:basedOn w:val="8"/>
    <w:next w:val="1"/>
    <w:link w:val="36"/>
    <w:qFormat/>
    <w:uiPriority w:val="0"/>
    <w:pPr>
      <w:numPr>
        <w:numId w:val="3"/>
      </w:numPr>
      <w:tabs>
        <w:tab w:val="left" w:pos="0"/>
        <w:tab w:val="left" w:pos="432"/>
      </w:tabs>
      <w:spacing w:beforeAutospacing="1" w:afterAutospacing="1" w:line="480" w:lineRule="exact"/>
      <w:jc w:val="both"/>
    </w:pPr>
    <w:rPr>
      <w:rFonts w:eastAsia="华文中宋"/>
      <w:sz w:val="30"/>
      <w:szCs w:val="30"/>
    </w:rPr>
  </w:style>
  <w:style w:type="character" w:customStyle="1" w:styleId="36">
    <w:name w:val="第3级标题 Char1"/>
    <w:basedOn w:val="27"/>
    <w:link w:val="35"/>
    <w:qFormat/>
    <w:uiPriority w:val="0"/>
    <w:rPr>
      <w:rFonts w:hint="eastAsia" w:ascii="华文中宋" w:hAnsi="华文中宋" w:eastAsia="华文中宋" w:cs="华文中宋"/>
      <w:b/>
      <w:bCs/>
      <w:kern w:val="2"/>
      <w:sz w:val="30"/>
      <w:szCs w:val="30"/>
    </w:rPr>
  </w:style>
  <w:style w:type="paragraph" w:customStyle="1" w:styleId="37">
    <w:name w:val="自定义—正文格式"/>
    <w:basedOn w:val="1"/>
    <w:qFormat/>
    <w:uiPriority w:val="0"/>
    <w:pPr>
      <w:spacing w:line="360" w:lineRule="auto"/>
      <w:ind w:firstLine="960" w:firstLineChars="200"/>
    </w:pPr>
    <w:rPr>
      <w:rFonts w:ascii="宋体" w:hAnsi="宋体"/>
    </w:rPr>
  </w:style>
  <w:style w:type="paragraph" w:customStyle="1" w:styleId="38">
    <w:name w:val="0正文"/>
    <w:unhideWhenUsed/>
    <w:qFormat/>
    <w:uiPriority w:val="0"/>
    <w:pPr>
      <w:widowControl w:val="0"/>
      <w:spacing w:line="360" w:lineRule="auto"/>
      <w:ind w:firstLine="720" w:firstLineChars="200"/>
    </w:pPr>
    <w:rPr>
      <w:rFonts w:ascii="Times New Roman" w:hAnsi="Times New Roman" w:eastAsia="宋体" w:cs="Times New Roman"/>
      <w:sz w:val="24"/>
      <w:szCs w:val="22"/>
      <w:lang w:val="en-US" w:eastAsia="zh-CN" w:bidi="ar-SA"/>
    </w:rPr>
  </w:style>
  <w:style w:type="paragraph" w:customStyle="1" w:styleId="3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0">
    <w:name w:val="xl27"/>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新宋体-18030" w:hAnsi="新宋体-18030" w:eastAsia="新宋体-18030" w:cs="新宋体-18030"/>
      <w:kern w:val="0"/>
    </w:rPr>
  </w:style>
  <w:style w:type="paragraph" w:customStyle="1" w:styleId="41">
    <w:name w:val="[正文格式]"/>
    <w:basedOn w:val="1"/>
    <w:qFormat/>
    <w:uiPriority w:val="0"/>
    <w:pPr>
      <w:adjustRightInd w:val="0"/>
      <w:snapToGrid w:val="0"/>
      <w:spacing w:line="440" w:lineRule="exact"/>
      <w:ind w:firstLine="500" w:firstLineChars="200"/>
    </w:pPr>
    <w:rPr>
      <w:rFonts w:cs="宋体"/>
      <w:sz w:val="25"/>
      <w:szCs w:val="20"/>
    </w:rPr>
  </w:style>
  <w:style w:type="paragraph" w:customStyle="1" w:styleId="42">
    <w:name w:val="表格内容"/>
    <w:basedOn w:val="1"/>
    <w:next w:val="1"/>
    <w:link w:val="82"/>
    <w:qFormat/>
    <w:uiPriority w:val="0"/>
    <w:pPr>
      <w:adjustRightInd w:val="0"/>
      <w:snapToGrid w:val="0"/>
      <w:jc w:val="center"/>
    </w:pPr>
  </w:style>
  <w:style w:type="paragraph" w:customStyle="1" w:styleId="43">
    <w:name w:val="普通(网站)2"/>
    <w:basedOn w:val="1"/>
    <w:qFormat/>
    <w:uiPriority w:val="0"/>
    <w:pPr>
      <w:widowControl/>
      <w:spacing w:before="100" w:beforeAutospacing="1" w:after="100" w:afterAutospacing="1"/>
      <w:jc w:val="left"/>
    </w:pPr>
    <w:rPr>
      <w:rFonts w:ascii="宋体" w:hAnsi="宋体"/>
      <w:szCs w:val="20"/>
    </w:rPr>
  </w:style>
  <w:style w:type="paragraph" w:customStyle="1" w:styleId="44">
    <w:name w:val="正文_10"/>
    <w:qFormat/>
    <w:uiPriority w:val="0"/>
    <w:pPr>
      <w:widowControl w:val="0"/>
      <w:jc w:val="both"/>
    </w:pPr>
    <w:rPr>
      <w:rFonts w:ascii="Calibri" w:hAnsi="Calibri" w:eastAsia="宋体" w:cs="Times New Roman"/>
      <w:kern w:val="2"/>
      <w:sz w:val="21"/>
      <w:szCs w:val="22"/>
      <w:lang w:val="en-US" w:eastAsia="zh-CN" w:bidi="ar-SA"/>
    </w:rPr>
  </w:style>
  <w:style w:type="paragraph" w:customStyle="1" w:styleId="45">
    <w:name w:val="_Style 29"/>
    <w:unhideWhenUsed/>
    <w:qFormat/>
    <w:uiPriority w:val="99"/>
    <w:rPr>
      <w:rFonts w:ascii="Calibri" w:hAnsi="Calibri" w:eastAsia="宋体" w:cs="Times New Roman"/>
      <w:kern w:val="2"/>
      <w:sz w:val="24"/>
      <w:szCs w:val="24"/>
      <w:lang w:val="en-US" w:eastAsia="zh-CN" w:bidi="ar-SA"/>
    </w:rPr>
  </w:style>
  <w:style w:type="paragraph" w:customStyle="1" w:styleId="46">
    <w:name w:val="报告正文"/>
    <w:basedOn w:val="1"/>
    <w:qFormat/>
    <w:uiPriority w:val="0"/>
    <w:pPr>
      <w:spacing w:line="440" w:lineRule="exact"/>
      <w:ind w:firstLine="480" w:firstLineChars="200"/>
      <w:jc w:val="left"/>
    </w:pPr>
    <w:rPr>
      <w:rFonts w:ascii="Times New Roman" w:hAnsi="Times New Roman"/>
      <w:color w:val="FF0000"/>
    </w:rPr>
  </w:style>
  <w:style w:type="paragraph" w:customStyle="1" w:styleId="47">
    <w:name w:val="【表格文字】"/>
    <w:basedOn w:val="1"/>
    <w:next w:val="1"/>
    <w:qFormat/>
    <w:uiPriority w:val="0"/>
    <w:pPr>
      <w:spacing w:line="320" w:lineRule="atLeast"/>
      <w:jc w:val="center"/>
    </w:pPr>
  </w:style>
  <w:style w:type="paragraph" w:customStyle="1" w:styleId="48">
    <w:name w:val="表内容"/>
    <w:qFormat/>
    <w:uiPriority w:val="0"/>
    <w:pPr>
      <w:widowControl w:val="0"/>
      <w:jc w:val="center"/>
    </w:pPr>
    <w:rPr>
      <w:rFonts w:ascii="Calibri" w:hAnsi="Calibri" w:eastAsia="宋体" w:cs="Times New Roman"/>
      <w:kern w:val="2"/>
      <w:sz w:val="21"/>
      <w:szCs w:val="21"/>
      <w:lang w:val="en-US" w:eastAsia="zh-CN" w:bidi="ar-SA"/>
    </w:rPr>
  </w:style>
  <w:style w:type="paragraph" w:customStyle="1" w:styleId="49">
    <w:name w:val="表格"/>
    <w:basedOn w:val="1"/>
    <w:next w:val="1"/>
    <w:link w:val="50"/>
    <w:qFormat/>
    <w:uiPriority w:val="0"/>
    <w:pPr>
      <w:adjustRightInd w:val="0"/>
      <w:snapToGrid w:val="0"/>
      <w:spacing w:beforeLines="10" w:afterLines="10" w:line="259" w:lineRule="auto"/>
      <w:jc w:val="center"/>
    </w:pPr>
    <w:rPr>
      <w:rFonts w:ascii="宋体"/>
      <w:kern w:val="0"/>
      <w:szCs w:val="20"/>
    </w:rPr>
  </w:style>
  <w:style w:type="character" w:customStyle="1" w:styleId="50">
    <w:name w:val="表格 Char"/>
    <w:link w:val="49"/>
    <w:qFormat/>
    <w:locked/>
    <w:uiPriority w:val="0"/>
    <w:rPr>
      <w:rFonts w:ascii="宋体"/>
      <w:sz w:val="21"/>
    </w:rPr>
  </w:style>
  <w:style w:type="character" w:customStyle="1" w:styleId="51">
    <w:name w:val="批注框文本 Char"/>
    <w:link w:val="18"/>
    <w:semiHidden/>
    <w:qFormat/>
    <w:locked/>
    <w:uiPriority w:val="0"/>
    <w:rPr>
      <w:rFonts w:ascii="Times New Roman" w:hAnsi="Times New Roman" w:eastAsia="宋体"/>
      <w:sz w:val="18"/>
    </w:rPr>
  </w:style>
  <w:style w:type="character" w:customStyle="1" w:styleId="52">
    <w:name w:val="正文文本 Char"/>
    <w:link w:val="4"/>
    <w:qFormat/>
    <w:locked/>
    <w:uiPriority w:val="0"/>
    <w:rPr>
      <w:sz w:val="18"/>
    </w:rPr>
  </w:style>
  <w:style w:type="character" w:customStyle="1" w:styleId="53">
    <w:name w:val="正文文本 字符1"/>
    <w:semiHidden/>
    <w:qFormat/>
    <w:uiPriority w:val="0"/>
    <w:rPr>
      <w:rFonts w:ascii="Times New Roman" w:hAnsi="Times New Roman" w:eastAsia="宋体"/>
      <w:sz w:val="24"/>
    </w:rPr>
  </w:style>
  <w:style w:type="character" w:customStyle="1" w:styleId="54">
    <w:name w:val="日期 Char"/>
    <w:link w:val="16"/>
    <w:qFormat/>
    <w:locked/>
    <w:uiPriority w:val="0"/>
    <w:rPr>
      <w:rFonts w:ascii="Times New Roman" w:hAnsi="Times New Roman" w:eastAsia="宋体"/>
      <w:sz w:val="24"/>
    </w:rPr>
  </w:style>
  <w:style w:type="character" w:customStyle="1" w:styleId="55">
    <w:name w:val="批注文字 字符1"/>
    <w:semiHidden/>
    <w:qFormat/>
    <w:uiPriority w:val="0"/>
    <w:rPr>
      <w:rFonts w:ascii="Times New Roman" w:hAnsi="Times New Roman" w:eastAsia="宋体"/>
      <w:sz w:val="24"/>
    </w:rPr>
  </w:style>
  <w:style w:type="character" w:customStyle="1" w:styleId="56">
    <w:name w:val="页脚 字符"/>
    <w:basedOn w:val="27"/>
    <w:qFormat/>
    <w:uiPriority w:val="99"/>
  </w:style>
  <w:style w:type="character" w:customStyle="1" w:styleId="57">
    <w:name w:val="页眉 Char"/>
    <w:link w:val="20"/>
    <w:qFormat/>
    <w:locked/>
    <w:uiPriority w:val="0"/>
    <w:rPr>
      <w:sz w:val="18"/>
    </w:rPr>
  </w:style>
  <w:style w:type="character" w:customStyle="1" w:styleId="58">
    <w:name w:val="页脚 Char"/>
    <w:link w:val="19"/>
    <w:qFormat/>
    <w:locked/>
    <w:uiPriority w:val="99"/>
    <w:rPr>
      <w:sz w:val="18"/>
    </w:rPr>
  </w:style>
  <w:style w:type="character" w:customStyle="1" w:styleId="59">
    <w:name w:val="批注文字 Char"/>
    <w:link w:val="12"/>
    <w:qFormat/>
    <w:locked/>
    <w:uiPriority w:val="0"/>
    <w:rPr>
      <w:rFonts w:ascii="Times New Roman" w:hAnsi="Times New Roman" w:eastAsia="宋体"/>
      <w:sz w:val="24"/>
    </w:rPr>
  </w:style>
  <w:style w:type="character" w:customStyle="1" w:styleId="60">
    <w:name w:val="普通(网站) Char"/>
    <w:link w:val="23"/>
    <w:qFormat/>
    <w:locked/>
    <w:uiPriority w:val="0"/>
    <w:rPr>
      <w:rFonts w:ascii="宋体" w:hAnsi="宋体" w:eastAsia="宋体"/>
      <w:sz w:val="24"/>
    </w:rPr>
  </w:style>
  <w:style w:type="character" w:customStyle="1" w:styleId="61">
    <w:name w:val="日期 字符"/>
    <w:semiHidden/>
    <w:qFormat/>
    <w:uiPriority w:val="0"/>
    <w:rPr>
      <w:rFonts w:ascii="Times New Roman" w:hAnsi="Times New Roman" w:eastAsia="宋体"/>
      <w:sz w:val="24"/>
    </w:rPr>
  </w:style>
  <w:style w:type="character" w:customStyle="1" w:styleId="62">
    <w:name w:val="正文文本缩进 Char"/>
    <w:link w:val="13"/>
    <w:semiHidden/>
    <w:qFormat/>
    <w:locked/>
    <w:uiPriority w:val="0"/>
    <w:rPr>
      <w:rFonts w:ascii="Times New Roman" w:hAnsi="Times New Roman" w:eastAsia="宋体"/>
      <w:sz w:val="24"/>
    </w:rPr>
  </w:style>
  <w:style w:type="character" w:customStyle="1" w:styleId="63">
    <w:name w:val="批注主题 Char"/>
    <w:link w:val="24"/>
    <w:semiHidden/>
    <w:qFormat/>
    <w:locked/>
    <w:uiPriority w:val="0"/>
    <w:rPr>
      <w:rFonts w:ascii="Times New Roman" w:hAnsi="Times New Roman" w:eastAsia="宋体"/>
      <w:b/>
      <w:kern w:val="2"/>
      <w:sz w:val="24"/>
    </w:rPr>
  </w:style>
  <w:style w:type="paragraph" w:customStyle="1" w:styleId="64">
    <w:name w:val="样式 样式 12.5 磅 行距: 固定值 22 磅 首行缩进:  2 字符 + 首行缩进:  2 字符"/>
    <w:basedOn w:val="1"/>
    <w:qFormat/>
    <w:uiPriority w:val="0"/>
    <w:pPr>
      <w:spacing w:line="440" w:lineRule="exact"/>
      <w:ind w:firstLine="500" w:firstLineChars="200"/>
    </w:pPr>
    <w:rPr>
      <w:rFonts w:ascii="宋体"/>
      <w:kern w:val="0"/>
      <w:sz w:val="25"/>
      <w:szCs w:val="20"/>
    </w:rPr>
  </w:style>
  <w:style w:type="paragraph" w:customStyle="1" w:styleId="65">
    <w:name w:val="正文A"/>
    <w:basedOn w:val="1"/>
    <w:qFormat/>
    <w:uiPriority w:val="0"/>
    <w:pPr>
      <w:autoSpaceDE w:val="0"/>
      <w:autoSpaceDN w:val="0"/>
      <w:adjustRightInd w:val="0"/>
      <w:snapToGrid w:val="0"/>
      <w:spacing w:line="400" w:lineRule="atLeast"/>
      <w:ind w:firstLine="539"/>
      <w:textAlignment w:val="baseline"/>
    </w:pPr>
    <w:rPr>
      <w:rFonts w:ascii="宋体" w:hAnsi="宋体"/>
      <w:kern w:val="0"/>
      <w:szCs w:val="20"/>
    </w:rPr>
  </w:style>
  <w:style w:type="paragraph" w:styleId="66">
    <w:name w:val="List Paragraph"/>
    <w:basedOn w:val="1"/>
    <w:qFormat/>
    <w:uiPriority w:val="34"/>
    <w:pPr>
      <w:ind w:firstLine="420" w:firstLineChars="200"/>
    </w:pPr>
  </w:style>
  <w:style w:type="paragraph" w:customStyle="1" w:styleId="67">
    <w:name w:val="报告表正文样式"/>
    <w:basedOn w:val="1"/>
    <w:qFormat/>
    <w:uiPriority w:val="0"/>
    <w:pPr>
      <w:spacing w:line="360" w:lineRule="auto"/>
      <w:ind w:firstLine="480" w:firstLineChars="200"/>
    </w:pPr>
  </w:style>
  <w:style w:type="character" w:customStyle="1" w:styleId="68">
    <w:name w:val="正文(修改)-wd Char"/>
    <w:link w:val="69"/>
    <w:qFormat/>
    <w:uiPriority w:val="0"/>
    <w:rPr>
      <w:kern w:val="2"/>
      <w:sz w:val="24"/>
      <w:szCs w:val="24"/>
      <w:lang w:val="en-US" w:eastAsia="zh-CN"/>
    </w:rPr>
  </w:style>
  <w:style w:type="paragraph" w:customStyle="1" w:styleId="69">
    <w:name w:val="正文(修改)-wd"/>
    <w:basedOn w:val="1"/>
    <w:link w:val="68"/>
    <w:qFormat/>
    <w:uiPriority w:val="0"/>
    <w:pPr>
      <w:spacing w:line="360" w:lineRule="auto"/>
      <w:ind w:firstLine="480" w:firstLineChars="200"/>
    </w:pPr>
  </w:style>
  <w:style w:type="character" w:customStyle="1" w:styleId="70">
    <w:name w:val="正文缩进 Char"/>
    <w:link w:val="11"/>
    <w:qFormat/>
    <w:uiPriority w:val="0"/>
    <w:rPr>
      <w:kern w:val="2"/>
      <w:sz w:val="24"/>
      <w:szCs w:val="24"/>
    </w:rPr>
  </w:style>
  <w:style w:type="character" w:customStyle="1" w:styleId="71">
    <w:name w:val="纯文本 Char"/>
    <w:link w:val="15"/>
    <w:qFormat/>
    <w:uiPriority w:val="0"/>
    <w:rPr>
      <w:rFonts w:ascii="宋体" w:hAnsi="Courier New"/>
      <w:kern w:val="2"/>
      <w:sz w:val="24"/>
    </w:rPr>
  </w:style>
  <w:style w:type="paragraph" w:customStyle="1" w:styleId="72">
    <w:name w:val="Table Paragraph"/>
    <w:basedOn w:val="1"/>
    <w:qFormat/>
    <w:uiPriority w:val="0"/>
    <w:pPr>
      <w:widowControl/>
      <w:jc w:val="left"/>
    </w:pPr>
    <w:rPr>
      <w:rFonts w:ascii="Times New Roman" w:hAnsi="Times New Roman"/>
      <w:kern w:val="0"/>
      <w:sz w:val="20"/>
      <w:szCs w:val="20"/>
    </w:rPr>
  </w:style>
  <w:style w:type="paragraph" w:customStyle="1" w:styleId="73">
    <w:name w:val="规范正文"/>
    <w:basedOn w:val="4"/>
    <w:qFormat/>
    <w:uiPriority w:val="0"/>
    <w:pPr>
      <w:widowControl w:val="0"/>
      <w:topLinePunct/>
      <w:snapToGrid/>
      <w:spacing w:before="0" w:after="120" w:line="420" w:lineRule="auto"/>
      <w:ind w:right="0" w:firstLine="200" w:firstLineChars="200"/>
      <w:textAlignment w:val="baseline"/>
    </w:pPr>
    <w:rPr>
      <w:rFonts w:ascii="Times New Roman" w:hAnsi="Times New Roman"/>
      <w:color w:val="000000"/>
      <w:kern w:val="2"/>
      <w:sz w:val="21"/>
      <w:szCs w:val="24"/>
    </w:rPr>
  </w:style>
  <w:style w:type="paragraph" w:customStyle="1" w:styleId="74">
    <w:name w:val="正文01"/>
    <w:basedOn w:val="1"/>
    <w:qFormat/>
    <w:uiPriority w:val="0"/>
    <w:pPr>
      <w:spacing w:before="60" w:line="460" w:lineRule="exact"/>
      <w:ind w:firstLine="200" w:firstLineChars="200"/>
    </w:pPr>
    <w:rPr>
      <w:rFonts w:ascii="Times New Roman" w:hAnsi="Times New Roman"/>
      <w:szCs w:val="20"/>
    </w:rPr>
  </w:style>
  <w:style w:type="character" w:customStyle="1" w:styleId="75">
    <w:name w:val="标题 9 Char"/>
    <w:basedOn w:val="27"/>
    <w:link w:val="10"/>
    <w:qFormat/>
    <w:uiPriority w:val="9"/>
    <w:rPr>
      <w:rFonts w:asciiTheme="majorHAnsi" w:hAnsiTheme="majorHAnsi" w:eastAsiaTheme="majorEastAsia" w:cstheme="majorBidi"/>
      <w:kern w:val="2"/>
      <w:sz w:val="21"/>
      <w:szCs w:val="21"/>
    </w:rPr>
  </w:style>
  <w:style w:type="paragraph" w:customStyle="1" w:styleId="76">
    <w:name w:val="正文的格式52"/>
    <w:basedOn w:val="1"/>
    <w:qFormat/>
    <w:uiPriority w:val="0"/>
    <w:pPr>
      <w:spacing w:line="360" w:lineRule="auto"/>
      <w:ind w:firstLine="200" w:firstLineChars="200"/>
    </w:pPr>
    <w:rPr>
      <w:rFonts w:ascii="Times New Roman" w:hAnsi="Times New Roman"/>
      <w:szCs w:val="20"/>
    </w:rPr>
  </w:style>
  <w:style w:type="character" w:customStyle="1" w:styleId="77">
    <w:name w:val="样式1 Char"/>
    <w:link w:val="78"/>
    <w:qFormat/>
    <w:uiPriority w:val="0"/>
    <w:rPr>
      <w:color w:val="000000"/>
      <w:kern w:val="2"/>
      <w:sz w:val="24"/>
      <w:szCs w:val="28"/>
    </w:rPr>
  </w:style>
  <w:style w:type="paragraph" w:customStyle="1" w:styleId="78">
    <w:name w:val="样式1"/>
    <w:basedOn w:val="1"/>
    <w:link w:val="77"/>
    <w:qFormat/>
    <w:uiPriority w:val="0"/>
    <w:pPr>
      <w:tabs>
        <w:tab w:val="left" w:pos="1440"/>
      </w:tabs>
      <w:spacing w:line="360" w:lineRule="auto"/>
      <w:ind w:firstLine="480" w:firstLineChars="200"/>
    </w:pPr>
    <w:rPr>
      <w:color w:val="000000"/>
      <w:szCs w:val="28"/>
    </w:rPr>
  </w:style>
  <w:style w:type="paragraph" w:customStyle="1" w:styleId="79">
    <w:name w:val="表格内容五号"/>
    <w:basedOn w:val="1"/>
    <w:qFormat/>
    <w:uiPriority w:val="0"/>
    <w:pPr>
      <w:jc w:val="center"/>
    </w:pPr>
    <w:rPr>
      <w:rFonts w:ascii="Times New Roman" w:hAnsi="Times New Roman"/>
      <w:color w:val="FF0000"/>
      <w:sz w:val="21"/>
      <w:szCs w:val="21"/>
    </w:rPr>
  </w:style>
  <w:style w:type="paragraph" w:customStyle="1" w:styleId="80">
    <w:name w:val="样式3"/>
    <w:basedOn w:val="1"/>
    <w:qFormat/>
    <w:uiPriority w:val="0"/>
    <w:pPr>
      <w:spacing w:line="360" w:lineRule="auto"/>
      <w:ind w:firstLine="200" w:firstLineChars="200"/>
    </w:pPr>
    <w:rPr>
      <w:rFonts w:ascii="Times New Roman" w:hAnsi="Times New Roman" w:eastAsia="楷体_GB2312"/>
      <w:sz w:val="28"/>
      <w:szCs w:val="20"/>
    </w:rPr>
  </w:style>
  <w:style w:type="character" w:customStyle="1" w:styleId="81">
    <w:name w:val="副标题 Char"/>
    <w:link w:val="22"/>
    <w:qFormat/>
    <w:uiPriority w:val="11"/>
    <w:rPr>
      <w:rFonts w:ascii="Cambria" w:hAnsi="Cambria"/>
      <w:b/>
      <w:bCs/>
      <w:kern w:val="28"/>
      <w:sz w:val="32"/>
      <w:szCs w:val="32"/>
    </w:rPr>
  </w:style>
  <w:style w:type="character" w:customStyle="1" w:styleId="82">
    <w:name w:val="表格内容 Char"/>
    <w:link w:val="42"/>
    <w:qFormat/>
    <w:uiPriority w:val="0"/>
    <w:rPr>
      <w:kern w:val="2"/>
      <w:sz w:val="24"/>
      <w:szCs w:val="24"/>
    </w:rPr>
  </w:style>
  <w:style w:type="paragraph" w:customStyle="1" w:styleId="83">
    <w:name w:val="z正文"/>
    <w:basedOn w:val="13"/>
    <w:qFormat/>
    <w:uiPriority w:val="0"/>
    <w:pPr>
      <w:autoSpaceDE w:val="0"/>
      <w:autoSpaceDN w:val="0"/>
      <w:spacing w:after="0" w:line="360" w:lineRule="auto"/>
      <w:ind w:left="0" w:leftChars="0" w:firstLine="200" w:firstLineChars="200"/>
      <w:textAlignment w:val="baseline"/>
    </w:pPr>
    <w:rPr>
      <w:rFonts w:ascii="Times New Roman"/>
    </w:rPr>
  </w:style>
  <w:style w:type="paragraph" w:customStyle="1" w:styleId="84">
    <w:name w:val="zhang正文"/>
    <w:basedOn w:val="13"/>
    <w:qFormat/>
    <w:uiPriority w:val="0"/>
    <w:pPr>
      <w:autoSpaceDE w:val="0"/>
      <w:autoSpaceDN w:val="0"/>
      <w:adjustRightInd w:val="0"/>
      <w:snapToGrid w:val="0"/>
      <w:spacing w:line="500" w:lineRule="exact"/>
      <w:ind w:firstLine="539"/>
      <w:textAlignment w:val="baseline"/>
    </w:pPr>
    <w:rPr>
      <w:rFonts w:ascii="Times New Roman" w:eastAsia="楷体_GB2312"/>
    </w:rPr>
  </w:style>
  <w:style w:type="paragraph" w:customStyle="1" w:styleId="85">
    <w:name w:val="6表(图)头(治)"/>
    <w:next w:val="1"/>
    <w:qFormat/>
    <w:uiPriority w:val="0"/>
    <w:pPr>
      <w:widowControl w:val="0"/>
      <w:jc w:val="center"/>
    </w:pPr>
    <w:rPr>
      <w:rFonts w:ascii="Times New Roman" w:hAnsi="Times New Roman" w:eastAsia="黑体" w:cstheme="minorBidi"/>
      <w:b/>
      <w:bCs/>
      <w:sz w:val="24"/>
      <w:lang w:val="en-US" w:eastAsia="zh-CN" w:bidi="ar-SA"/>
    </w:rPr>
  </w:style>
  <w:style w:type="character" w:customStyle="1" w:styleId="86">
    <w:name w:val="cf01"/>
    <w:basedOn w:val="27"/>
    <w:qFormat/>
    <w:uiPriority w:val="0"/>
    <w:rPr>
      <w:rFonts w:hint="eastAsia" w:ascii="Microsoft YaHei UI" w:hAnsi="Microsoft YaHei UI" w:eastAsia="Microsoft YaHei UI"/>
      <w:sz w:val="18"/>
      <w:szCs w:val="18"/>
    </w:rPr>
  </w:style>
  <w:style w:type="paragraph" w:customStyle="1" w:styleId="87">
    <w:name w:val="5文章(治)"/>
    <w:basedOn w:val="1"/>
    <w:qFormat/>
    <w:uiPriority w:val="99"/>
    <w:pPr>
      <w:spacing w:line="360" w:lineRule="auto"/>
      <w:ind w:firstLine="200" w:firstLineChars="200"/>
    </w:pPr>
  </w:style>
  <w:style w:type="character" w:customStyle="1" w:styleId="88">
    <w:name w:val="标题 3 Char"/>
    <w:basedOn w:val="27"/>
    <w:link w:val="8"/>
    <w:qFormat/>
    <w:uiPriority w:val="0"/>
    <w:rPr>
      <w:rFonts w:hint="default" w:ascii="Times New Roman" w:hAnsi="Times New Roman" w:cs="Times New Roman"/>
      <w:b/>
      <w:bCs/>
      <w:kern w:val="2"/>
      <w:sz w:val="32"/>
      <w:szCs w:val="32"/>
    </w:rPr>
  </w:style>
  <w:style w:type="character" w:customStyle="1" w:styleId="89">
    <w:name w:val="标题 4 Char"/>
    <w:basedOn w:val="27"/>
    <w:link w:val="9"/>
    <w:qFormat/>
    <w:uiPriority w:val="0"/>
    <w:rPr>
      <w:rFonts w:ascii="等线 Light" w:hAnsi="等线 Light" w:eastAsia="等线 Light" w:cs="Times New Roman"/>
      <w:b/>
      <w:bCs/>
      <w:kern w:val="2"/>
      <w:sz w:val="28"/>
      <w:szCs w:val="28"/>
    </w:rPr>
  </w:style>
  <w:style w:type="character" w:customStyle="1" w:styleId="90">
    <w:name w:val="标题 2 Char"/>
    <w:basedOn w:val="27"/>
    <w:link w:val="7"/>
    <w:qFormat/>
    <w:uiPriority w:val="0"/>
    <w:rPr>
      <w:rFonts w:eastAsia="黑体"/>
      <w:b/>
      <w:color w:val="FF0000"/>
      <w:kern w:val="2"/>
      <w:sz w:val="28"/>
      <w:szCs w:val="28"/>
    </w:rPr>
  </w:style>
  <w:style w:type="character" w:customStyle="1" w:styleId="91">
    <w:name w:val="标题 1 Char"/>
    <w:basedOn w:val="27"/>
    <w:link w:val="6"/>
    <w:qFormat/>
    <w:uiPriority w:val="0"/>
    <w:rPr>
      <w:rFonts w:hint="default" w:ascii="Times New Roman" w:hAnsi="Times New Roman" w:cs="Times New Roman"/>
      <w:b/>
      <w:bCs/>
      <w:kern w:val="44"/>
      <w:sz w:val="44"/>
      <w:szCs w:val="44"/>
    </w:rPr>
  </w:style>
  <w:style w:type="paragraph" w:customStyle="1" w:styleId="92">
    <w:name w:val="4"/>
    <w:basedOn w:val="1"/>
    <w:next w:val="15"/>
    <w:qFormat/>
    <w:uiPriority w:val="0"/>
    <w:rPr>
      <w:rFonts w:ascii="宋体" w:hAnsi="Courier New" w:cs="Courier New"/>
      <w:sz w:val="21"/>
      <w:szCs w:val="21"/>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7" Type="http://schemas.openxmlformats.org/officeDocument/2006/relationships/fontTable" Target="fontTable.xml"/><Relationship Id="rId26" Type="http://schemas.openxmlformats.org/officeDocument/2006/relationships/customXml" Target="../customXml/item2.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image" Target="media/image14.jpeg"/><Relationship Id="rId22" Type="http://schemas.openxmlformats.org/officeDocument/2006/relationships/image" Target="media/image13.jpeg"/><Relationship Id="rId21" Type="http://schemas.openxmlformats.org/officeDocument/2006/relationships/image" Target="media/image12.jpeg"/><Relationship Id="rId20" Type="http://schemas.openxmlformats.org/officeDocument/2006/relationships/image" Target="media/image11.wmf"/><Relationship Id="rId2" Type="http://schemas.openxmlformats.org/officeDocument/2006/relationships/settings" Target="settings.xml"/><Relationship Id="rId19" Type="http://schemas.openxmlformats.org/officeDocument/2006/relationships/image" Target="media/image10.wmf"/><Relationship Id="rId18" Type="http://schemas.openxmlformats.org/officeDocument/2006/relationships/image" Target="media/image9.wmf"/><Relationship Id="rId17" Type="http://schemas.openxmlformats.org/officeDocument/2006/relationships/image" Target="media/image8.wmf"/><Relationship Id="rId16" Type="http://schemas.openxmlformats.org/officeDocument/2006/relationships/image" Target="media/image7.wmf"/><Relationship Id="rId15" Type="http://schemas.openxmlformats.org/officeDocument/2006/relationships/image" Target="media/image6.wmf"/><Relationship Id="rId14" Type="http://schemas.openxmlformats.org/officeDocument/2006/relationships/image" Target="media/image5.jpeg"/><Relationship Id="rId13" Type="http://schemas.openxmlformats.org/officeDocument/2006/relationships/image" Target="media/image4.png"/><Relationship Id="rId12" Type="http://schemas.openxmlformats.org/officeDocument/2006/relationships/image" Target="media/image3.jpeg"/><Relationship Id="rId11" Type="http://schemas.openxmlformats.org/officeDocument/2006/relationships/image" Target="media/image2.jpeg"/><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standalone='no'?>
<b:Sources xmlns:b="http://schemas.openxmlformats.org/officeDocument/2006/bibliography" StyleName="APA" Version="6" SelectedStyle="\APASixthEditionOfficeOnline.xsl" xmlns:b="http://schemas.openxmlformats.org/officeDocument/2006/bibliography"/>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BD7F119-B318-4B4C-8746-148109EFB593}">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60</Pages>
  <Words>6472</Words>
  <Characters>36893</Characters>
  <Lines>307</Lines>
  <Paragraphs>86</Paragraphs>
  <TotalTime>41</TotalTime>
  <ScaleCrop>false</ScaleCrop>
  <LinksUpToDate>false</LinksUpToDate>
  <CharactersWithSpaces>43279</CharactersWithSpaces>
  <Application>WPS Office_11.8.2.1131_F1E327BC-269C-435d-A152-05C5408002CA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2023-11-16T17:29:00Z</dcterms:created>
  <dc:creator>lhj</dc:creator>
  <cp:lastModifiedBy>user</cp:lastModifiedBy>
  <cp:lastPrinted>2020-12-29T10:43:00Z</cp:lastPrinted>
  <dcterms:modified xsi:type="dcterms:W3CDTF">2024-06-19T10:15:25Z</dcterms:modified>
  <dc:title>附件2</dc:title>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2052-11.8.2.1131</vt:lpwstr>
  </property>
  <property fmtid="{D5CDD505-2E9C-101B-9397-08002B2CF9AE}" pid="3" name="ICV">
    <vt:lpwstr>11EDD4D206E94ED3A967827176E9D61F_13</vt:lpwstr>
  </property>
</Properties>
</file>