
<file path=[Content_Types].xml><?xml version="1.0" encoding="utf-8"?>
<Types xmlns="http://schemas.openxmlformats.org/package/2006/content-types">
  <Default Extension="xml" ContentType="application/xml"/>
  <Default Extension="wmf" ContentType="image/x-wmf"/>
  <Default Extension="emf" ContentType="image/x-emf"/>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pPr>
    </w:p>
    <w:p>
      <w:pPr>
        <w:pStyle w:val="3"/>
        <w:ind w:firstLine="240"/>
      </w:pPr>
    </w:p>
    <w:p>
      <w:pPr>
        <w:rPr>
          <w:rFonts w:ascii="Times New Roman" w:hAnsi="Times New Roman" w:eastAsia="仿宋_GB2312"/>
          <w:sz w:val="36"/>
          <w:szCs w:val="36"/>
        </w:rPr>
      </w:pPr>
    </w:p>
    <w:p>
      <w:pPr>
        <w:adjustRightInd w:val="0"/>
        <w:snapToGrid w:val="0"/>
        <w:jc w:val="center"/>
        <w:outlineLvl w:val="0"/>
        <w:rPr>
          <w:rFonts w:ascii="Times New Roman" w:hAnsi="Times New Roman" w:eastAsia="方正小标宋_GBK"/>
          <w:bCs/>
          <w:sz w:val="72"/>
          <w:szCs w:val="72"/>
        </w:rPr>
      </w:pPr>
      <w:r>
        <w:rPr>
          <w:rFonts w:ascii="Times New Roman" w:hAnsi="Times New Roman" w:eastAsia="方正小标宋_GBK"/>
          <w:bCs/>
          <w:sz w:val="72"/>
          <w:szCs w:val="72"/>
        </w:rPr>
        <w:t>建设项目环境影响报告表</w:t>
      </w:r>
    </w:p>
    <w:p>
      <w:pPr>
        <w:adjustRightInd w:val="0"/>
        <w:snapToGrid w:val="0"/>
        <w:spacing w:before="192" w:beforeLines="80"/>
        <w:jc w:val="center"/>
        <w:rPr>
          <w:rFonts w:ascii="Times New Roman" w:hAnsi="Times New Roman" w:eastAsia="楷体_GB2312"/>
          <w:bCs/>
          <w:sz w:val="48"/>
          <w:szCs w:val="48"/>
        </w:rPr>
      </w:pPr>
      <w:r>
        <w:rPr>
          <w:rFonts w:ascii="Times New Roman" w:hAnsi="Times New Roman" w:eastAsia="楷体_GB2312"/>
          <w:bCs/>
          <w:sz w:val="48"/>
          <w:szCs w:val="48"/>
        </w:rPr>
        <w:t>（污染影响类）</w:t>
      </w:r>
    </w:p>
    <w:p>
      <w:pPr>
        <w:adjustRightInd w:val="0"/>
        <w:snapToGrid w:val="0"/>
        <w:spacing w:line="288" w:lineRule="auto"/>
        <w:jc w:val="center"/>
        <w:rPr>
          <w:rFonts w:ascii="Times New Roman" w:hAnsi="Times New Roman" w:eastAsia="华文仿宋"/>
          <w:kern w:val="44"/>
          <w:sz w:val="44"/>
          <w:szCs w:val="44"/>
        </w:rPr>
      </w:pPr>
    </w:p>
    <w:p>
      <w:pPr>
        <w:jc w:val="center"/>
        <w:rPr>
          <w:rFonts w:ascii="Times New Roman" w:hAnsi="Times New Roman" w:eastAsia="仿宋"/>
          <w:sz w:val="52"/>
          <w:szCs w:val="52"/>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pStyle w:val="2"/>
        <w:ind w:left="0" w:leftChars="0" w:firstLine="0" w:firstLineChars="0"/>
      </w:pPr>
    </w:p>
    <w:p>
      <w:pPr>
        <w:pStyle w:val="3"/>
      </w:pPr>
    </w:p>
    <w:p>
      <w:pPr>
        <w:ind w:firstLine="1040"/>
        <w:rPr>
          <w:rFonts w:ascii="Times New Roman" w:hAnsi="Times New Roman" w:eastAsia="仿宋"/>
          <w:sz w:val="44"/>
          <w:szCs w:val="44"/>
        </w:rPr>
      </w:pPr>
    </w:p>
    <w:p>
      <w:pPr>
        <w:adjustRightInd w:val="0"/>
        <w:snapToGrid w:val="0"/>
        <w:spacing w:line="288" w:lineRule="auto"/>
        <w:ind w:firstLine="360" w:firstLineChars="100"/>
        <w:rPr>
          <w:rFonts w:hint="eastAsia" w:ascii="Times New Roman" w:hAnsi="Times New Roman" w:eastAsia="仿宋_GB2312"/>
          <w:sz w:val="36"/>
          <w:szCs w:val="36"/>
          <w:u w:val="single"/>
          <w:lang w:val="en-US" w:eastAsia="zh-CN"/>
        </w:rPr>
      </w:pPr>
      <w:r>
        <w:rPr>
          <w:rFonts w:ascii="Times New Roman" w:hAnsi="Times New Roman" w:eastAsia="仿宋_GB2312"/>
          <w:sz w:val="36"/>
          <w:szCs w:val="36"/>
        </w:rPr>
        <w:t>项目名称：</w:t>
      </w:r>
      <w:r>
        <w:rPr>
          <w:rFonts w:ascii="Times New Roman" w:hAnsi="Times New Roman" w:eastAsia="仿宋_GB2312"/>
          <w:sz w:val="36"/>
          <w:szCs w:val="36"/>
          <w:u w:val="single"/>
        </w:rPr>
        <w:t>耀辉矿渣破碎设备提升技改项目</w:t>
      </w:r>
    </w:p>
    <w:p>
      <w:pPr>
        <w:adjustRightInd w:val="0"/>
        <w:snapToGrid w:val="0"/>
        <w:spacing w:line="288" w:lineRule="auto"/>
        <w:ind w:firstLine="360" w:firstLineChars="100"/>
        <w:rPr>
          <w:rFonts w:ascii="Times New Roman" w:hAnsi="Times New Roman" w:eastAsia="仿宋_GB2312"/>
          <w:sz w:val="36"/>
          <w:szCs w:val="36"/>
          <w:u w:val="single"/>
        </w:rPr>
      </w:pPr>
      <w:r>
        <w:rPr>
          <w:rFonts w:ascii="Times New Roman" w:hAnsi="Times New Roman" w:eastAsia="仿宋_GB2312"/>
          <w:sz w:val="36"/>
          <w:szCs w:val="36"/>
        </w:rPr>
        <w:t>建设单位（盖章）：</w:t>
      </w:r>
      <w:r>
        <w:rPr>
          <w:rFonts w:ascii="Times New Roman" w:hAnsi="Times New Roman" w:eastAsia="仿宋_GB2312"/>
          <w:sz w:val="36"/>
          <w:szCs w:val="36"/>
          <w:u w:val="single"/>
        </w:rPr>
        <w:t xml:space="preserve">大田县耀辉矿渣破碎加工厂 </w:t>
      </w:r>
    </w:p>
    <w:p>
      <w:pPr>
        <w:adjustRightInd w:val="0"/>
        <w:snapToGrid w:val="0"/>
        <w:spacing w:line="288" w:lineRule="auto"/>
        <w:ind w:firstLine="360" w:firstLineChars="100"/>
        <w:rPr>
          <w:rFonts w:ascii="Times New Roman" w:hAnsi="Times New Roman" w:eastAsia="仿宋_GB2312"/>
          <w:sz w:val="36"/>
          <w:szCs w:val="36"/>
          <w:u w:val="single"/>
        </w:rPr>
      </w:pPr>
      <w:r>
        <w:rPr>
          <w:rFonts w:ascii="Times New Roman" w:hAnsi="Times New Roman" w:eastAsia="仿宋_GB2312"/>
          <w:sz w:val="36"/>
          <w:szCs w:val="36"/>
        </w:rPr>
        <w:t>编制日期：</w:t>
      </w:r>
      <w:r>
        <w:rPr>
          <w:rFonts w:ascii="Times New Roman" w:hAnsi="Times New Roman" w:eastAsia="仿宋_GB2312"/>
          <w:sz w:val="36"/>
          <w:szCs w:val="36"/>
          <w:u w:val="single"/>
        </w:rPr>
        <w:t>20</w:t>
      </w:r>
      <w:r>
        <w:rPr>
          <w:rFonts w:hint="eastAsia" w:ascii="Times New Roman" w:hAnsi="Times New Roman" w:eastAsia="仿宋_GB2312"/>
          <w:sz w:val="36"/>
          <w:szCs w:val="36"/>
          <w:u w:val="single"/>
        </w:rPr>
        <w:t>24</w:t>
      </w:r>
      <w:r>
        <w:rPr>
          <w:rFonts w:ascii="Times New Roman" w:hAnsi="Times New Roman" w:eastAsia="仿宋_GB2312"/>
          <w:sz w:val="36"/>
          <w:szCs w:val="36"/>
          <w:u w:val="single"/>
        </w:rPr>
        <w:t>年</w:t>
      </w:r>
      <w:r>
        <w:rPr>
          <w:rFonts w:hint="eastAsia" w:ascii="Times New Roman" w:hAnsi="Times New Roman" w:eastAsia="仿宋_GB2312"/>
          <w:sz w:val="36"/>
          <w:szCs w:val="36"/>
          <w:u w:val="single"/>
          <w:lang w:val="en-US" w:eastAsia="zh-CN"/>
        </w:rPr>
        <w:t>6</w:t>
      </w:r>
      <w:r>
        <w:rPr>
          <w:rFonts w:ascii="Times New Roman" w:hAnsi="Times New Roman" w:eastAsia="仿宋_GB2312"/>
          <w:sz w:val="36"/>
          <w:szCs w:val="36"/>
          <w:u w:val="single"/>
        </w:rPr>
        <w:t>月</w:t>
      </w:r>
    </w:p>
    <w:p>
      <w:pPr>
        <w:adjustRightInd w:val="0"/>
        <w:snapToGrid w:val="0"/>
        <w:spacing w:line="288" w:lineRule="auto"/>
        <w:ind w:firstLine="1040"/>
        <w:rPr>
          <w:rFonts w:ascii="Times New Roman" w:hAnsi="Times New Roman" w:eastAsia="仿宋_GB2312"/>
          <w:sz w:val="36"/>
          <w:szCs w:val="36"/>
          <w:u w:val="single"/>
        </w:rPr>
      </w:pPr>
      <w:bookmarkStart w:id="0" w:name="_Hlk57884087"/>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hint="default"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 xml:space="preserve"> </w:t>
      </w:r>
    </w:p>
    <w:p>
      <w:pPr>
        <w:adjustRightInd w:val="0"/>
        <w:snapToGrid w:val="0"/>
        <w:spacing w:line="288" w:lineRule="auto"/>
        <w:ind w:firstLine="1040"/>
        <w:jc w:val="center"/>
        <w:rPr>
          <w:rFonts w:ascii="Times New Roman" w:hAnsi="Times New Roman" w:eastAsia="仿宋_GB2312"/>
          <w:sz w:val="36"/>
          <w:szCs w:val="36"/>
        </w:rPr>
      </w:pPr>
    </w:p>
    <w:bookmarkEnd w:id="0"/>
    <w:p>
      <w:pPr>
        <w:adjustRightInd w:val="0"/>
        <w:snapToGrid w:val="0"/>
        <w:spacing w:line="288" w:lineRule="auto"/>
        <w:jc w:val="center"/>
        <w:rPr>
          <w:rFonts w:ascii="Times New Roman" w:hAnsi="Times New Roman"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ascii="Times New Roman" w:hAnsi="Times New Roman" w:eastAsia="楷体_GB2312"/>
          <w:sz w:val="36"/>
          <w:szCs w:val="36"/>
        </w:rPr>
        <w:t>中华人民共和国生态环境部制</w:t>
      </w:r>
    </w:p>
    <w:p>
      <w:pPr>
        <w:rPr>
          <w:color w:val="auto"/>
        </w:rPr>
      </w:pPr>
      <w:r>
        <w:rPr>
          <w:rFonts w:ascii="Times New Roman" w:hAnsi="Times New Roman" w:eastAsiaTheme="minorEastAsia"/>
        </w:rPr>
        <w:t xml:space="preserve">  </w:t>
      </w:r>
      <w:r>
        <w:rPr>
          <w:color w:val="auto"/>
        </w:rPr>
        <w:t>一、建设项目基本情况</w:t>
      </w:r>
    </w:p>
    <w:tbl>
      <w:tblPr>
        <w:tblStyle w:val="25"/>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11"/>
        <w:gridCol w:w="3542"/>
        <w:gridCol w:w="1752"/>
        <w:gridCol w:w="29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0"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建设项目名称</w:t>
            </w:r>
          </w:p>
        </w:tc>
        <w:tc>
          <w:tcPr>
            <w:tcW w:w="8236" w:type="dxa"/>
            <w:gridSpan w:val="3"/>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eastAsiaTheme="minorEastAsia"/>
                <w:kern w:val="21"/>
              </w:rPr>
              <w:t>耀辉矿渣破碎设备提升技改项目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项目代码</w:t>
            </w:r>
          </w:p>
        </w:tc>
        <w:tc>
          <w:tcPr>
            <w:tcW w:w="8236" w:type="dxa"/>
            <w:gridSpan w:val="3"/>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eastAsiaTheme="minorEastAsia"/>
                <w:kern w:val="21"/>
              </w:rPr>
              <w:t>2211-350425-07-02-231135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建设单位联系人</w:t>
            </w:r>
          </w:p>
        </w:tc>
        <w:tc>
          <w:tcPr>
            <w:tcW w:w="35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p>
        </w:tc>
        <w:tc>
          <w:tcPr>
            <w:tcW w:w="175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联系方式</w:t>
            </w:r>
          </w:p>
        </w:tc>
        <w:tc>
          <w:tcPr>
            <w:tcW w:w="2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建设地点</w:t>
            </w:r>
          </w:p>
        </w:tc>
        <w:tc>
          <w:tcPr>
            <w:tcW w:w="8236" w:type="dxa"/>
            <w:gridSpan w:val="3"/>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eastAsiaTheme="minorEastAsia"/>
                <w:kern w:val="21"/>
              </w:rPr>
              <w:t>福建省三明市大田县前坪乡下地村石克盂（下地坑）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地理坐标</w:t>
            </w:r>
          </w:p>
        </w:tc>
        <w:tc>
          <w:tcPr>
            <w:tcW w:w="8236"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w:t>
            </w:r>
            <w:r>
              <w:rPr>
                <w:rFonts w:hint="default" w:ascii="Times New Roman" w:hAnsi="Times New Roman"/>
                <w:szCs w:val="21"/>
                <w:u w:val="single"/>
              </w:rPr>
              <w:t>117</w:t>
            </w:r>
            <w:r>
              <w:rPr>
                <w:rFonts w:hint="default" w:ascii="Times New Roman" w:hAnsi="Times New Roman"/>
                <w:szCs w:val="21"/>
              </w:rPr>
              <w:t>度</w:t>
            </w:r>
            <w:r>
              <w:rPr>
                <w:rFonts w:hint="default" w:ascii="Times New Roman" w:hAnsi="Times New Roman"/>
                <w:szCs w:val="21"/>
                <w:u w:val="single"/>
              </w:rPr>
              <w:t>50</w:t>
            </w:r>
            <w:r>
              <w:rPr>
                <w:rFonts w:hint="default" w:ascii="Times New Roman" w:hAnsi="Times New Roman"/>
                <w:szCs w:val="21"/>
              </w:rPr>
              <w:t>分</w:t>
            </w:r>
            <w:r>
              <w:rPr>
                <w:rFonts w:hint="default" w:ascii="Times New Roman" w:hAnsi="Times New Roman"/>
                <w:szCs w:val="21"/>
                <w:u w:val="single"/>
              </w:rPr>
              <w:t>38.867</w:t>
            </w:r>
            <w:r>
              <w:rPr>
                <w:rFonts w:hint="default" w:ascii="Times New Roman" w:hAnsi="Times New Roman"/>
                <w:szCs w:val="21"/>
              </w:rPr>
              <w:t>秒，</w:t>
            </w:r>
            <w:r>
              <w:rPr>
                <w:rFonts w:hint="default" w:ascii="Times New Roman" w:hAnsi="Times New Roman"/>
                <w:szCs w:val="21"/>
                <w:u w:val="single"/>
              </w:rPr>
              <w:t>25</w:t>
            </w:r>
            <w:r>
              <w:rPr>
                <w:rFonts w:hint="default" w:ascii="Times New Roman" w:hAnsi="Times New Roman"/>
                <w:szCs w:val="21"/>
              </w:rPr>
              <w:t>度</w:t>
            </w:r>
            <w:r>
              <w:rPr>
                <w:rFonts w:hint="default" w:ascii="Times New Roman" w:hAnsi="Times New Roman"/>
                <w:szCs w:val="21"/>
                <w:u w:val="single"/>
              </w:rPr>
              <w:t>47</w:t>
            </w:r>
            <w:r>
              <w:rPr>
                <w:rFonts w:hint="default" w:ascii="Times New Roman" w:hAnsi="Times New Roman"/>
                <w:szCs w:val="21"/>
              </w:rPr>
              <w:t>分</w:t>
            </w:r>
            <w:r>
              <w:rPr>
                <w:rFonts w:hint="default" w:ascii="Times New Roman" w:hAnsi="Times New Roman"/>
                <w:szCs w:val="21"/>
                <w:u w:val="single"/>
              </w:rPr>
              <w:t>55.922</w:t>
            </w:r>
            <w:r>
              <w:rPr>
                <w:rFonts w:hint="default" w:ascii="Times New Roman" w:hAnsi="Times New Roman"/>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国民经济行业类别</w:t>
            </w:r>
          </w:p>
        </w:tc>
        <w:tc>
          <w:tcPr>
            <w:tcW w:w="3542" w:type="dxa"/>
            <w:shd w:val="clear" w:color="auto" w:fill="auto"/>
            <w:vAlign w:val="center"/>
          </w:tcPr>
          <w:p>
            <w:pPr>
              <w:pStyle w:val="23"/>
              <w:keepNext w:val="0"/>
              <w:keepLines w:val="0"/>
              <w:suppressLineNumbers w:val="0"/>
              <w:ind w:left="0" w:right="0"/>
              <w:rPr>
                <w:rFonts w:hint="default"/>
              </w:rPr>
            </w:pPr>
            <w:r>
              <w:rPr>
                <w:rFonts w:hint="default" w:ascii="Times New Roman" w:hAnsi="Times New Roman" w:eastAsia="宋体" w:cs="Times New Roman"/>
                <w:snapToGrid/>
                <w:color w:val="auto"/>
                <w:kern w:val="2"/>
                <w:sz w:val="24"/>
                <w:szCs w:val="21"/>
                <w:highlight w:val="none"/>
                <w:lang w:val="en-US" w:eastAsia="zh-CN" w:bidi="ar-SA"/>
              </w:rPr>
              <w:t>C3039</w:t>
            </w:r>
            <w:r>
              <w:rPr>
                <w:rFonts w:hint="default" w:ascii="Times New Roman" w:hAnsi="Times New Roman" w:eastAsia="宋体" w:cs="Times New Roman"/>
                <w:snapToGrid/>
                <w:color w:val="auto"/>
                <w:kern w:val="2"/>
                <w:sz w:val="24"/>
                <w:szCs w:val="21"/>
                <w:lang w:val="en-US" w:eastAsia="zh-CN" w:bidi="ar-SA"/>
              </w:rPr>
              <w:t>其他建筑材料制造</w:t>
            </w:r>
          </w:p>
        </w:tc>
        <w:tc>
          <w:tcPr>
            <w:tcW w:w="175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bookmarkStart w:id="1" w:name="_Hlk49843745"/>
            <w:r>
              <w:rPr>
                <w:rFonts w:hint="default" w:ascii="Times New Roman" w:hAnsi="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行业类别</w:t>
            </w:r>
            <w:bookmarkEnd w:id="1"/>
          </w:p>
        </w:tc>
        <w:tc>
          <w:tcPr>
            <w:tcW w:w="2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highlight w:val="yellow"/>
              </w:rPr>
            </w:pPr>
            <w:r>
              <w:rPr>
                <w:rFonts w:hint="default" w:ascii="Times New Roman" w:hAnsi="Times New Roman" w:eastAsiaTheme="minorEastAsia"/>
                <w:color w:val="auto"/>
                <w:kern w:val="21"/>
              </w:rPr>
              <w:t>“二十七、非金属矿物制造业30→</w:t>
            </w:r>
            <w:r>
              <w:rPr>
                <w:rFonts w:hint="eastAsia" w:ascii="Times New Roman" w:hAnsi="Times New Roman" w:eastAsiaTheme="minorEastAsia"/>
                <w:color w:val="auto"/>
                <w:kern w:val="21"/>
                <w:lang w:val="en-US" w:eastAsia="zh-CN"/>
              </w:rPr>
              <w:t>56砖瓦、石材等建筑材料制造</w:t>
            </w:r>
            <w:r>
              <w:rPr>
                <w:rFonts w:hint="default" w:ascii="Times New Roman" w:hAnsi="Times New Roman" w:eastAsiaTheme="minorEastAsia"/>
                <w:color w:val="auto"/>
                <w:kern w:val="21"/>
              </w:rPr>
              <w:t>30</w:t>
            </w:r>
            <w:r>
              <w:rPr>
                <w:rFonts w:hint="eastAsia" w:ascii="Times New Roman" w:hAnsi="Times New Roman" w:eastAsiaTheme="minorEastAsia"/>
                <w:color w:val="auto"/>
                <w:kern w:val="21"/>
                <w:lang w:val="en-US" w:eastAsia="zh-CN"/>
              </w:rPr>
              <w:t>3</w:t>
            </w:r>
            <w:r>
              <w:rPr>
                <w:rFonts w:hint="default" w:ascii="Times New Roman" w:hAnsi="Times New Roman" w:eastAsiaTheme="minorEastAsia"/>
                <w:color w:val="auto"/>
                <w:kern w:val="21"/>
              </w:rPr>
              <w:t>、其他</w:t>
            </w:r>
            <w:r>
              <w:rPr>
                <w:rFonts w:hint="eastAsia" w:ascii="Times New Roman" w:hAnsi="Times New Roman" w:eastAsiaTheme="minorEastAsia"/>
                <w:color w:val="auto"/>
                <w:kern w:val="21"/>
                <w:lang w:val="en-US" w:eastAsia="zh-CN"/>
              </w:rPr>
              <w:t>建筑材料制造</w:t>
            </w:r>
            <w:r>
              <w:rPr>
                <w:rFonts w:hint="default" w:ascii="Times New Roman" w:hAnsi="Times New Roman" w:eastAsiaTheme="minorEastAsia"/>
                <w:color w:val="auto"/>
                <w:kern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建设性质</w:t>
            </w:r>
          </w:p>
        </w:tc>
        <w:tc>
          <w:tcPr>
            <w:tcW w:w="3542" w:type="dxa"/>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52"/>
            </w:r>
            <w:r>
              <w:rPr>
                <w:rFonts w:hint="default" w:ascii="Times New Roman" w:hAnsi="Times New Roman"/>
                <w:szCs w:val="21"/>
              </w:rPr>
              <w:t>新建（迁建）</w:t>
            </w:r>
          </w:p>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A3"/>
            </w:r>
            <w:r>
              <w:rPr>
                <w:rFonts w:hint="default" w:ascii="Times New Roman" w:hAnsi="Times New Roman"/>
                <w:szCs w:val="21"/>
              </w:rPr>
              <w:t>改建</w:t>
            </w:r>
          </w:p>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A3"/>
            </w:r>
            <w:r>
              <w:rPr>
                <w:rFonts w:hint="default" w:ascii="Times New Roman" w:hAnsi="Times New Roman"/>
                <w:szCs w:val="21"/>
              </w:rPr>
              <w:t>扩建</w:t>
            </w:r>
          </w:p>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A3"/>
            </w:r>
            <w:r>
              <w:rPr>
                <w:rFonts w:hint="default" w:ascii="Times New Roman" w:hAnsi="Times New Roman"/>
                <w:szCs w:val="21"/>
              </w:rPr>
              <w:t>技术改造</w:t>
            </w:r>
          </w:p>
        </w:tc>
        <w:tc>
          <w:tcPr>
            <w:tcW w:w="175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申报情形</w:t>
            </w:r>
          </w:p>
        </w:tc>
        <w:tc>
          <w:tcPr>
            <w:tcW w:w="2942" w:type="dxa"/>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52"/>
            </w:r>
            <w:r>
              <w:rPr>
                <w:rFonts w:hint="default" w:ascii="Times New Roman" w:hAnsi="Times New Roman"/>
                <w:szCs w:val="21"/>
              </w:rPr>
              <w:t>首次申报项目</w:t>
            </w:r>
          </w:p>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A3"/>
            </w:r>
            <w:r>
              <w:rPr>
                <w:rFonts w:hint="default" w:ascii="Times New Roman" w:hAnsi="Times New Roman"/>
                <w:szCs w:val="21"/>
              </w:rPr>
              <w:t>不予批准后再次申报项目</w:t>
            </w:r>
          </w:p>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A3"/>
            </w:r>
            <w:r>
              <w:rPr>
                <w:rFonts w:hint="default" w:ascii="Times New Roman" w:hAnsi="Times New Roman"/>
                <w:szCs w:val="21"/>
              </w:rPr>
              <w:t>超五年重新审核项目</w:t>
            </w:r>
          </w:p>
          <w:p>
            <w:pPr>
              <w:keepNext w:val="0"/>
              <w:keepLines w:val="0"/>
              <w:suppressLineNumbers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A3"/>
            </w:r>
            <w:r>
              <w:rPr>
                <w:rFonts w:hint="default" w:ascii="Times New Roman" w:hAnsi="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项目审批（核准/备案）部门</w:t>
            </w:r>
          </w:p>
        </w:tc>
        <w:tc>
          <w:tcPr>
            <w:tcW w:w="35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大田县工业和信息化局</w:t>
            </w:r>
          </w:p>
        </w:tc>
        <w:tc>
          <w:tcPr>
            <w:tcW w:w="175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项目审批</w:t>
            </w:r>
            <w:r>
              <w:rPr>
                <w:rFonts w:hint="eastAsia" w:ascii="Times New Roman" w:hAnsi="Times New Roman"/>
                <w:szCs w:val="21"/>
              </w:rPr>
              <w:t xml:space="preserve"> </w:t>
            </w:r>
            <w:r>
              <w:rPr>
                <w:rFonts w:hint="default" w:ascii="Times New Roman" w:hAnsi="Times New Roman"/>
                <w:szCs w:val="21"/>
              </w:rPr>
              <w:t>（核准/备案）文号</w:t>
            </w:r>
          </w:p>
        </w:tc>
        <w:tc>
          <w:tcPr>
            <w:tcW w:w="2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闽工信备[2022]G120010号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总投资（万元）</w:t>
            </w:r>
          </w:p>
        </w:tc>
        <w:tc>
          <w:tcPr>
            <w:tcW w:w="35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eastAsiaTheme="minorEastAsia"/>
                <w:kern w:val="21"/>
              </w:rPr>
              <w:t>3180</w:t>
            </w:r>
          </w:p>
        </w:tc>
        <w:tc>
          <w:tcPr>
            <w:tcW w:w="1752" w:type="dxa"/>
            <w:shd w:val="clear" w:color="auto" w:fill="auto"/>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环保投资（万元）</w:t>
            </w:r>
          </w:p>
        </w:tc>
        <w:tc>
          <w:tcPr>
            <w:tcW w:w="2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环保投资占比（%）</w:t>
            </w:r>
          </w:p>
        </w:tc>
        <w:tc>
          <w:tcPr>
            <w:tcW w:w="35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4.72</w:t>
            </w:r>
          </w:p>
        </w:tc>
        <w:tc>
          <w:tcPr>
            <w:tcW w:w="1752" w:type="dxa"/>
            <w:shd w:val="clear" w:color="auto" w:fill="auto"/>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施工工期</w:t>
            </w:r>
          </w:p>
        </w:tc>
        <w:tc>
          <w:tcPr>
            <w:tcW w:w="2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81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是否开工建设</w:t>
            </w:r>
          </w:p>
        </w:tc>
        <w:tc>
          <w:tcPr>
            <w:tcW w:w="3542" w:type="dxa"/>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52"/>
            </w:r>
            <w:r>
              <w:rPr>
                <w:rFonts w:hint="default" w:ascii="Times New Roman" w:hAnsi="Times New Roman"/>
                <w:szCs w:val="21"/>
              </w:rPr>
              <w:t xml:space="preserve"> 否</w:t>
            </w:r>
          </w:p>
          <w:p>
            <w:pPr>
              <w:keepNext w:val="0"/>
              <w:keepLines w:val="0"/>
              <w:suppressLineNumbers w:val="0"/>
              <w:adjustRightInd w:val="0"/>
              <w:snapToGrid w:val="0"/>
              <w:spacing w:before="0" w:beforeAutospacing="0" w:after="0" w:afterAutospacing="0"/>
              <w:ind w:left="0" w:right="0"/>
              <w:rPr>
                <w:rFonts w:hint="default" w:ascii="Times New Roman" w:hAnsi="Times New Roman"/>
                <w:szCs w:val="21"/>
              </w:rPr>
            </w:pPr>
            <w:r>
              <w:rPr>
                <w:rFonts w:hint="default" w:ascii="Times New Roman" w:hAnsi="Times New Roman"/>
                <w:szCs w:val="21"/>
              </w:rPr>
              <w:sym w:font="Wingdings 2" w:char="00A3"/>
            </w:r>
            <w:r>
              <w:rPr>
                <w:rFonts w:hint="default" w:ascii="Times New Roman" w:hAnsi="Times New Roman"/>
                <w:szCs w:val="21"/>
              </w:rPr>
              <w:t xml:space="preserve"> 是</w:t>
            </w:r>
          </w:p>
        </w:tc>
        <w:tc>
          <w:tcPr>
            <w:tcW w:w="1752" w:type="dxa"/>
            <w:shd w:val="clear" w:color="auto" w:fill="auto"/>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pacing w:val="-6"/>
                <w:szCs w:val="21"/>
              </w:rPr>
            </w:pPr>
            <w:r>
              <w:rPr>
                <w:rFonts w:hint="default" w:ascii="Times New Roman" w:hAnsi="Times New Roman"/>
                <w:spacing w:val="-6"/>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pacing w:val="-6"/>
                <w:szCs w:val="21"/>
              </w:rPr>
              <w:t>面积（m</w:t>
            </w:r>
            <w:r>
              <w:rPr>
                <w:rFonts w:hint="default" w:ascii="Times New Roman" w:hAnsi="Times New Roman"/>
                <w:spacing w:val="-6"/>
                <w:szCs w:val="21"/>
                <w:vertAlign w:val="superscript"/>
              </w:rPr>
              <w:t>2</w:t>
            </w:r>
            <w:r>
              <w:rPr>
                <w:rFonts w:hint="default" w:ascii="Times New Roman" w:hAnsi="Times New Roman"/>
                <w:spacing w:val="-6"/>
                <w:szCs w:val="21"/>
              </w:rPr>
              <w:t>）</w:t>
            </w:r>
          </w:p>
        </w:tc>
        <w:tc>
          <w:tcPr>
            <w:tcW w:w="2942" w:type="dxa"/>
            <w:shd w:val="clear" w:color="auto" w:fill="auto"/>
            <w:vAlign w:val="center"/>
          </w:tcPr>
          <w:p>
            <w:pPr>
              <w:pStyle w:val="2"/>
              <w:keepNext w:val="0"/>
              <w:keepLines w:val="0"/>
              <w:suppressLineNumbers w:val="0"/>
              <w:spacing w:before="0" w:beforeAutospacing="0" w:after="120" w:afterAutospacing="0"/>
              <w:ind w:leftChars="200" w:right="0" w:firstLine="480"/>
              <w:rPr>
                <w:rFonts w:hint="default"/>
              </w:rPr>
            </w:pPr>
            <w:r>
              <w:rPr>
                <w:rFonts w:hint="eastAsia" w:ascii="Times New Roman" w:hAnsi="Times New Roman" w:eastAsia="宋体" w:cs="Times New Roman"/>
                <w:b w:val="0"/>
                <w:bCs w:val="0"/>
                <w:kern w:val="2"/>
                <w:sz w:val="24"/>
                <w:szCs w:val="21"/>
                <w:lang w:val="en-US" w:eastAsia="zh-CN" w:bidi="ar-SA"/>
              </w:rPr>
              <w:t>3225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811"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专项评价设置情况</w:t>
            </w:r>
          </w:p>
        </w:tc>
        <w:tc>
          <w:tcPr>
            <w:tcW w:w="8236" w:type="dxa"/>
            <w:gridSpan w:val="3"/>
            <w:shd w:val="clear" w:color="auto" w:fill="auto"/>
            <w:vAlign w:val="center"/>
          </w:tcPr>
          <w:p>
            <w:pPr>
              <w:pStyle w:val="62"/>
              <w:keepNext w:val="0"/>
              <w:keepLines w:val="0"/>
              <w:suppressLineNumbers w:val="0"/>
              <w:spacing w:before="0" w:beforeAutospacing="0" w:after="0" w:afterAutospacing="0" w:line="400" w:lineRule="exact"/>
              <w:ind w:left="0" w:right="0" w:firstLine="480"/>
              <w:rPr>
                <w:rFonts w:hint="default" w:ascii="宋体" w:hAnsi="宋体"/>
                <w:bCs/>
              </w:rPr>
            </w:pPr>
            <w:bookmarkStart w:id="2" w:name="_Ref68272796"/>
            <w:r>
              <w:rPr>
                <w:rFonts w:hint="eastAsia" w:ascii="宋体" w:hAnsi="宋体"/>
                <w:bCs/>
              </w:rPr>
              <w:t>对照“专项评价设置原则表”，本项目不需要设置大气环境、地表水环境、环境风险、生态环境、海洋环境等专项评价，具体见下表。</w:t>
            </w:r>
          </w:p>
          <w:p>
            <w:pPr>
              <w:pStyle w:val="33"/>
              <w:keepNext w:val="0"/>
              <w:keepLines w:val="0"/>
              <w:suppressLineNumbers w:val="0"/>
              <w:spacing w:before="120" w:beforeAutospacing="0" w:after="0" w:afterAutospacing="0"/>
              <w:ind w:left="0" w:right="0"/>
              <w:rPr>
                <w:rFonts w:hint="default" w:ascii="Times New Roman" w:hAnsi="Times New Roman" w:eastAsia="宋体"/>
                <w:b/>
                <w:bCs/>
                <w:szCs w:val="24"/>
              </w:rPr>
            </w:pPr>
            <w:r>
              <w:rPr>
                <w:rFonts w:hint="default" w:ascii="Times New Roman" w:hAnsi="Times New Roman" w:eastAsia="宋体"/>
                <w:b/>
                <w:bCs/>
                <w:szCs w:val="24"/>
              </w:rPr>
              <w:t>表1.1-1 专项评价设置原则表</w:t>
            </w:r>
            <w:bookmarkEnd w:id="2"/>
          </w:p>
          <w:tbl>
            <w:tblPr>
              <w:tblStyle w:val="25"/>
              <w:tblW w:w="802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85" w:type="dxa"/>
                <w:bottom w:w="0" w:type="dxa"/>
                <w:right w:w="85" w:type="dxa"/>
              </w:tblCellMar>
            </w:tblPr>
            <w:tblGrid>
              <w:gridCol w:w="1066"/>
              <w:gridCol w:w="3096"/>
              <w:gridCol w:w="2993"/>
              <w:gridCol w:w="86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376" w:hRule="atLeast"/>
                <w:jc w:val="center"/>
              </w:trPr>
              <w:tc>
                <w:tcPr>
                  <w:tcW w:w="1066" w:type="dxa"/>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专项评价的类别</w:t>
                  </w:r>
                </w:p>
              </w:tc>
              <w:tc>
                <w:tcPr>
                  <w:tcW w:w="3096"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设置条件</w:t>
                  </w:r>
                </w:p>
              </w:tc>
              <w:tc>
                <w:tcPr>
                  <w:tcW w:w="2993"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项目情况</w:t>
                  </w:r>
                </w:p>
              </w:tc>
              <w:tc>
                <w:tcPr>
                  <w:tcW w:w="86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是否设置专项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90" w:hRule="atLeast"/>
                <w:jc w:val="center"/>
              </w:trPr>
              <w:tc>
                <w:tcPr>
                  <w:tcW w:w="1066" w:type="dxa"/>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大气</w:t>
                  </w:r>
                </w:p>
              </w:tc>
              <w:tc>
                <w:tcPr>
                  <w:tcW w:w="3096" w:type="dxa"/>
                  <w:tcBorders>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排放废气含有毒有害污染物</w:t>
                  </w:r>
                  <w:r>
                    <w:rPr>
                      <w:rFonts w:hint="default" w:ascii="Times New Roman" w:hAnsi="Times New Roman"/>
                      <w:bCs/>
                      <w:sz w:val="18"/>
                      <w:szCs w:val="18"/>
                      <w:vertAlign w:val="superscript"/>
                    </w:rPr>
                    <w:t>1</w:t>
                  </w:r>
                  <w:r>
                    <w:rPr>
                      <w:rFonts w:hint="default" w:ascii="Times New Roman" w:hAnsi="Times New Roman"/>
                      <w:bCs/>
                      <w:sz w:val="18"/>
                      <w:szCs w:val="18"/>
                    </w:rPr>
                    <w:t>、二噁英、苯并[a]芘、氰化物、氯气且厂界外500米范围内有环境空气保护目标</w:t>
                  </w:r>
                  <w:r>
                    <w:rPr>
                      <w:rFonts w:hint="default" w:ascii="Times New Roman" w:hAnsi="Times New Roman"/>
                      <w:bCs/>
                      <w:sz w:val="18"/>
                      <w:szCs w:val="18"/>
                      <w:vertAlign w:val="superscript"/>
                    </w:rPr>
                    <w:t>2</w:t>
                  </w:r>
                  <w:r>
                    <w:rPr>
                      <w:rFonts w:hint="default" w:ascii="Times New Roman" w:hAnsi="Times New Roman"/>
                      <w:bCs/>
                      <w:sz w:val="18"/>
                      <w:szCs w:val="18"/>
                    </w:rPr>
                    <w:t>的建设项目</w:t>
                  </w:r>
                </w:p>
              </w:tc>
              <w:tc>
                <w:tcPr>
                  <w:tcW w:w="2993"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项目排放的废气污染物为颗粒物，不涉及含有毒有害污染物、二噁英、苯并[a]芘、氰化物、氯气等</w:t>
                  </w:r>
                </w:p>
              </w:tc>
              <w:tc>
                <w:tcPr>
                  <w:tcW w:w="86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90" w:hRule="atLeast"/>
                <w:jc w:val="center"/>
              </w:trPr>
              <w:tc>
                <w:tcPr>
                  <w:tcW w:w="1066" w:type="dxa"/>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地表水</w:t>
                  </w:r>
                </w:p>
              </w:tc>
              <w:tc>
                <w:tcPr>
                  <w:tcW w:w="3096" w:type="dxa"/>
                  <w:tcBorders>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新增工业废水直排建设项目(槽罐车外送污水处理厂的除外)；新增废水直排的污水集中处理厂</w:t>
                  </w:r>
                </w:p>
              </w:tc>
              <w:tc>
                <w:tcPr>
                  <w:tcW w:w="2993"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本项目生产废水经</w:t>
                  </w:r>
                  <w:r>
                    <w:rPr>
                      <w:rFonts w:hint="eastAsia" w:ascii="Times New Roman" w:hAnsi="Times New Roman"/>
                      <w:bCs/>
                      <w:sz w:val="18"/>
                      <w:szCs w:val="18"/>
                    </w:rPr>
                    <w:t>沉淀罐、沉淀池</w:t>
                  </w:r>
                  <w:r>
                    <w:rPr>
                      <w:rFonts w:hint="default" w:ascii="Times New Roman" w:hAnsi="Times New Roman"/>
                      <w:bCs/>
                      <w:sz w:val="18"/>
                      <w:szCs w:val="18"/>
                    </w:rPr>
                    <w:t>处理后回用不外排，生活污水经地埋式生活污水处理设施处理后用于周边山林地</w:t>
                  </w:r>
                  <w:r>
                    <w:rPr>
                      <w:rFonts w:hint="eastAsia" w:ascii="Times New Roman" w:hAnsi="Times New Roman"/>
                      <w:bCs/>
                      <w:sz w:val="18"/>
                      <w:szCs w:val="18"/>
                    </w:rPr>
                    <w:t>灌溉</w:t>
                  </w:r>
                </w:p>
              </w:tc>
              <w:tc>
                <w:tcPr>
                  <w:tcW w:w="86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90" w:hRule="atLeast"/>
                <w:jc w:val="center"/>
              </w:trPr>
              <w:tc>
                <w:tcPr>
                  <w:tcW w:w="1066" w:type="dxa"/>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环境</w:t>
                  </w:r>
                </w:p>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风险</w:t>
                  </w:r>
                </w:p>
              </w:tc>
              <w:tc>
                <w:tcPr>
                  <w:tcW w:w="3096" w:type="dxa"/>
                  <w:tcBorders>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有毒有害和易燃易爆危险物质存储量超过临界量的建设项目</w:t>
                  </w:r>
                </w:p>
              </w:tc>
              <w:tc>
                <w:tcPr>
                  <w:tcW w:w="2993"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项目不涉及有毒有害和易燃易爆环境风险物质</w:t>
                  </w:r>
                </w:p>
              </w:tc>
              <w:tc>
                <w:tcPr>
                  <w:tcW w:w="86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90" w:hRule="atLeast"/>
                <w:jc w:val="center"/>
              </w:trPr>
              <w:tc>
                <w:tcPr>
                  <w:tcW w:w="1066" w:type="dxa"/>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生态</w:t>
                  </w:r>
                </w:p>
              </w:tc>
              <w:tc>
                <w:tcPr>
                  <w:tcW w:w="3096" w:type="dxa"/>
                  <w:tcBorders>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取水口下游500米范围内有重要水生生物的自然产卵场、索饵场、越冬场和洄游通道的新增河道取水的污染类建设项目</w:t>
                  </w:r>
                </w:p>
              </w:tc>
              <w:tc>
                <w:tcPr>
                  <w:tcW w:w="2993"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项目用水</w:t>
                  </w:r>
                  <w:r>
                    <w:rPr>
                      <w:rFonts w:hint="eastAsia" w:ascii="Times New Roman" w:hAnsi="Times New Roman"/>
                      <w:bCs/>
                      <w:sz w:val="18"/>
                      <w:szCs w:val="18"/>
                    </w:rPr>
                    <w:t>取自山泉水，不属于</w:t>
                  </w:r>
                  <w:r>
                    <w:rPr>
                      <w:rFonts w:hint="default" w:ascii="Times New Roman" w:hAnsi="Times New Roman"/>
                      <w:bCs/>
                      <w:sz w:val="18"/>
                      <w:szCs w:val="18"/>
                    </w:rPr>
                    <w:t>取水口下游500米范围内有重要水生生物的自然产卵场、索饵场、越冬场和洄游通道的新增河道取水的污染类建设项目</w:t>
                  </w:r>
                </w:p>
              </w:tc>
              <w:tc>
                <w:tcPr>
                  <w:tcW w:w="86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90" w:hRule="atLeast"/>
                <w:jc w:val="center"/>
              </w:trPr>
              <w:tc>
                <w:tcPr>
                  <w:tcW w:w="1066" w:type="dxa"/>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海洋</w:t>
                  </w:r>
                </w:p>
              </w:tc>
              <w:tc>
                <w:tcPr>
                  <w:tcW w:w="3096" w:type="dxa"/>
                  <w:tcBorders>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直接向海排放污染物的海洋工程建设项目</w:t>
                  </w:r>
                </w:p>
              </w:tc>
              <w:tc>
                <w:tcPr>
                  <w:tcW w:w="2993"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bCs/>
                      <w:sz w:val="18"/>
                      <w:szCs w:val="18"/>
                    </w:rPr>
                  </w:pPr>
                  <w:r>
                    <w:rPr>
                      <w:rFonts w:hint="default" w:ascii="Times New Roman" w:hAnsi="Times New Roman"/>
                      <w:bCs/>
                      <w:sz w:val="18"/>
                      <w:szCs w:val="18"/>
                    </w:rPr>
                    <w:t>项目不属于直接向海排放污染物的海洋工程建设项目</w:t>
                  </w:r>
                </w:p>
              </w:tc>
              <w:tc>
                <w:tcPr>
                  <w:tcW w:w="86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Cs/>
                      <w:sz w:val="18"/>
                      <w:szCs w:val="18"/>
                    </w:rPr>
                  </w:pPr>
                  <w:r>
                    <w:rPr>
                      <w:rFonts w:hint="default" w:ascii="Times New Roman" w:hAnsi="Times New Roman"/>
                      <w:bCs/>
                      <w:sz w:val="18"/>
                      <w:szCs w:val="18"/>
                    </w:rPr>
                    <w:t>否</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11"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szCs w:val="21"/>
              </w:rPr>
              <w:t>规划情况</w:t>
            </w:r>
          </w:p>
        </w:tc>
        <w:tc>
          <w:tcPr>
            <w:tcW w:w="8236" w:type="dxa"/>
            <w:gridSpan w:val="3"/>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sz w:val="18"/>
                <w:szCs w:val="18"/>
              </w:rPr>
            </w:pPr>
            <w:r>
              <w:rPr>
                <w:rFonts w:hint="default" w:ascii="Times New Roman" w:hAnsi="Times New Roman"/>
              </w:rPr>
              <w:t>《大田县国土空间总体规划（2021-2035年）》（草案）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szCs w:val="21"/>
              </w:rPr>
              <w:t>评价情况</w:t>
            </w:r>
          </w:p>
        </w:tc>
        <w:tc>
          <w:tcPr>
            <w:tcW w:w="8236" w:type="dxa"/>
            <w:gridSpan w:val="3"/>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kern w:val="0"/>
                <w:szCs w:val="21"/>
              </w:rPr>
            </w:pPr>
            <w:r>
              <w:rPr>
                <w:rFonts w:hint="default" w:ascii="Times New Roman" w:hAnsi="Times New Roman" w:eastAsia="宋体" w:cs="Times New Roman"/>
                <w:kern w:val="2"/>
                <w:sz w:val="24"/>
                <w:szCs w:val="24"/>
                <w:lang w:val="en-US" w:eastAsia="zh-CN" w:bidi="ar-S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11"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kern w:val="0"/>
                <w:szCs w:val="21"/>
              </w:rPr>
            </w:pPr>
            <w:r>
              <w:rPr>
                <w:rFonts w:hint="default" w:ascii="Times New Roman" w:hAnsi="Times New Roman"/>
                <w:kern w:val="0"/>
                <w:szCs w:val="21"/>
              </w:rPr>
              <w:t>规划及规划环境影响评价符合性分析</w:t>
            </w:r>
          </w:p>
        </w:tc>
        <w:tc>
          <w:tcPr>
            <w:tcW w:w="8236" w:type="dxa"/>
            <w:gridSpan w:val="3"/>
            <w:vAlign w:val="center"/>
          </w:tcPr>
          <w:p>
            <w:pPr>
              <w:pStyle w:val="6"/>
              <w:keepLines w:val="0"/>
              <w:suppressLineNumbers w:val="0"/>
              <w:spacing w:before="0" w:beforeAutospacing="0" w:after="0" w:afterAutospacing="0"/>
              <w:ind w:right="0"/>
              <w:rPr>
                <w:rFonts w:hint="default"/>
                <w:color w:val="auto"/>
              </w:rPr>
            </w:pPr>
            <w:r>
              <w:rPr>
                <w:rFonts w:hint="default"/>
                <w:color w:val="auto"/>
              </w:rPr>
              <w:t>1.</w:t>
            </w:r>
            <w:r>
              <w:rPr>
                <w:rFonts w:hint="eastAsia"/>
                <w:color w:val="auto"/>
              </w:rPr>
              <w:t>1规划符合性分析</w:t>
            </w:r>
          </w:p>
          <w:p>
            <w:pPr>
              <w:pStyle w:val="8"/>
              <w:numPr>
                <w:ilvl w:val="0"/>
                <w:numId w:val="0"/>
              </w:numPr>
              <w:suppressLineNumbers w:val="0"/>
              <w:spacing w:before="0" w:beforeAutospacing="0" w:after="0" w:afterAutospacing="0" w:line="420" w:lineRule="exact"/>
              <w:ind w:left="0" w:right="0"/>
              <w:rPr>
                <w:rFonts w:hint="default"/>
              </w:rPr>
            </w:pPr>
            <w:r>
              <w:rPr>
                <w:rFonts w:hint="default" w:ascii="Times New Roman" w:hAnsi="Times New Roman"/>
              </w:rPr>
              <w:t>1.</w:t>
            </w:r>
            <w:r>
              <w:rPr>
                <w:rFonts w:hint="eastAsia" w:ascii="Times New Roman" w:hAnsi="Times New Roman"/>
              </w:rPr>
              <w:t>1</w:t>
            </w:r>
            <w:r>
              <w:rPr>
                <w:rFonts w:hint="default" w:ascii="Times New Roman" w:hAnsi="Times New Roman"/>
              </w:rPr>
              <w:t>.1</w:t>
            </w:r>
            <w:r>
              <w:rPr>
                <w:rFonts w:hint="eastAsia" w:ascii="Times New Roman" w:hAnsi="Times New Roman"/>
                <w:kern w:val="21"/>
                <w:szCs w:val="24"/>
              </w:rPr>
              <w:t>与《大田县国土空间总体规划（2</w:t>
            </w:r>
            <w:r>
              <w:rPr>
                <w:rFonts w:hint="default" w:ascii="Times New Roman" w:hAnsi="Times New Roman"/>
                <w:kern w:val="21"/>
                <w:szCs w:val="24"/>
              </w:rPr>
              <w:t>021-2035</w:t>
            </w:r>
            <w:r>
              <w:rPr>
                <w:rFonts w:hint="eastAsia" w:ascii="Times New Roman" w:hAnsi="Times New Roman"/>
                <w:kern w:val="21"/>
                <w:szCs w:val="24"/>
              </w:rPr>
              <w:t>）》（草案）符合性分析</w:t>
            </w:r>
          </w:p>
          <w:p>
            <w:pPr>
              <w:pStyle w:val="41"/>
              <w:keepNext w:val="0"/>
              <w:keepLines w:val="0"/>
              <w:suppressLineNumbers w:val="0"/>
              <w:spacing w:before="0" w:beforeAutospacing="0" w:after="0" w:afterAutospacing="0" w:line="420" w:lineRule="exact"/>
              <w:ind w:left="0" w:right="0" w:firstLine="480"/>
              <w:rPr>
                <w:rFonts w:hint="default" w:ascii="Times New Roman" w:hAnsi="Times New Roman" w:eastAsiaTheme="minorEastAsia"/>
                <w:kern w:val="21"/>
              </w:rPr>
            </w:pPr>
            <w:r>
              <w:rPr>
                <w:rFonts w:hint="eastAsia"/>
              </w:rPr>
              <w:t>本项目为迁建项目，位于大田县前坪乡下地村，</w:t>
            </w:r>
            <w:r>
              <w:rPr>
                <w:rFonts w:hint="eastAsia" w:ascii="Times New Roman" w:hAnsi="Times New Roman" w:eastAsiaTheme="minorEastAsia"/>
                <w:kern w:val="21"/>
              </w:rPr>
              <w:t>是配合政府推进“广建环保科技矿业与工业固体废物资源化再利用项目”建设要求搬迁至本厂址。</w:t>
            </w:r>
            <w:r>
              <w:rPr>
                <w:rFonts w:hint="eastAsia"/>
                <w:kern w:val="21"/>
              </w:rPr>
              <w:t>对照</w:t>
            </w:r>
            <w:r>
              <w:rPr>
                <w:rFonts w:hint="eastAsia"/>
              </w:rPr>
              <w:t>《大田县国土空间总体规划（2021-2035）》（草案）中的大田县三条线控制规划图，项目不占用基本农田和生态保护红线。根据自然资源局开具的</w:t>
            </w:r>
            <w:r>
              <w:rPr>
                <w:rFonts w:hint="default" w:ascii="Times New Roman" w:hAnsi="Times New Roman" w:eastAsiaTheme="minorEastAsia"/>
                <w:kern w:val="21"/>
              </w:rPr>
              <w:t>《大田县</w:t>
            </w:r>
            <w:r>
              <w:rPr>
                <w:rFonts w:hint="eastAsia" w:ascii="Times New Roman" w:hAnsi="Times New Roman" w:eastAsiaTheme="minorEastAsia"/>
                <w:kern w:val="21"/>
              </w:rPr>
              <w:t>前坪乡土地利用总体规划图</w:t>
            </w:r>
            <w:r>
              <w:rPr>
                <w:rFonts w:hint="default" w:ascii="Times New Roman" w:hAnsi="Times New Roman" w:eastAsiaTheme="minorEastAsia"/>
                <w:kern w:val="21"/>
              </w:rPr>
              <w:t>》</w:t>
            </w:r>
            <w:r>
              <w:rPr>
                <w:rFonts w:hint="eastAsia" w:eastAsiaTheme="minorEastAsia"/>
                <w:kern w:val="21"/>
              </w:rPr>
              <w:t>（附图10）</w:t>
            </w:r>
            <w:r>
              <w:rPr>
                <w:rFonts w:hint="eastAsia"/>
              </w:rPr>
              <w:t>，项目选址位于允许建设区，符合大田县前坪乡土地利用总体规划。因此项目用地与《大田县国土空间总体规划（2021-2035）》（草案）国土空间用途管制要求不冲突，符合“三区三线”要求。</w:t>
            </w:r>
          </w:p>
          <w:p>
            <w:pPr>
              <w:pStyle w:val="41"/>
              <w:keepNext w:val="0"/>
              <w:keepLines w:val="0"/>
              <w:suppressLineNumbers w:val="0"/>
              <w:spacing w:before="0" w:beforeAutospacing="0" w:after="0" w:afterAutospacing="0" w:line="420" w:lineRule="exact"/>
              <w:ind w:left="0" w:right="0" w:firstLine="480"/>
              <w:rPr>
                <w:rFonts w:hint="default"/>
              </w:rPr>
            </w:pPr>
            <w:r>
              <w:rPr>
                <w:rFonts w:hint="eastAsia"/>
              </w:rPr>
              <w:t>综上分析，本项目符合《大田县国土空间总体规划（2021-2035年）》（草案）。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tcBorders>
              <w:top w:val="single" w:color="auto" w:sz="8" w:space="0"/>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其他符合性分析</w:t>
            </w:r>
          </w:p>
        </w:tc>
        <w:tc>
          <w:tcPr>
            <w:tcW w:w="8236" w:type="dxa"/>
            <w:gridSpan w:val="3"/>
            <w:tcBorders>
              <w:top w:val="single" w:color="auto" w:sz="8" w:space="0"/>
            </w:tcBorders>
            <w:vAlign w:val="center"/>
          </w:tcPr>
          <w:p>
            <w:pPr>
              <w:pStyle w:val="7"/>
              <w:suppressLineNumbers w:val="0"/>
              <w:spacing w:before="200" w:beforeAutospacing="0" w:after="200" w:afterAutospacing="0" w:line="440" w:lineRule="exact"/>
              <w:ind w:left="0" w:right="0"/>
              <w:rPr>
                <w:rFonts w:hint="default" w:ascii="Times New Roman" w:hAnsi="Times New Roman"/>
                <w:sz w:val="28"/>
                <w:szCs w:val="28"/>
              </w:rPr>
            </w:pPr>
            <w:bookmarkStart w:id="3" w:name="_Toc83203071"/>
            <w:r>
              <w:rPr>
                <w:rFonts w:hint="default" w:ascii="Times New Roman" w:hAnsi="Times New Roman"/>
                <w:sz w:val="28"/>
                <w:szCs w:val="28"/>
              </w:rPr>
              <w:t>1.2其他符合性分析</w:t>
            </w:r>
            <w:bookmarkEnd w:id="3"/>
          </w:p>
          <w:p>
            <w:pPr>
              <w:pStyle w:val="8"/>
              <w:numPr>
                <w:ilvl w:val="0"/>
                <w:numId w:val="0"/>
              </w:numPr>
              <w:suppressLineNumbers w:val="0"/>
              <w:spacing w:before="0" w:beforeAutospacing="0" w:after="0" w:afterAutospacing="0"/>
              <w:ind w:left="0" w:right="0"/>
              <w:rPr>
                <w:rFonts w:hint="default" w:ascii="Times New Roman" w:hAnsi="Times New Roman"/>
              </w:rPr>
            </w:pPr>
            <w:r>
              <w:rPr>
                <w:rFonts w:hint="default" w:ascii="Times New Roman" w:hAnsi="Times New Roman"/>
              </w:rPr>
              <w:t>1.2.1“三线一单”控制要求符合性分析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1"/>
              </w:rPr>
            </w:pPr>
            <w:r>
              <w:rPr>
                <w:rFonts w:hint="default" w:ascii="Times New Roman" w:hAnsi="Times New Roman"/>
                <w:kern w:val="0"/>
                <w:szCs w:val="21"/>
              </w:rPr>
              <w:t>项目建设符合《三明市人民政府关于印发三明市“三线一单”生态环境分区管控方案的通知》（明政〔2021〕4号）中的控制要求，具体</w:t>
            </w:r>
            <w:r>
              <w:rPr>
                <w:rFonts w:hint="eastAsia" w:ascii="Times New Roman" w:hAnsi="Times New Roman"/>
                <w:kern w:val="0"/>
                <w:szCs w:val="21"/>
              </w:rPr>
              <w:t>分析</w:t>
            </w:r>
            <w:r>
              <w:rPr>
                <w:rFonts w:hint="default" w:ascii="Times New Roman" w:hAnsi="Times New Roman"/>
                <w:kern w:val="0"/>
                <w:szCs w:val="21"/>
              </w:rPr>
              <w:t>如下</w:t>
            </w:r>
            <w:r>
              <w:rPr>
                <w:rFonts w:hint="eastAsia" w:ascii="Times New Roman" w:hAnsi="Times New Roman"/>
                <w:kern w:val="0"/>
                <w:szCs w:val="21"/>
              </w:rPr>
              <w:t>：</w:t>
            </w: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1.2.1.1生态保护红线</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szCs w:val="22"/>
              </w:rPr>
            </w:pPr>
            <w:r>
              <w:rPr>
                <w:rFonts w:hint="default" w:ascii="Times New Roman" w:hAnsi="Times New Roman"/>
                <w:kern w:val="0"/>
                <w:szCs w:val="21"/>
              </w:rPr>
              <w:t>项目位于福建省三明市大田县前坪乡下地村，项目选址不涉及自然保护区、饮用水源保护区、风景名胜区、重要湿地、生态公益林、重要自然与人文景观、文物古迹及其他需要特别保护的区域，项目选址符合生态保护红线要求</w:t>
            </w:r>
            <w:r>
              <w:rPr>
                <w:rFonts w:hint="default" w:ascii="Times New Roman" w:hAnsi="Times New Roman"/>
                <w:szCs w:val="22"/>
              </w:rPr>
              <w:t>。</w:t>
            </w: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1.2.1.2环境质量底线</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1"/>
              </w:rPr>
            </w:pPr>
            <w:r>
              <w:rPr>
                <w:rFonts w:hint="default" w:ascii="Times New Roman" w:hAnsi="Times New Roman"/>
                <w:kern w:val="0"/>
                <w:szCs w:val="21"/>
              </w:rPr>
              <w:t>本项目所在区域的环境质量底线为：环境空气质量目标为《环境空气质量标准》（GB3095-2012）二级标准；水环境质量目标为《地表水环境质量标准》（GB3838-2002）Ⅲ类水质标准；区域声环境质量目标为《声环境质量标准》（GB3096-2008）</w:t>
            </w:r>
            <w:r>
              <w:rPr>
                <w:rFonts w:hint="eastAsia" w:ascii="Times New Roman" w:hAnsi="Times New Roman"/>
                <w:kern w:val="0"/>
                <w:szCs w:val="21"/>
              </w:rPr>
              <w:t>2</w:t>
            </w:r>
            <w:r>
              <w:rPr>
                <w:rFonts w:hint="default" w:ascii="Times New Roman" w:hAnsi="Times New Roman"/>
                <w:kern w:val="0"/>
                <w:szCs w:val="21"/>
              </w:rPr>
              <w:t>类标准。</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szCs w:val="22"/>
              </w:rPr>
            </w:pPr>
            <w:r>
              <w:rPr>
                <w:rFonts w:hint="default" w:ascii="Times New Roman" w:hAnsi="Times New Roman"/>
                <w:kern w:val="0"/>
                <w:szCs w:val="21"/>
              </w:rPr>
              <w:t>本项目</w:t>
            </w:r>
            <w:r>
              <w:rPr>
                <w:rFonts w:hint="eastAsia" w:ascii="Times New Roman" w:hAnsi="Times New Roman"/>
                <w:kern w:val="0"/>
                <w:szCs w:val="21"/>
              </w:rPr>
              <w:t>生产废水经沉淀罐、沉淀池沉淀处理后全部回用不外排，生活污水经地埋式生活污水处理设施处理后用于周边林地灌溉，</w:t>
            </w:r>
            <w:r>
              <w:rPr>
                <w:rFonts w:hint="default" w:ascii="Times New Roman" w:hAnsi="Times New Roman"/>
                <w:kern w:val="0"/>
                <w:szCs w:val="21"/>
              </w:rPr>
              <w:t>对区域水环境</w:t>
            </w:r>
            <w:r>
              <w:rPr>
                <w:rFonts w:hint="eastAsia" w:ascii="Times New Roman" w:hAnsi="Times New Roman"/>
                <w:kern w:val="0"/>
                <w:szCs w:val="21"/>
              </w:rPr>
              <w:t>影响小</w:t>
            </w:r>
            <w:r>
              <w:rPr>
                <w:rFonts w:hint="default" w:ascii="Times New Roman" w:hAnsi="Times New Roman"/>
                <w:kern w:val="0"/>
                <w:szCs w:val="21"/>
              </w:rPr>
              <w:t>；生产废气</w:t>
            </w:r>
            <w:r>
              <w:rPr>
                <w:rFonts w:hint="eastAsia" w:ascii="Times New Roman" w:hAnsi="Times New Roman"/>
                <w:kern w:val="0"/>
                <w:szCs w:val="21"/>
              </w:rPr>
              <w:t>主要为堆场扬尘、破碎、筛分粉尘及车辆运输扬尘等，</w:t>
            </w:r>
            <w:r>
              <w:rPr>
                <w:rFonts w:hint="default" w:ascii="Times New Roman" w:hAnsi="Times New Roman"/>
                <w:kern w:val="0"/>
                <w:szCs w:val="21"/>
              </w:rPr>
              <w:t>不涉及有毒有害大气污染物，在落实废气净化控制措施、确保达标排放的前提下，对区域大气环境</w:t>
            </w:r>
            <w:r>
              <w:rPr>
                <w:rFonts w:hint="eastAsia" w:ascii="Times New Roman" w:hAnsi="Times New Roman"/>
                <w:kern w:val="0"/>
                <w:szCs w:val="21"/>
              </w:rPr>
              <w:t>质量</w:t>
            </w:r>
            <w:r>
              <w:rPr>
                <w:rFonts w:hint="default" w:ascii="Times New Roman" w:hAnsi="Times New Roman"/>
                <w:kern w:val="0"/>
                <w:szCs w:val="21"/>
              </w:rPr>
              <w:t>影响较小；采取低噪设备、隔声</w:t>
            </w:r>
            <w:r>
              <w:rPr>
                <w:rFonts w:hint="eastAsia" w:ascii="Times New Roman" w:hAnsi="Times New Roman"/>
                <w:kern w:val="0"/>
                <w:szCs w:val="21"/>
              </w:rPr>
              <w:t>减振</w:t>
            </w:r>
            <w:r>
              <w:rPr>
                <w:rFonts w:hint="default" w:ascii="Times New Roman" w:hAnsi="Times New Roman"/>
                <w:kern w:val="0"/>
                <w:szCs w:val="21"/>
              </w:rPr>
              <w:t>等降噪措施后可实现厂界噪声达标排放；各项固体废物均可得到妥善处置</w:t>
            </w:r>
            <w:r>
              <w:rPr>
                <w:rFonts w:hint="default" w:ascii="Times New Roman" w:hAnsi="Times New Roman"/>
                <w:szCs w:val="22"/>
              </w:rPr>
              <w:t>。</w:t>
            </w:r>
            <w:r>
              <w:rPr>
                <w:rFonts w:hint="default" w:ascii="Times New Roman" w:hAnsi="Times New Roman"/>
                <w:kern w:val="0"/>
                <w:szCs w:val="21"/>
              </w:rPr>
              <w:t>落实本环评提出的各项环保措施后，本项目各污染物均可达标排放，对区域环境质量</w:t>
            </w:r>
            <w:r>
              <w:rPr>
                <w:rFonts w:hint="eastAsia" w:ascii="Times New Roman" w:hAnsi="Times New Roman"/>
                <w:kern w:val="0"/>
                <w:szCs w:val="21"/>
              </w:rPr>
              <w:t>影响</w:t>
            </w:r>
            <w:r>
              <w:rPr>
                <w:rFonts w:hint="default" w:ascii="Times New Roman" w:hAnsi="Times New Roman"/>
                <w:kern w:val="0"/>
                <w:szCs w:val="21"/>
              </w:rPr>
              <w:t>较小，不会对区域环境质量底线造成冲击。</w:t>
            </w: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1.2.1.3资源利用上线</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szCs w:val="22"/>
              </w:rPr>
            </w:pPr>
            <w:r>
              <w:rPr>
                <w:rFonts w:hint="default" w:ascii="Times New Roman" w:hAnsi="Times New Roman"/>
                <w:kern w:val="0"/>
                <w:szCs w:val="21"/>
              </w:rPr>
              <w:t>本项目用电由大田县前坪乡供电系统提供，</w:t>
            </w:r>
            <w:r>
              <w:rPr>
                <w:rFonts w:hint="default" w:ascii="Times New Roman" w:hAnsi="Times New Roman"/>
              </w:rPr>
              <w:t>年用电量约400万kwh；</w:t>
            </w:r>
            <w:r>
              <w:rPr>
                <w:rFonts w:hint="default" w:ascii="Times New Roman" w:hAnsi="Times New Roman"/>
                <w:kern w:val="0"/>
                <w:szCs w:val="21"/>
              </w:rPr>
              <w:t>用水取自山泉水，年用水量为</w:t>
            </w:r>
            <w:r>
              <w:rPr>
                <w:rFonts w:hint="eastAsia" w:ascii="Times New Roman" w:hAnsi="Times New Roman"/>
                <w:kern w:val="0"/>
                <w:szCs w:val="21"/>
                <w:lang w:eastAsia="zh-CN"/>
              </w:rPr>
              <w:t>10179</w:t>
            </w:r>
            <w:r>
              <w:rPr>
                <w:rFonts w:hint="default" w:ascii="Times New Roman" w:hAnsi="Times New Roman"/>
                <w:kern w:val="0"/>
                <w:szCs w:val="21"/>
              </w:rPr>
              <w:t>t。项目运行过程通过内部管理、设备选择、原辅材料的选用和管理、废物回收利用、污染治理等多方面采取合理可行的防治措施，以“节能、降耗、减污”为目标，有效的控制污染。项目用水用电量均较小，水、电等资源利用不会突破区域的资源利用上线</w:t>
            </w:r>
            <w:r>
              <w:rPr>
                <w:rFonts w:hint="default" w:ascii="Times New Roman" w:hAnsi="Times New Roman"/>
                <w:szCs w:val="22"/>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szCs w:val="22"/>
              </w:rPr>
            </w:pP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1.2.1.4生态环境准入清单</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1"/>
              </w:rPr>
            </w:pPr>
            <w:r>
              <w:rPr>
                <w:rFonts w:hint="default" w:ascii="Times New Roman" w:hAnsi="Times New Roman"/>
                <w:kern w:val="0"/>
                <w:szCs w:val="21"/>
              </w:rPr>
              <w:t>（1）</w:t>
            </w:r>
            <w:r>
              <w:rPr>
                <w:rFonts w:hint="eastAsia" w:ascii="Times New Roman" w:hAnsi="Times New Roman"/>
                <w:kern w:val="0"/>
                <w:szCs w:val="21"/>
              </w:rPr>
              <w:t>与三明市生态环境准入要求符合性分析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1"/>
              </w:rPr>
            </w:pPr>
            <w:r>
              <w:rPr>
                <w:rFonts w:hint="default" w:ascii="Times New Roman" w:hAnsi="Times New Roman"/>
                <w:kern w:val="0"/>
                <w:szCs w:val="21"/>
              </w:rPr>
              <w:t>根据《三明市“三线一单”生态环境分区管控方案》（明政〔2021〕4 号），本项目与三明市“三线一单”总体管控要求的符合性分析如下表所示：</w:t>
            </w:r>
          </w:p>
          <w:p>
            <w:pPr>
              <w:pStyle w:val="62"/>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imes New Roman" w:hAnsi="Times New Roman" w:eastAsiaTheme="minorEastAsia"/>
                <w:b/>
                <w:bCs/>
              </w:rPr>
            </w:pPr>
            <w:bookmarkStart w:id="4" w:name="_Ref100154861"/>
            <w:r>
              <w:rPr>
                <w:rFonts w:hint="default" w:ascii="Times New Roman" w:hAnsi="Times New Roman" w:eastAsiaTheme="minorEastAsia"/>
                <w:b/>
                <w:bCs/>
              </w:rPr>
              <w:t>表1.2-1 项目与三明市“三线一单</w:t>
            </w:r>
            <w:r>
              <w:rPr>
                <w:rFonts w:hint="default" w:ascii="Times New Roman" w:hAnsi="Times New Roman"/>
                <w:b/>
                <w:bCs/>
              </w:rPr>
              <w:t>”</w:t>
            </w:r>
            <w:r>
              <w:rPr>
                <w:rFonts w:hint="default" w:ascii="Times New Roman" w:hAnsi="Times New Roman" w:eastAsiaTheme="minorEastAsia"/>
                <w:b/>
                <w:bCs/>
              </w:rPr>
              <w:t>管控要求的符合性分析</w:t>
            </w:r>
            <w:bookmarkEnd w:id="4"/>
          </w:p>
          <w:tbl>
            <w:tblPr>
              <w:tblStyle w:val="25"/>
              <w:tblW w:w="80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9"/>
              <w:gridCol w:w="382"/>
              <w:gridCol w:w="5198"/>
              <w:gridCol w:w="1558"/>
              <w:gridCol w:w="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6" w:hRule="atLeast"/>
                <w:tblHeader/>
                <w:jc w:val="center"/>
              </w:trPr>
              <w:tc>
                <w:tcPr>
                  <w:tcW w:w="5849" w:type="dxa"/>
                  <w:gridSpan w:val="3"/>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b/>
                      <w:bCs/>
                      <w:sz w:val="18"/>
                      <w:szCs w:val="18"/>
                    </w:rPr>
                  </w:pPr>
                  <w:r>
                    <w:rPr>
                      <w:rFonts w:hint="default" w:ascii="Times New Roman" w:hAnsi="Times New Roman" w:eastAsiaTheme="minorEastAsia"/>
                      <w:b/>
                      <w:bCs/>
                      <w:sz w:val="18"/>
                      <w:szCs w:val="18"/>
                    </w:rPr>
                    <w:t>准入/管控要求</w:t>
                  </w:r>
                </w:p>
              </w:tc>
              <w:tc>
                <w:tcPr>
                  <w:tcW w:w="1558" w:type="dxa"/>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b/>
                      <w:bCs/>
                      <w:sz w:val="18"/>
                      <w:szCs w:val="18"/>
                    </w:rPr>
                  </w:pPr>
                  <w:r>
                    <w:rPr>
                      <w:rFonts w:hint="default" w:ascii="Times New Roman" w:hAnsi="Times New Roman" w:eastAsiaTheme="minorEastAsia"/>
                      <w:b/>
                      <w:bCs/>
                      <w:sz w:val="18"/>
                      <w:szCs w:val="18"/>
                    </w:rPr>
                    <w:t>本项目情况</w:t>
                  </w:r>
                </w:p>
              </w:tc>
              <w:tc>
                <w:tcPr>
                  <w:tcW w:w="613" w:type="dxa"/>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b/>
                      <w:bCs/>
                      <w:sz w:val="18"/>
                      <w:szCs w:val="18"/>
                    </w:rPr>
                  </w:pPr>
                  <w:r>
                    <w:rPr>
                      <w:rFonts w:hint="default" w:ascii="Times New Roman" w:hAnsi="Times New Roman" w:eastAsiaTheme="minorEastAsia"/>
                      <w:b/>
                      <w:bCs/>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85" w:hRule="atLeast"/>
                <w:jc w:val="center"/>
              </w:trPr>
              <w:tc>
                <w:tcPr>
                  <w:tcW w:w="269" w:type="dxa"/>
                  <w:vMerge w:val="restart"/>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三明市总体要求</w:t>
                  </w:r>
                </w:p>
              </w:tc>
              <w:tc>
                <w:tcPr>
                  <w:tcW w:w="382"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空间布局约束</w:t>
                  </w:r>
                </w:p>
              </w:tc>
              <w:tc>
                <w:tcPr>
                  <w:tcW w:w="5198" w:type="dxa"/>
                  <w:tcBorders>
                    <w:right w:val="single" w:color="auto" w:sz="2" w:space="0"/>
                  </w:tcBorders>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sz w:val="18"/>
                      <w:szCs w:val="18"/>
                    </w:rPr>
                  </w:pPr>
                  <w:r>
                    <w:rPr>
                      <w:rFonts w:hint="default" w:ascii="Times New Roman" w:hAnsi="Times New Roman"/>
                      <w:sz w:val="18"/>
                      <w:szCs w:val="18"/>
                    </w:rPr>
                    <w:t>1.氟化工产业应集中布局在三明市的吉口、黄砂、明溪、清流等符合产业布局的园区，在上述园区之外不再新建氟化工项目，园区之外现有氟化工项目不再扩大规模。</w:t>
                  </w:r>
                </w:p>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bCs/>
                      <w:sz w:val="18"/>
                      <w:szCs w:val="18"/>
                    </w:rPr>
                  </w:pPr>
                  <w:r>
                    <w:rPr>
                      <w:rFonts w:hint="default" w:ascii="Times New Roman" w:hAnsi="Times New Roman"/>
                      <w:sz w:val="18"/>
                      <w:szCs w:val="18"/>
                    </w:rPr>
                    <w:t>2.全市流域范围禁止新、扩建</w:t>
                  </w:r>
                  <w:r>
                    <w:rPr>
                      <w:rFonts w:hint="default" w:ascii="Times New Roman" w:hAnsi="Times New Roman"/>
                      <w:bCs/>
                      <w:sz w:val="18"/>
                      <w:szCs w:val="18"/>
                    </w:rPr>
                    <w:t>制革项目，严控新（扩）建植物制浆、印染项目。</w:t>
                  </w:r>
                </w:p>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sz w:val="18"/>
                      <w:szCs w:val="18"/>
                    </w:rPr>
                  </w:pPr>
                  <w:r>
                    <w:rPr>
                      <w:rFonts w:hint="default" w:ascii="Times New Roman" w:hAnsi="Times New Roman"/>
                      <w:sz w:val="18"/>
                      <w:szCs w:val="18"/>
                    </w:rPr>
                    <w:t>3.推进工业园区标准化创建，加快园区雨污水管系统、污水集中处理设施建设改造。高新技术开发区要严控高污染、高耗水、高排放企业入驻。省级以下工业园区要加快完善污水集中处理设施，实现污水集中处理，达标排放；尚未入驻企业的要同步规划建设污水集中处理设施，确保入驻工业企业投产前同步建成运行污水集中处理设施。</w:t>
                  </w:r>
                </w:p>
                <w:p>
                  <w:pPr>
                    <w:keepNext w:val="0"/>
                    <w:keepLines w:val="0"/>
                    <w:suppressLineNumbers w:val="0"/>
                    <w:spacing w:before="0" w:beforeAutospacing="0" w:after="0" w:afterAutospacing="0" w:line="240" w:lineRule="exact"/>
                    <w:ind w:left="0" w:right="0"/>
                    <w:rPr>
                      <w:rFonts w:hint="default" w:ascii="Times New Roman" w:hAnsi="Times New Roman" w:eastAsiaTheme="minorEastAsia"/>
                      <w:spacing w:val="-2"/>
                      <w:sz w:val="18"/>
                      <w:szCs w:val="18"/>
                    </w:rPr>
                  </w:pPr>
                  <w:r>
                    <w:rPr>
                      <w:rFonts w:hint="default" w:ascii="Times New Roman" w:hAnsi="Times New Roman"/>
                      <w:sz w:val="18"/>
                      <w:szCs w:val="18"/>
                    </w:rPr>
                    <w:t>4.严格控制氟化工行业低水平扩张，三明吉口循环经济产业园（除拟建的三化 5 万吨氢氟酸生产项目外）、黄砂新材料循环经济产业园、明溪县工业集中区、清流县氟新材料产业园原则上不再新建氢氟酸（企业下游深加工产品配套自用、电子级除外）、初级氟盐等产品项目；禁止建设非自用氯氟烃项目。清流县氟新材料产业园不再新增非原料自用的硫酸生产装置。</w:t>
                  </w:r>
                </w:p>
              </w:tc>
              <w:tc>
                <w:tcPr>
                  <w:tcW w:w="1558" w:type="dxa"/>
                  <w:tcMar>
                    <w:left w:w="28" w:type="dxa"/>
                    <w:right w:w="28" w:type="dxa"/>
                  </w:tcMar>
                  <w:vAlign w:val="center"/>
                </w:tcPr>
                <w:p>
                  <w:pPr>
                    <w:keepNext w:val="0"/>
                    <w:keepLines w:val="0"/>
                    <w:suppressLineNumbers w:val="0"/>
                    <w:spacing w:before="0" w:beforeAutospacing="0" w:after="0" w:afterAutospacing="0" w:line="240" w:lineRule="exact"/>
                    <w:ind w:left="0" w:right="0"/>
                    <w:rPr>
                      <w:rFonts w:hint="default" w:ascii="Times New Roman" w:hAnsi="Times New Roman" w:eastAsiaTheme="minorEastAsia"/>
                      <w:sz w:val="18"/>
                      <w:szCs w:val="18"/>
                    </w:rPr>
                  </w:pPr>
                  <w:r>
                    <w:rPr>
                      <w:rFonts w:hint="default" w:ascii="Times New Roman" w:hAnsi="Times New Roman" w:eastAsiaTheme="minorEastAsia"/>
                      <w:sz w:val="18"/>
                      <w:szCs w:val="18"/>
                    </w:rPr>
                    <w:t>项目为矿渣</w:t>
                  </w:r>
                  <w:r>
                    <w:rPr>
                      <w:rFonts w:hint="eastAsia" w:ascii="Times New Roman" w:hAnsi="Times New Roman" w:eastAsiaTheme="minorEastAsia"/>
                      <w:sz w:val="18"/>
                      <w:szCs w:val="18"/>
                    </w:rPr>
                    <w:t>石料</w:t>
                  </w:r>
                  <w:r>
                    <w:rPr>
                      <w:rFonts w:hint="default" w:ascii="Times New Roman" w:hAnsi="Times New Roman" w:eastAsiaTheme="minorEastAsia"/>
                      <w:sz w:val="18"/>
                      <w:szCs w:val="18"/>
                    </w:rPr>
                    <w:t>破碎项目，</w:t>
                  </w:r>
                  <w:r>
                    <w:rPr>
                      <w:rFonts w:hint="eastAsia" w:ascii="Times New Roman" w:hAnsi="Times New Roman"/>
                      <w:sz w:val="18"/>
                      <w:szCs w:val="18"/>
                    </w:rPr>
                    <w:t>不属于氟化工产业，不属于制革、制浆、印染项目；生产废水经“沉淀罐+沉淀池”处理后全部回用不外排</w:t>
                  </w:r>
                </w:p>
              </w:tc>
              <w:tc>
                <w:tcPr>
                  <w:tcW w:w="613" w:type="dxa"/>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sz w:val="18"/>
                      <w:szCs w:val="18"/>
                    </w:rPr>
                  </w:pPr>
                  <w:r>
                    <w:rPr>
                      <w:rFonts w:hint="default" w:ascii="Times New Roman" w:hAnsi="Times New Roman" w:eastAsiaTheme="minorEastAsia"/>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4" w:hRule="atLeast"/>
                <w:jc w:val="center"/>
              </w:trPr>
              <w:tc>
                <w:tcPr>
                  <w:tcW w:w="269" w:type="dxa"/>
                  <w:vMerge w:val="continue"/>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spacing w:val="-2"/>
                      <w:sz w:val="18"/>
                      <w:szCs w:val="18"/>
                    </w:rPr>
                  </w:pPr>
                </w:p>
              </w:tc>
              <w:tc>
                <w:tcPr>
                  <w:tcW w:w="382"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污染物排放管控</w:t>
                  </w:r>
                </w:p>
              </w:tc>
              <w:tc>
                <w:tcPr>
                  <w:tcW w:w="5198" w:type="dxa"/>
                  <w:tcBorders>
                    <w:right w:val="single" w:color="auto" w:sz="2" w:space="0"/>
                  </w:tcBorders>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sz w:val="18"/>
                      <w:szCs w:val="18"/>
                    </w:rPr>
                  </w:pPr>
                  <w:r>
                    <w:rPr>
                      <w:rFonts w:hint="default" w:ascii="Times New Roman" w:hAnsi="Times New Roman"/>
                      <w:sz w:val="18"/>
                      <w:szCs w:val="18"/>
                    </w:rPr>
                    <w:t>1.涉新增 VOCs 排放项目，VOCs 排放实行区域内等量替代。</w:t>
                  </w:r>
                </w:p>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sz w:val="18"/>
                      <w:szCs w:val="18"/>
                    </w:rPr>
                  </w:pPr>
                  <w:r>
                    <w:rPr>
                      <w:rFonts w:hint="default" w:ascii="Times New Roman" w:hAnsi="Times New Roman"/>
                      <w:sz w:val="18"/>
                      <w:szCs w:val="18"/>
                    </w:rPr>
                    <w:t>2.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sz w:val="18"/>
                      <w:szCs w:val="18"/>
                    </w:rPr>
                  </w:pPr>
                  <w:r>
                    <w:rPr>
                      <w:rFonts w:hint="default" w:ascii="Times New Roman" w:hAnsi="Times New Roman"/>
                      <w:sz w:val="18"/>
                      <w:szCs w:val="18"/>
                    </w:rPr>
                    <w:t>3.氟化工、印染、电镀等行业要实行水污染物特别排放限值。东牙溪水库、金湖汇水区域城镇污水处理设施全面达到一级 A 排放标准。</w:t>
                  </w:r>
                </w:p>
                <w:p>
                  <w:pPr>
                    <w:keepNext w:val="0"/>
                    <w:keepLines w:val="0"/>
                    <w:suppressLineNumbers w:val="0"/>
                    <w:spacing w:before="0" w:beforeAutospacing="0" w:after="0" w:afterAutospacing="0" w:line="240" w:lineRule="exact"/>
                    <w:ind w:left="0" w:right="0"/>
                    <w:rPr>
                      <w:rFonts w:hint="default" w:ascii="Times New Roman" w:hAnsi="Times New Roman" w:eastAsiaTheme="minorEastAsia"/>
                      <w:spacing w:val="-2"/>
                      <w:sz w:val="18"/>
                      <w:szCs w:val="18"/>
                    </w:rPr>
                  </w:pPr>
                  <w:r>
                    <w:rPr>
                      <w:rFonts w:hint="default" w:ascii="Times New Roman" w:hAnsi="Times New Roman"/>
                      <w:sz w:val="18"/>
                      <w:szCs w:val="18"/>
                    </w:rPr>
                    <w:t>4.按照《福建省生态环境厅关于铅锌矿产资源开发活动集中区域执行重点污染物特别排放限值的通告》，在三明市铅锌矿产资源开发活动集中区域（尤溪县、大田县）实行重点污染物特别排放限值。新、改扩建涉重金属重点行业建设项目必须遵循重点重金属污染物排放“减量置换”或“等量置换”的原则，原则上应在本区域内有明确具体的重金属污染物排放总量来源。</w:t>
                  </w:r>
                </w:p>
              </w:tc>
              <w:tc>
                <w:tcPr>
                  <w:tcW w:w="1558" w:type="dxa"/>
                  <w:tcMar>
                    <w:left w:w="28" w:type="dxa"/>
                    <w:right w:w="28" w:type="dxa"/>
                  </w:tcMar>
                  <w:vAlign w:val="center"/>
                </w:tcPr>
                <w:p>
                  <w:pPr>
                    <w:keepNext w:val="0"/>
                    <w:keepLines w:val="0"/>
                    <w:suppressLineNumbers w:val="0"/>
                    <w:spacing w:before="0" w:beforeAutospacing="0" w:after="0" w:afterAutospacing="0" w:line="240" w:lineRule="exact"/>
                    <w:ind w:left="0" w:right="0"/>
                    <w:rPr>
                      <w:rFonts w:hint="default" w:ascii="Times New Roman" w:hAnsi="Times New Roman" w:eastAsiaTheme="minorEastAsia"/>
                      <w:sz w:val="18"/>
                      <w:szCs w:val="18"/>
                    </w:rPr>
                  </w:pPr>
                  <w:r>
                    <w:rPr>
                      <w:rFonts w:hint="default" w:ascii="Times New Roman" w:hAnsi="Times New Roman" w:eastAsiaTheme="minorEastAsia"/>
                      <w:sz w:val="18"/>
                      <w:szCs w:val="18"/>
                    </w:rPr>
                    <w:t>项目不涉及VOCs排放；项目不属于钢铁、水泥、平板玻璃、有色金属冶炼、化工、氟化工、印染、电镀等工业项目；不属于铅锌矿产资源开发。</w:t>
                  </w:r>
                </w:p>
              </w:tc>
              <w:tc>
                <w:tcPr>
                  <w:tcW w:w="613" w:type="dxa"/>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Theme="minorEastAsia"/>
                      <w:sz w:val="18"/>
                      <w:szCs w:val="18"/>
                    </w:rPr>
                  </w:pPr>
                  <w:r>
                    <w:rPr>
                      <w:rFonts w:hint="default" w:ascii="Times New Roman" w:hAnsi="Times New Roman" w:eastAsiaTheme="minorEastAsia"/>
                      <w:sz w:val="18"/>
                      <w:szCs w:val="18"/>
                    </w:rPr>
                    <w:t>符合</w:t>
                  </w:r>
                </w:p>
              </w:tc>
            </w:tr>
          </w:tbl>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1"/>
              </w:rPr>
            </w:pPr>
            <w:r>
              <w:rPr>
                <w:rFonts w:hint="default" w:ascii="Times New Roman" w:hAnsi="Times New Roman"/>
                <w:kern w:val="0"/>
                <w:szCs w:val="21"/>
              </w:rPr>
              <w:t>（</w:t>
            </w:r>
            <w:r>
              <w:rPr>
                <w:rFonts w:hint="eastAsia" w:ascii="Times New Roman" w:hAnsi="Times New Roman"/>
                <w:kern w:val="0"/>
                <w:szCs w:val="21"/>
              </w:rPr>
              <w:t>2</w:t>
            </w:r>
            <w:r>
              <w:rPr>
                <w:rFonts w:hint="default" w:ascii="Times New Roman" w:hAnsi="Times New Roman"/>
                <w:kern w:val="0"/>
                <w:szCs w:val="21"/>
              </w:rPr>
              <w:t>）</w:t>
            </w:r>
            <w:r>
              <w:rPr>
                <w:rFonts w:hint="default" w:ascii="Times New Roman" w:hAnsi="Times New Roman" w:eastAsiaTheme="minorEastAsia"/>
              </w:rPr>
              <w:t>与</w:t>
            </w:r>
            <w:r>
              <w:rPr>
                <w:rFonts w:hint="eastAsia" w:ascii="Times New Roman" w:hAnsi="Times New Roman" w:eastAsiaTheme="minorEastAsia"/>
              </w:rPr>
              <w:t>大田县</w:t>
            </w:r>
            <w:r>
              <w:rPr>
                <w:rFonts w:hint="default" w:ascii="Times New Roman" w:hAnsi="Times New Roman" w:eastAsiaTheme="minorEastAsia"/>
              </w:rPr>
              <w:t>生态环境准入</w:t>
            </w:r>
            <w:r>
              <w:rPr>
                <w:rFonts w:hint="eastAsia" w:ascii="Times New Roman" w:hAnsi="Times New Roman" w:eastAsiaTheme="minorEastAsia"/>
              </w:rPr>
              <w:t>要求</w:t>
            </w:r>
            <w:r>
              <w:rPr>
                <w:rFonts w:hint="default" w:ascii="Times New Roman" w:hAnsi="Times New Roman" w:eastAsiaTheme="minorEastAsia"/>
              </w:rPr>
              <w:t>符合性分析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szCs w:val="28"/>
              </w:rPr>
            </w:pPr>
            <w:r>
              <w:rPr>
                <w:rFonts w:hint="default" w:ascii="Times New Roman" w:hAnsi="Times New Roman"/>
                <w:kern w:val="0"/>
                <w:szCs w:val="21"/>
              </w:rPr>
              <w:t>对照《三明市“三线一单”生态环境分区管控方案》附件9大田县生态环境准入清单，耀辉矿渣破碎设备提升技改项目位于福建省三明市大田县前坪乡下地村，为“大田县重点管控单元2”，</w:t>
            </w:r>
            <w:r>
              <w:rPr>
                <w:rFonts w:hint="default" w:ascii="Times New Roman" w:hAnsi="Times New Roman"/>
                <w:szCs w:val="28"/>
              </w:rPr>
              <w:t>项目符合相关管控要求，具体见下表1.2-2。</w:t>
            </w:r>
          </w:p>
          <w:p>
            <w:pPr>
              <w:pStyle w:val="2"/>
              <w:keepNext w:val="0"/>
              <w:keepLines w:val="0"/>
              <w:suppressLineNumbers w:val="0"/>
              <w:spacing w:before="0" w:beforeAutospacing="0" w:after="120" w:afterAutospacing="0"/>
              <w:ind w:leftChars="200" w:right="0"/>
              <w:rPr>
                <w:rFonts w:hint="default"/>
              </w:rPr>
            </w:pPr>
            <w:r>
              <w:rPr>
                <w:rFonts w:hint="default"/>
              </w:rPr>
              <w:t>表1.2-2 大田县</w:t>
            </w:r>
            <w:r>
              <w:rPr>
                <w:rFonts w:hint="eastAsia"/>
              </w:rPr>
              <w:t>生态环境准入</w:t>
            </w:r>
            <w:r>
              <w:rPr>
                <w:rFonts w:hint="default"/>
              </w:rPr>
              <w:t>要求符合性分析</w:t>
            </w:r>
          </w:p>
          <w:tbl>
            <w:tblPr>
              <w:tblStyle w:val="25"/>
              <w:tblW w:w="80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3"/>
              <w:gridCol w:w="821"/>
              <w:gridCol w:w="805"/>
              <w:gridCol w:w="3015"/>
              <w:gridCol w:w="1763"/>
              <w:gridCol w:w="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18"/>
                      <w:szCs w:val="18"/>
                    </w:rPr>
                  </w:pPr>
                  <w:r>
                    <w:rPr>
                      <w:rFonts w:hint="eastAsia" w:ascii="Times New Roman" w:hAnsi="Times New Roman" w:eastAsiaTheme="minorEastAsia"/>
                      <w:b/>
                      <w:bCs/>
                      <w:spacing w:val="-2"/>
                      <w:sz w:val="18"/>
                      <w:szCs w:val="18"/>
                    </w:rPr>
                    <w:t>管控单元类别</w:t>
                  </w:r>
                </w:p>
              </w:tc>
              <w:tc>
                <w:tcPr>
                  <w:tcW w:w="821"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18"/>
                      <w:szCs w:val="18"/>
                    </w:rPr>
                  </w:pPr>
                  <w:r>
                    <w:rPr>
                      <w:rFonts w:hint="eastAsia" w:ascii="Times New Roman" w:hAnsi="Times New Roman" w:eastAsiaTheme="minorEastAsia"/>
                      <w:b/>
                      <w:bCs/>
                      <w:spacing w:val="-2"/>
                      <w:sz w:val="18"/>
                      <w:szCs w:val="18"/>
                    </w:rPr>
                    <w:t>管控单元编码</w:t>
                  </w:r>
                </w:p>
              </w:tc>
              <w:tc>
                <w:tcPr>
                  <w:tcW w:w="3820" w:type="dxa"/>
                  <w:gridSpan w:val="2"/>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18"/>
                      <w:szCs w:val="18"/>
                    </w:rPr>
                  </w:pPr>
                  <w:r>
                    <w:rPr>
                      <w:rFonts w:hint="default" w:ascii="Times New Roman" w:hAnsi="Times New Roman" w:eastAsiaTheme="minorEastAsia"/>
                      <w:b/>
                      <w:bCs/>
                      <w:spacing w:val="-2"/>
                      <w:sz w:val="18"/>
                      <w:szCs w:val="18"/>
                    </w:rPr>
                    <w:t>准入/管控要求</w:t>
                  </w:r>
                </w:p>
              </w:tc>
              <w:tc>
                <w:tcPr>
                  <w:tcW w:w="176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18"/>
                      <w:szCs w:val="18"/>
                    </w:rPr>
                  </w:pPr>
                  <w:r>
                    <w:rPr>
                      <w:rFonts w:hint="default" w:ascii="Times New Roman" w:hAnsi="Times New Roman" w:eastAsiaTheme="minorEastAsia"/>
                      <w:b/>
                      <w:bCs/>
                      <w:spacing w:val="-2"/>
                      <w:sz w:val="18"/>
                      <w:szCs w:val="18"/>
                    </w:rPr>
                    <w:t>本项目情况</w:t>
                  </w:r>
                </w:p>
              </w:tc>
              <w:tc>
                <w:tcPr>
                  <w:tcW w:w="707"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18"/>
                      <w:szCs w:val="18"/>
                    </w:rPr>
                  </w:pPr>
                  <w:r>
                    <w:rPr>
                      <w:rFonts w:hint="default" w:ascii="Times New Roman" w:hAnsi="Times New Roman" w:eastAsiaTheme="minorEastAsia"/>
                      <w:b/>
                      <w:bCs/>
                      <w:spacing w:val="-2"/>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3" w:type="dxa"/>
                  <w:vMerge w:val="restar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spacing w:val="-2"/>
                      <w:sz w:val="18"/>
                      <w:szCs w:val="18"/>
                    </w:rPr>
                  </w:pPr>
                  <w:r>
                    <w:rPr>
                      <w:rFonts w:hint="default" w:ascii="Times New Roman" w:hAnsi="Times New Roman"/>
                      <w:kern w:val="0"/>
                      <w:sz w:val="18"/>
                      <w:szCs w:val="18"/>
                      <w:shd w:val="clear" w:color="auto" w:fill="FFFFFF"/>
                    </w:rPr>
                    <w:t>大田县重点管控单元</w:t>
                  </w:r>
                  <w:r>
                    <w:rPr>
                      <w:rFonts w:hint="eastAsia" w:ascii="Times New Roman" w:hAnsi="Times New Roman"/>
                      <w:kern w:val="0"/>
                      <w:sz w:val="18"/>
                      <w:szCs w:val="18"/>
                      <w:shd w:val="clear" w:color="auto" w:fill="FFFFFF"/>
                    </w:rPr>
                    <w:t>2</w:t>
                  </w:r>
                </w:p>
              </w:tc>
              <w:tc>
                <w:tcPr>
                  <w:tcW w:w="821" w:type="dxa"/>
                  <w:vMerge w:val="restar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r>
                    <w:rPr>
                      <w:rFonts w:hint="default" w:ascii="Times New Roman" w:hAnsi="Times New Roman"/>
                      <w:kern w:val="0"/>
                      <w:sz w:val="18"/>
                      <w:szCs w:val="18"/>
                      <w:shd w:val="clear" w:color="auto" w:fill="FFFFFF"/>
                    </w:rPr>
                    <w:t>ZH35042520005</w:t>
                  </w:r>
                </w:p>
              </w:tc>
              <w:tc>
                <w:tcPr>
                  <w:tcW w:w="805"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空间约束布局</w:t>
                  </w:r>
                </w:p>
              </w:tc>
              <w:tc>
                <w:tcPr>
                  <w:tcW w:w="3015" w:type="dxa"/>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1.严禁在人口聚集区新建涉及化学品和危险废物排放的项目，城市建成区内现有钢铁、有色金属、造纸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1763" w:type="dxa"/>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1.本项目</w:t>
                  </w:r>
                  <w:r>
                    <w:rPr>
                      <w:rFonts w:hint="eastAsia" w:ascii="Times New Roman" w:hAnsi="Times New Roman" w:eastAsiaTheme="minorEastAsia"/>
                      <w:spacing w:val="-2"/>
                      <w:sz w:val="18"/>
                      <w:szCs w:val="18"/>
                    </w:rPr>
                    <w:t>选址位于大田县前坪乡下地村</w:t>
                  </w:r>
                  <w:r>
                    <w:rPr>
                      <w:rFonts w:hint="default" w:ascii="Times New Roman" w:hAnsi="Times New Roman" w:eastAsiaTheme="minorEastAsia"/>
                      <w:spacing w:val="-2"/>
                      <w:sz w:val="18"/>
                      <w:szCs w:val="18"/>
                    </w:rPr>
                    <w:t>，不涉及化学品</w:t>
                  </w:r>
                  <w:r>
                    <w:rPr>
                      <w:rFonts w:hint="eastAsia" w:ascii="Times New Roman" w:hAnsi="Times New Roman" w:eastAsiaTheme="minorEastAsia"/>
                      <w:spacing w:val="-2"/>
                      <w:sz w:val="18"/>
                      <w:szCs w:val="18"/>
                    </w:rPr>
                    <w:t>和危险废物排放</w:t>
                  </w:r>
                  <w:r>
                    <w:rPr>
                      <w:rFonts w:hint="default" w:ascii="Times New Roman" w:hAnsi="Times New Roman" w:eastAsiaTheme="minorEastAsia"/>
                      <w:spacing w:val="-2"/>
                      <w:sz w:val="18"/>
                      <w:szCs w:val="18"/>
                    </w:rPr>
                    <w:t>；</w:t>
                  </w:r>
                </w:p>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2.项目不涉及</w:t>
                  </w:r>
                  <w:r>
                    <w:rPr>
                      <w:rFonts w:hint="eastAsia" w:ascii="Times New Roman" w:hAnsi="Times New Roman" w:eastAsiaTheme="minorEastAsia"/>
                      <w:spacing w:val="-2"/>
                      <w:sz w:val="18"/>
                      <w:szCs w:val="18"/>
                    </w:rPr>
                    <w:t>使用</w:t>
                  </w:r>
                  <w:r>
                    <w:rPr>
                      <w:rFonts w:hint="default" w:ascii="Times New Roman" w:hAnsi="Times New Roman" w:eastAsiaTheme="minorEastAsia"/>
                      <w:spacing w:val="-2"/>
                      <w:sz w:val="18"/>
                      <w:szCs w:val="18"/>
                    </w:rPr>
                    <w:t>高VOCs的溶剂；</w:t>
                  </w:r>
                </w:p>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3.项目</w:t>
                  </w:r>
                  <w:r>
                    <w:rPr>
                      <w:rFonts w:hint="eastAsia" w:ascii="Times New Roman" w:hAnsi="Times New Roman" w:eastAsiaTheme="minorEastAsia"/>
                      <w:spacing w:val="-2"/>
                      <w:sz w:val="18"/>
                      <w:szCs w:val="18"/>
                    </w:rPr>
                    <w:t>地块</w:t>
                  </w:r>
                  <w:r>
                    <w:rPr>
                      <w:rFonts w:hint="default" w:ascii="Times New Roman" w:hAnsi="Times New Roman" w:eastAsiaTheme="minorEastAsia"/>
                      <w:spacing w:val="-2"/>
                      <w:sz w:val="18"/>
                      <w:szCs w:val="18"/>
                    </w:rPr>
                    <w:t>不属于列入建设用地污染地块名录内</w:t>
                  </w:r>
                </w:p>
              </w:tc>
              <w:tc>
                <w:tcPr>
                  <w:tcW w:w="707"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p>
              </w:tc>
              <w:tc>
                <w:tcPr>
                  <w:tcW w:w="821" w:type="dxa"/>
                  <w:vMerge w:val="continue"/>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p>
              </w:tc>
              <w:tc>
                <w:tcPr>
                  <w:tcW w:w="805"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污染物排放管控</w:t>
                  </w:r>
                </w:p>
              </w:tc>
              <w:tc>
                <w:tcPr>
                  <w:tcW w:w="3015" w:type="dxa"/>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城市建成区的大气污染型工业企业的新增大气污染物（二氧化硫、氮氧化物）排放量，按不低于1.5倍调剂</w:t>
                  </w:r>
                </w:p>
              </w:tc>
              <w:tc>
                <w:tcPr>
                  <w:tcW w:w="1763" w:type="dxa"/>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项目不涉及二氧化硫、氮氧化物的排放。</w:t>
                  </w:r>
                </w:p>
              </w:tc>
              <w:tc>
                <w:tcPr>
                  <w:tcW w:w="707"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p>
              </w:tc>
              <w:tc>
                <w:tcPr>
                  <w:tcW w:w="821" w:type="dxa"/>
                  <w:vMerge w:val="continue"/>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p>
              </w:tc>
              <w:tc>
                <w:tcPr>
                  <w:tcW w:w="805"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环境风险防控</w:t>
                  </w:r>
                </w:p>
              </w:tc>
              <w:tc>
                <w:tcPr>
                  <w:tcW w:w="3015" w:type="dxa"/>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1763" w:type="dxa"/>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本项目不属于土壤污染重点监管单位</w:t>
                  </w:r>
                </w:p>
              </w:tc>
              <w:tc>
                <w:tcPr>
                  <w:tcW w:w="707"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18"/>
                      <w:szCs w:val="18"/>
                    </w:rPr>
                  </w:pPr>
                  <w:r>
                    <w:rPr>
                      <w:rFonts w:hint="default" w:ascii="Times New Roman" w:hAnsi="Times New Roman" w:eastAsiaTheme="minorEastAsia"/>
                      <w:spacing w:val="-2"/>
                      <w:sz w:val="18"/>
                      <w:szCs w:val="18"/>
                    </w:rPr>
                    <w:t>符合</w:t>
                  </w:r>
                </w:p>
              </w:tc>
            </w:tr>
          </w:tbl>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1"/>
              </w:rPr>
            </w:pPr>
            <w:r>
              <w:rPr>
                <w:rFonts w:hint="default" w:ascii="Times New Roman" w:hAnsi="Times New Roman"/>
                <w:kern w:val="0"/>
                <w:szCs w:val="21"/>
              </w:rPr>
              <w:t>综上，项目选址和建设符合“三线一单”</w:t>
            </w:r>
            <w:r>
              <w:rPr>
                <w:rFonts w:hint="eastAsia" w:ascii="Times New Roman" w:hAnsi="Times New Roman"/>
                <w:kern w:val="0"/>
                <w:szCs w:val="21"/>
              </w:rPr>
              <w:t>管控</w:t>
            </w:r>
            <w:r>
              <w:rPr>
                <w:rFonts w:hint="default" w:ascii="Times New Roman" w:hAnsi="Times New Roman"/>
                <w:kern w:val="0"/>
                <w:szCs w:val="21"/>
              </w:rPr>
              <w:t>要求。</w:t>
            </w:r>
          </w:p>
          <w:p>
            <w:pPr>
              <w:pStyle w:val="8"/>
              <w:numPr>
                <w:ilvl w:val="0"/>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1.2.2产业政策符合性分析</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对照国家《产业结构调整指导目录（2024年本）》，项目主要进行</w:t>
            </w:r>
            <w:r>
              <w:rPr>
                <w:rFonts w:hint="eastAsia" w:ascii="Times New Roman" w:hAnsi="Times New Roman"/>
              </w:rPr>
              <w:t>矿渣石料的</w:t>
            </w:r>
            <w:r>
              <w:rPr>
                <w:rFonts w:hint="default" w:ascii="Times New Roman" w:hAnsi="Times New Roman"/>
              </w:rPr>
              <w:t>破碎、筛分、清洗，所采用的设备、工艺和生产规模均不在淘汰类、限制类之列，符合国家当前产业政策。</w:t>
            </w:r>
            <w:r>
              <w:rPr>
                <w:rFonts w:hint="eastAsia" w:ascii="Times New Roman" w:hAnsi="Times New Roman"/>
              </w:rPr>
              <w:t>另外，</w:t>
            </w:r>
            <w:r>
              <w:rPr>
                <w:rFonts w:hint="default" w:ascii="Times New Roman" w:hAnsi="Times New Roman"/>
              </w:rPr>
              <w:t>项目通过</w:t>
            </w:r>
            <w:r>
              <w:rPr>
                <w:rFonts w:hint="default" w:ascii="Times New Roman" w:hAnsi="Times New Roman"/>
                <w:szCs w:val="21"/>
              </w:rPr>
              <w:t>大田县工业和信息化局</w:t>
            </w:r>
            <w:r>
              <w:rPr>
                <w:rFonts w:hint="default" w:ascii="Times New Roman" w:hAnsi="Times New Roman"/>
              </w:rPr>
              <w:t>备案（</w:t>
            </w:r>
            <w:r>
              <w:rPr>
                <w:rFonts w:hint="default" w:ascii="Times New Roman" w:hAnsi="Times New Roman"/>
                <w:szCs w:val="21"/>
              </w:rPr>
              <w:t>闽工信备[2022]G120010号</w:t>
            </w:r>
            <w:r>
              <w:rPr>
                <w:rFonts w:hint="default" w:ascii="Times New Roman" w:hAnsi="Times New Roman"/>
              </w:rPr>
              <w:t>）</w:t>
            </w:r>
            <w:r>
              <w:rPr>
                <w:rFonts w:hint="eastAsia" w:ascii="Times New Roman" w:hAnsi="Times New Roman"/>
              </w:rPr>
              <w:t>。</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eastAsia" w:ascii="Times New Roman" w:hAnsi="Times New Roman"/>
              </w:rPr>
              <w:t>因此，</w:t>
            </w:r>
            <w:r>
              <w:rPr>
                <w:rFonts w:hint="default" w:ascii="Times New Roman" w:hAnsi="Times New Roman"/>
              </w:rPr>
              <w:t>项目建设符合国家和地方相关产业的政策要求。</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p>
          <w:p>
            <w:pPr>
              <w:pStyle w:val="8"/>
              <w:numPr>
                <w:ilvl w:val="0"/>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3环保</w:t>
            </w:r>
            <w:r>
              <w:rPr>
                <w:rFonts w:hint="default" w:ascii="Times New Roman" w:hAnsi="Times New Roman"/>
              </w:rPr>
              <w:t>政策符合性分析</w:t>
            </w: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3</w:t>
            </w:r>
            <w:r>
              <w:rPr>
                <w:rFonts w:hint="default" w:ascii="Times New Roman" w:hAnsi="Times New Roman"/>
              </w:rPr>
              <w:t>.1与</w:t>
            </w:r>
            <w:r>
              <w:rPr>
                <w:rFonts w:hint="eastAsia" w:ascii="Times New Roman" w:hAnsi="Times New Roman"/>
              </w:rPr>
              <w:t>三明市大气污染防治行动计划实施细则</w:t>
            </w:r>
            <w:r>
              <w:rPr>
                <w:rFonts w:hint="default" w:ascii="Times New Roman" w:hAnsi="Times New Roman"/>
              </w:rPr>
              <w:t>符合性分析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对照《三明市大气污染防治行动计划实施细则》（明政办[2014]67号），项目符合《三明市大气污染防治行动计划实施细则》相关要求，符合性分析具体见下表。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rPr>
            </w:pPr>
            <w:r>
              <w:rPr>
                <w:rFonts w:hint="default"/>
              </w:rPr>
              <w:t>表1.</w:t>
            </w:r>
            <w:r>
              <w:rPr>
                <w:rFonts w:hint="eastAsia"/>
              </w:rPr>
              <w:t>2</w:t>
            </w:r>
            <w:r>
              <w:rPr>
                <w:rFonts w:hint="default"/>
              </w:rPr>
              <w:t>-</w:t>
            </w:r>
            <w:r>
              <w:rPr>
                <w:rFonts w:hint="eastAsia"/>
              </w:rPr>
              <w:t>3</w:t>
            </w:r>
            <w:r>
              <w:rPr>
                <w:rFonts w:hint="default"/>
              </w:rPr>
              <w:t xml:space="preserve"> </w:t>
            </w:r>
            <w:r>
              <w:rPr>
                <w:rFonts w:hint="eastAsia"/>
              </w:rPr>
              <w:t>与三明市大气污染防治行动计划实施细则符合性分析</w:t>
            </w:r>
          </w:p>
          <w:tbl>
            <w:tblPr>
              <w:tblStyle w:val="26"/>
              <w:tblW w:w="801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5123"/>
              <w:gridCol w:w="1432"/>
              <w:gridCol w:w="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tblHeader/>
              </w:trPr>
              <w:tc>
                <w:tcPr>
                  <w:tcW w:w="5761" w:type="dxa"/>
                  <w:gridSpan w:val="2"/>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21"/>
                      <w:szCs w:val="21"/>
                    </w:rPr>
                  </w:pPr>
                  <w:r>
                    <w:rPr>
                      <w:rFonts w:hint="eastAsia" w:ascii="Times New Roman" w:hAnsi="Times New Roman" w:eastAsiaTheme="minorEastAsia"/>
                      <w:b/>
                      <w:bCs/>
                      <w:spacing w:val="-2"/>
                      <w:sz w:val="21"/>
                      <w:szCs w:val="21"/>
                    </w:rPr>
                    <w:t>相关要求</w:t>
                  </w:r>
                </w:p>
              </w:tc>
              <w:tc>
                <w:tcPr>
                  <w:tcW w:w="1432"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21"/>
                      <w:szCs w:val="21"/>
                    </w:rPr>
                  </w:pPr>
                  <w:r>
                    <w:rPr>
                      <w:rFonts w:hint="eastAsia" w:ascii="Times New Roman" w:hAnsi="Times New Roman" w:eastAsiaTheme="minorEastAsia"/>
                      <w:b/>
                      <w:bCs/>
                      <w:spacing w:val="-2"/>
                      <w:sz w:val="21"/>
                      <w:szCs w:val="21"/>
                    </w:rPr>
                    <w:t>本项目</w:t>
                  </w:r>
                </w:p>
              </w:tc>
              <w:tc>
                <w:tcPr>
                  <w:tcW w:w="817"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21"/>
                      <w:szCs w:val="21"/>
                    </w:rPr>
                  </w:pPr>
                  <w:r>
                    <w:rPr>
                      <w:rFonts w:hint="eastAsia" w:ascii="Times New Roman" w:hAnsi="Times New Roman" w:eastAsiaTheme="minorEastAsia"/>
                      <w:b/>
                      <w:bCs/>
                      <w:spacing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38" w:type="dxa"/>
                  <w:vMerge w:val="restart"/>
                  <w:tcBorders>
                    <w:tl2br w:val="nil"/>
                    <w:tr2bl w:val="nil"/>
                  </w:tcBorders>
                  <w:vAlign w:val="center"/>
                </w:tcPr>
                <w:p>
                  <w:pPr>
                    <w:pStyle w:val="3"/>
                    <w:keepNext w:val="0"/>
                    <w:keepLines w:val="0"/>
                    <w:suppressLineNumbers w:val="0"/>
                    <w:spacing w:beforeAutospacing="0" w:afterAutospacing="0"/>
                    <w:ind w:left="0" w:firstLine="0" w:firstLineChars="0"/>
                    <w:jc w:val="center"/>
                    <w:rPr>
                      <w:rFonts w:hint="default"/>
                      <w:sz w:val="21"/>
                      <w:szCs w:val="21"/>
                    </w:rPr>
                  </w:pPr>
                  <w:r>
                    <w:rPr>
                      <w:rFonts w:hint="eastAsia" w:ascii="Times New Roman" w:hAnsi="Times New Roman" w:eastAsiaTheme="minorEastAsia"/>
                      <w:spacing w:val="-2"/>
                      <w:sz w:val="21"/>
                      <w:szCs w:val="21"/>
                    </w:rPr>
                    <w:t>加强工业企业大气污染综合治理</w:t>
                  </w:r>
                </w:p>
              </w:tc>
              <w:tc>
                <w:tcPr>
                  <w:tcW w:w="5123"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全面整治城市燃煤小锅炉。加快推进集中供热、“煤改气”、“煤改电”等清洁能源替代工程建设。到2017年，除必要保留外，各县（市、区）建成区基本淘汰每小时10蒸吨及以下的燃煤锅炉，禁止新建每小时20蒸吨以下的燃煤锅炉；其他地区原则上不再新建每小时10蒸吨以下的燃煤锅炉。</w:t>
                  </w:r>
                </w:p>
              </w:tc>
              <w:tc>
                <w:tcPr>
                  <w:tcW w:w="1432"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本项目使用的能源为电能，不涉及燃煤</w:t>
                  </w:r>
                </w:p>
              </w:tc>
              <w:tc>
                <w:tcPr>
                  <w:tcW w:w="817" w:type="dxa"/>
                  <w:tcBorders>
                    <w:tl2br w:val="nil"/>
                    <w:tr2bl w:val="nil"/>
                  </w:tcBorders>
                  <w:vAlign w:val="center"/>
                </w:tcPr>
                <w:p>
                  <w:pPr>
                    <w:keepNext w:val="0"/>
                    <w:keepLines w:val="0"/>
                    <w:suppressLineNumbers w:val="0"/>
                    <w:snapToGrid w:val="0"/>
                    <w:spacing w:before="0" w:beforeAutospacing="0" w:after="0" w:afterAutospacing="0" w:line="320" w:lineRule="exact"/>
                    <w:ind w:left="0" w:right="0"/>
                    <w:jc w:val="center"/>
                    <w:rPr>
                      <w:rFonts w:hint="default"/>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38" w:type="dxa"/>
                  <w:vMerge w:val="continue"/>
                  <w:tcBorders>
                    <w:tl2br w:val="nil"/>
                    <w:tr2bl w:val="nil"/>
                  </w:tcBorders>
                  <w:vAlign w:val="center"/>
                </w:tcPr>
                <w:p>
                  <w:pPr>
                    <w:pStyle w:val="3"/>
                    <w:keepNext w:val="0"/>
                    <w:keepLines w:val="0"/>
                    <w:suppressLineNumbers w:val="0"/>
                    <w:spacing w:beforeAutospacing="0" w:afterAutospacing="0"/>
                    <w:ind w:left="0" w:firstLine="240"/>
                    <w:jc w:val="center"/>
                    <w:rPr>
                      <w:rFonts w:hint="default"/>
                      <w:sz w:val="21"/>
                      <w:szCs w:val="21"/>
                    </w:rPr>
                  </w:pPr>
                </w:p>
              </w:tc>
              <w:tc>
                <w:tcPr>
                  <w:tcW w:w="5123"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淘汰分散型工业燃煤炉窑。在化工、印染、造纸、制革、制药等产业集聚区，通过集中建设热电联产机组或大型集中供热设施或实施清洁燃料替代工程，逐步淘汰分散燃煤炉窑。到2015年，基本淘汰燃煤炉窑集中区和工业园区内燃煤炉窑，确实无法淘汰的，必须按规范建设投运除尘、脱硫和脱硝设施，确保污染物稳定达标排放。新建建筑陶瓷业项目原则上使用天然气。尤溪、大田合成革集控区“煤改气”工程2015年全面完成。</w:t>
                  </w:r>
                </w:p>
              </w:tc>
              <w:tc>
                <w:tcPr>
                  <w:tcW w:w="1432" w:type="dxa"/>
                  <w:tcBorders>
                    <w:tl2br w:val="nil"/>
                    <w:tr2bl w:val="nil"/>
                  </w:tcBorders>
                </w:tcPr>
                <w:p>
                  <w:pPr>
                    <w:keepNext w:val="0"/>
                    <w:keepLines w:val="0"/>
                    <w:suppressLineNumbers w:val="0"/>
                    <w:snapToGrid w:val="0"/>
                    <w:spacing w:before="0" w:beforeAutospacing="0" w:after="0" w:afterAutospacing="0" w:line="320" w:lineRule="exact"/>
                    <w:ind w:left="0" w:right="0"/>
                    <w:rPr>
                      <w:rFonts w:hint="default"/>
                      <w:sz w:val="21"/>
                      <w:szCs w:val="21"/>
                    </w:rPr>
                  </w:pPr>
                  <w:r>
                    <w:rPr>
                      <w:rFonts w:hint="eastAsia"/>
                      <w:sz w:val="21"/>
                      <w:szCs w:val="21"/>
                    </w:rPr>
                    <w:t>本项目不涉及工业燃煤炉窑</w:t>
                  </w:r>
                </w:p>
              </w:tc>
              <w:tc>
                <w:tcPr>
                  <w:tcW w:w="817" w:type="dxa"/>
                  <w:tcBorders>
                    <w:tl2br w:val="nil"/>
                    <w:tr2bl w:val="nil"/>
                  </w:tcBorders>
                  <w:vAlign w:val="center"/>
                </w:tcPr>
                <w:p>
                  <w:pPr>
                    <w:keepNext w:val="0"/>
                    <w:keepLines w:val="0"/>
                    <w:suppressLineNumbers w:val="0"/>
                    <w:snapToGrid w:val="0"/>
                    <w:spacing w:before="0" w:beforeAutospacing="0" w:after="0" w:afterAutospacing="0" w:line="320" w:lineRule="exact"/>
                    <w:ind w:left="0" w:right="0"/>
                    <w:jc w:val="center"/>
                    <w:rPr>
                      <w:rFonts w:hint="default"/>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60" w:hRule="atLeast"/>
                <w:tblHeader/>
              </w:trPr>
              <w:tc>
                <w:tcPr>
                  <w:tcW w:w="638" w:type="dxa"/>
                  <w:vMerge w:val="continue"/>
                  <w:tcBorders>
                    <w:tl2br w:val="nil"/>
                    <w:tr2bl w:val="nil"/>
                  </w:tcBorders>
                  <w:vAlign w:val="center"/>
                </w:tcPr>
                <w:p>
                  <w:pPr>
                    <w:pStyle w:val="3"/>
                    <w:keepNext w:val="0"/>
                    <w:keepLines w:val="0"/>
                    <w:suppressLineNumbers w:val="0"/>
                    <w:spacing w:beforeAutospacing="0" w:afterAutospacing="0"/>
                    <w:ind w:left="0" w:firstLine="240"/>
                    <w:jc w:val="center"/>
                    <w:rPr>
                      <w:rFonts w:hint="default"/>
                      <w:sz w:val="21"/>
                      <w:szCs w:val="21"/>
                    </w:rPr>
                  </w:pPr>
                </w:p>
              </w:tc>
              <w:tc>
                <w:tcPr>
                  <w:tcW w:w="5123" w:type="dxa"/>
                  <w:tcBorders>
                    <w:tl2br w:val="nil"/>
                    <w:tr2bl w:val="nil"/>
                  </w:tcBorders>
                  <w:vAlign w:val="top"/>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深化二氧化硫污染治理。加强燃煤电厂（热电厂、企业自备电站）脱硫设施运行管理。采用循环流化床炉内脱硫的，应加快实施炉外脱硫技改；公用燃煤电厂综合脱硫效率应达到95%以上，其他采用湿法脱硫的燃煤电厂（热电厂、企业自备电站）综合脱硫效率应达到85%以上；钢铁烧结机、球团竖炉应全部建成投运脱硫设施或实施提效技改，综合脱硫效率达到80%以上；玻璃生产线、有色冶炼窑炉应进一步规范脱硫设施运行，综合脱硫效率达到80%以上。</w:t>
                  </w:r>
                </w:p>
              </w:tc>
              <w:tc>
                <w:tcPr>
                  <w:tcW w:w="1432" w:type="dxa"/>
                  <w:tcBorders>
                    <w:tl2br w:val="nil"/>
                    <w:tr2bl w:val="nil"/>
                  </w:tcBorders>
                </w:tcPr>
                <w:p>
                  <w:pPr>
                    <w:keepNext w:val="0"/>
                    <w:keepLines w:val="0"/>
                    <w:suppressLineNumbers w:val="0"/>
                    <w:snapToGrid w:val="0"/>
                    <w:spacing w:before="0" w:beforeAutospacing="0" w:after="0" w:afterAutospacing="0" w:line="320" w:lineRule="exact"/>
                    <w:ind w:left="0" w:right="0"/>
                    <w:rPr>
                      <w:rFonts w:hint="default"/>
                      <w:sz w:val="21"/>
                      <w:szCs w:val="21"/>
                    </w:rPr>
                  </w:pPr>
                  <w:r>
                    <w:rPr>
                      <w:rFonts w:hint="eastAsia"/>
                      <w:sz w:val="21"/>
                      <w:szCs w:val="21"/>
                    </w:rPr>
                    <w:t>本项目废气不涉及二氧化硫</w:t>
                  </w:r>
                </w:p>
              </w:tc>
              <w:tc>
                <w:tcPr>
                  <w:tcW w:w="817" w:type="dxa"/>
                  <w:tcBorders>
                    <w:tl2br w:val="nil"/>
                    <w:tr2bl w:val="nil"/>
                  </w:tcBorders>
                  <w:vAlign w:val="center"/>
                </w:tcPr>
                <w:p>
                  <w:pPr>
                    <w:keepNext w:val="0"/>
                    <w:keepLines w:val="0"/>
                    <w:suppressLineNumbers w:val="0"/>
                    <w:snapToGrid w:val="0"/>
                    <w:spacing w:before="0" w:beforeAutospacing="0" w:after="0" w:afterAutospacing="0" w:line="320" w:lineRule="exact"/>
                    <w:ind w:left="0" w:right="0"/>
                    <w:jc w:val="center"/>
                    <w:rPr>
                      <w:rFonts w:hint="default"/>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blHeader/>
              </w:trPr>
              <w:tc>
                <w:tcPr>
                  <w:tcW w:w="638" w:type="dxa"/>
                  <w:vMerge w:val="continue"/>
                  <w:tcBorders>
                    <w:tl2br w:val="nil"/>
                    <w:tr2bl w:val="nil"/>
                  </w:tcBorders>
                  <w:vAlign w:val="center"/>
                </w:tcPr>
                <w:p>
                  <w:pPr>
                    <w:pStyle w:val="3"/>
                    <w:keepNext w:val="0"/>
                    <w:keepLines w:val="0"/>
                    <w:suppressLineNumbers w:val="0"/>
                    <w:spacing w:beforeAutospacing="0" w:afterAutospacing="0"/>
                    <w:ind w:left="0" w:firstLine="240"/>
                    <w:jc w:val="center"/>
                    <w:rPr>
                      <w:rFonts w:hint="default"/>
                      <w:sz w:val="21"/>
                      <w:szCs w:val="21"/>
                    </w:rPr>
                  </w:pPr>
                </w:p>
              </w:tc>
              <w:tc>
                <w:tcPr>
                  <w:tcW w:w="5123" w:type="dxa"/>
                  <w:tcBorders>
                    <w:tl2br w:val="nil"/>
                    <w:tr2bl w:val="nil"/>
                  </w:tcBorders>
                  <w:vAlign w:val="center"/>
                </w:tcPr>
                <w:p>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cs="Times New Roman" w:eastAsiaTheme="minorEastAsia"/>
                      <w:b/>
                      <w:bCs/>
                      <w:spacing w:val="-2"/>
                      <w:kern w:val="2"/>
                      <w:sz w:val="21"/>
                      <w:szCs w:val="21"/>
                      <w:lang w:val="en-US" w:eastAsia="zh-CN" w:bidi="ar-SA"/>
                    </w:rPr>
                  </w:pPr>
                  <w:r>
                    <w:rPr>
                      <w:rFonts w:hint="eastAsia" w:ascii="Times New Roman" w:hAnsi="Times New Roman" w:eastAsiaTheme="minorEastAsia"/>
                      <w:b/>
                      <w:bCs/>
                      <w:spacing w:val="-2"/>
                      <w:sz w:val="21"/>
                      <w:szCs w:val="21"/>
                    </w:rPr>
                    <w:t>相关要求</w:t>
                  </w:r>
                </w:p>
              </w:tc>
              <w:tc>
                <w:tcPr>
                  <w:tcW w:w="1432" w:type="dxa"/>
                  <w:tcBorders>
                    <w:tl2br w:val="nil"/>
                    <w:tr2bl w:val="nil"/>
                  </w:tcBorders>
                  <w:vAlign w:val="center"/>
                </w:tcPr>
                <w:p>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cs="Times New Roman" w:eastAsiaTheme="minorEastAsia"/>
                      <w:b/>
                      <w:bCs/>
                      <w:spacing w:val="-2"/>
                      <w:kern w:val="2"/>
                      <w:sz w:val="21"/>
                      <w:szCs w:val="21"/>
                      <w:lang w:val="en-US" w:eastAsia="zh-CN" w:bidi="ar-SA"/>
                    </w:rPr>
                  </w:pPr>
                  <w:r>
                    <w:rPr>
                      <w:rFonts w:hint="eastAsia" w:ascii="Times New Roman" w:hAnsi="Times New Roman" w:eastAsiaTheme="minorEastAsia"/>
                      <w:b/>
                      <w:bCs/>
                      <w:spacing w:val="-2"/>
                      <w:sz w:val="21"/>
                      <w:szCs w:val="21"/>
                    </w:rPr>
                    <w:t>本项目</w:t>
                  </w:r>
                </w:p>
              </w:tc>
              <w:tc>
                <w:tcPr>
                  <w:tcW w:w="817" w:type="dxa"/>
                  <w:tcBorders>
                    <w:tl2br w:val="nil"/>
                    <w:tr2bl w:val="nil"/>
                  </w:tcBorders>
                  <w:vAlign w:val="center"/>
                </w:tcPr>
                <w:p>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cs="Times New Roman" w:eastAsiaTheme="minorEastAsia"/>
                      <w:b/>
                      <w:bCs/>
                      <w:spacing w:val="-2"/>
                      <w:kern w:val="2"/>
                      <w:sz w:val="21"/>
                      <w:szCs w:val="21"/>
                      <w:lang w:val="en-US" w:eastAsia="zh-CN" w:bidi="ar-SA"/>
                    </w:rPr>
                  </w:pPr>
                  <w:r>
                    <w:rPr>
                      <w:rFonts w:hint="eastAsia" w:ascii="Times New Roman" w:hAnsi="Times New Roman" w:eastAsiaTheme="minorEastAsia"/>
                      <w:b/>
                      <w:bCs/>
                      <w:spacing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38" w:type="dxa"/>
                  <w:vMerge w:val="continue"/>
                  <w:tcBorders>
                    <w:tl2br w:val="nil"/>
                    <w:tr2bl w:val="nil"/>
                  </w:tcBorders>
                  <w:vAlign w:val="center"/>
                </w:tcPr>
                <w:p>
                  <w:pPr>
                    <w:pStyle w:val="3"/>
                    <w:keepNext w:val="0"/>
                    <w:keepLines w:val="0"/>
                    <w:suppressLineNumbers w:val="0"/>
                    <w:spacing w:beforeAutospacing="0" w:afterAutospacing="0"/>
                    <w:ind w:left="0" w:firstLine="240"/>
                    <w:jc w:val="center"/>
                    <w:rPr>
                      <w:rFonts w:hint="default"/>
                      <w:sz w:val="21"/>
                      <w:szCs w:val="21"/>
                    </w:rPr>
                  </w:pPr>
                </w:p>
              </w:tc>
              <w:tc>
                <w:tcPr>
                  <w:tcW w:w="5123"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持续开展氮氧化物污染防治。已投运脱硝设施的燃煤电厂应进一步提高脱硝效率和投运率，综合脱硝效率达到70%以上，氮氧化物稳定达标排放；尚未全部建成脱硝设施的，要按规定时限建成投运。循环流化床电厂、热电厂、企业自备电站必须确保氮氧化物稳定达标排放；无法稳定达标的，必须实施低氮燃烧改造或建设脱硝设施。新型干法水泥生产线应严格执行《水泥工业大气污染物排放标准》（DB35/1311—2013），确保稳定达标排放。其中4000吨/日规模及以上的，综合脱硝效率应达到60%以上；4000吨/日规模以下的，综合脱硝效率应达到50%以上。玻璃企业生产线应规范运行管理，综合脱硝效率达到70%以上，氮氧化物排放确保达到《平板玻璃工业大气污染物排放标准》（GB26453—2011）要求。</w:t>
                  </w:r>
                </w:p>
              </w:tc>
              <w:tc>
                <w:tcPr>
                  <w:tcW w:w="1432" w:type="dxa"/>
                  <w:tcBorders>
                    <w:tl2br w:val="nil"/>
                    <w:tr2bl w:val="nil"/>
                  </w:tcBorders>
                </w:tcPr>
                <w:p>
                  <w:pPr>
                    <w:keepNext w:val="0"/>
                    <w:keepLines w:val="0"/>
                    <w:suppressLineNumbers w:val="0"/>
                    <w:snapToGrid w:val="0"/>
                    <w:spacing w:before="0" w:beforeAutospacing="0" w:after="0" w:afterAutospacing="0" w:line="320" w:lineRule="exact"/>
                    <w:ind w:left="0" w:right="0"/>
                    <w:rPr>
                      <w:rFonts w:hint="default"/>
                      <w:sz w:val="21"/>
                      <w:szCs w:val="21"/>
                    </w:rPr>
                  </w:pPr>
                  <w:r>
                    <w:rPr>
                      <w:rFonts w:hint="eastAsia"/>
                      <w:sz w:val="21"/>
                      <w:szCs w:val="21"/>
                    </w:rPr>
                    <w:t>本项目废气不涉及氮氧化物</w:t>
                  </w:r>
                </w:p>
              </w:tc>
              <w:tc>
                <w:tcPr>
                  <w:tcW w:w="817" w:type="dxa"/>
                  <w:tcBorders>
                    <w:tl2br w:val="nil"/>
                    <w:tr2bl w:val="nil"/>
                  </w:tcBorders>
                  <w:vAlign w:val="center"/>
                </w:tcPr>
                <w:p>
                  <w:pPr>
                    <w:keepNext w:val="0"/>
                    <w:keepLines w:val="0"/>
                    <w:suppressLineNumbers w:val="0"/>
                    <w:snapToGrid w:val="0"/>
                    <w:spacing w:before="0" w:beforeAutospacing="0" w:after="0" w:afterAutospacing="0" w:line="320" w:lineRule="exact"/>
                    <w:ind w:left="0" w:right="0"/>
                    <w:jc w:val="center"/>
                    <w:rPr>
                      <w:rFonts w:hint="default"/>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38" w:type="dxa"/>
                  <w:vMerge w:val="continue"/>
                  <w:tcBorders>
                    <w:tl2br w:val="nil"/>
                    <w:tr2bl w:val="nil"/>
                  </w:tcBorders>
                  <w:vAlign w:val="center"/>
                </w:tcPr>
                <w:p>
                  <w:pPr>
                    <w:pStyle w:val="3"/>
                    <w:keepNext w:val="0"/>
                    <w:keepLines w:val="0"/>
                    <w:suppressLineNumbers w:val="0"/>
                    <w:spacing w:beforeAutospacing="0" w:afterAutospacing="0"/>
                    <w:ind w:left="0" w:firstLine="240"/>
                    <w:jc w:val="center"/>
                    <w:rPr>
                      <w:rFonts w:hint="default"/>
                      <w:sz w:val="21"/>
                      <w:szCs w:val="21"/>
                    </w:rPr>
                  </w:pPr>
                </w:p>
              </w:tc>
              <w:tc>
                <w:tcPr>
                  <w:tcW w:w="5123"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强化工业烟粉尘治理。燃煤发电机组严格执行《火电厂大气污染物排放标准》（GB13223—2011），配套高效除尘设施；水泥窑及窑磨一体机、水泥企业破碎机、磨机、包装机、烘干机、烘干磨、煤磨机、冷却机、水泥仓及其他通风设备、现役烧结（球团）设备机头、燃煤工业锅炉、工业炉窑均应安装高效除尘设备，确保颗粒物达标排放。</w:t>
                  </w:r>
                </w:p>
              </w:tc>
              <w:tc>
                <w:tcPr>
                  <w:tcW w:w="1432" w:type="dxa"/>
                  <w:tcBorders>
                    <w:tl2br w:val="nil"/>
                    <w:tr2bl w:val="nil"/>
                  </w:tcBorders>
                </w:tcPr>
                <w:p>
                  <w:pPr>
                    <w:keepNext w:val="0"/>
                    <w:keepLines w:val="0"/>
                    <w:suppressLineNumbers w:val="0"/>
                    <w:spacing w:before="0" w:beforeAutospacing="0" w:after="0" w:afterAutospacing="0"/>
                    <w:ind w:left="0" w:right="0"/>
                    <w:rPr>
                      <w:rFonts w:hint="default"/>
                      <w:sz w:val="21"/>
                      <w:szCs w:val="21"/>
                    </w:rPr>
                  </w:pPr>
                  <w:r>
                    <w:rPr>
                      <w:rFonts w:hint="eastAsia"/>
                      <w:sz w:val="21"/>
                      <w:szCs w:val="21"/>
                    </w:rPr>
                    <w:t>本项目堆场采用喷雾抑尘、原料卸料过程采取洒水抑尘、破碎筛分过程采取水喷淋抑尘，可确保颗粒物达标排放</w:t>
                  </w:r>
                </w:p>
              </w:tc>
              <w:tc>
                <w:tcPr>
                  <w:tcW w:w="817" w:type="dxa"/>
                  <w:tcBorders>
                    <w:tl2br w:val="nil"/>
                    <w:tr2bl w:val="nil"/>
                  </w:tcBorders>
                  <w:vAlign w:val="center"/>
                </w:tcPr>
                <w:p>
                  <w:pPr>
                    <w:keepNext w:val="0"/>
                    <w:keepLines w:val="0"/>
                    <w:suppressLineNumbers w:val="0"/>
                    <w:snapToGrid w:val="0"/>
                    <w:spacing w:before="0" w:beforeAutospacing="0" w:after="0" w:afterAutospacing="0" w:line="320" w:lineRule="exact"/>
                    <w:ind w:left="0" w:right="0"/>
                    <w:jc w:val="center"/>
                    <w:rPr>
                      <w:rFonts w:hint="default"/>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38" w:type="dxa"/>
                  <w:vMerge w:val="continue"/>
                  <w:tcBorders>
                    <w:tl2br w:val="nil"/>
                    <w:tr2bl w:val="nil"/>
                  </w:tcBorders>
                  <w:vAlign w:val="center"/>
                </w:tcPr>
                <w:p>
                  <w:pPr>
                    <w:pStyle w:val="3"/>
                    <w:keepNext w:val="0"/>
                    <w:keepLines w:val="0"/>
                    <w:suppressLineNumbers w:val="0"/>
                    <w:spacing w:beforeAutospacing="0" w:afterAutospacing="0"/>
                    <w:ind w:left="0" w:firstLine="240"/>
                    <w:jc w:val="center"/>
                    <w:rPr>
                      <w:rFonts w:hint="default"/>
                      <w:sz w:val="21"/>
                      <w:szCs w:val="21"/>
                    </w:rPr>
                  </w:pPr>
                </w:p>
              </w:tc>
              <w:tc>
                <w:tcPr>
                  <w:tcW w:w="5123"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推进挥发性有机物综合治理。按照国家和省的部署，在包装印刷、表面涂装、有机化工等行业实施挥发性有机物综合整治；限时完成加油站、储油库、油罐车的油气回收治理；推广使用水性涂料，鼓励生产、销售和使用低毒、低挥发性有机溶剂。</w:t>
                  </w:r>
                </w:p>
              </w:tc>
              <w:tc>
                <w:tcPr>
                  <w:tcW w:w="1432" w:type="dxa"/>
                  <w:tcBorders>
                    <w:tl2br w:val="nil"/>
                    <w:tr2bl w:val="nil"/>
                  </w:tcBorders>
                </w:tcPr>
                <w:p>
                  <w:pPr>
                    <w:keepNext w:val="0"/>
                    <w:keepLines w:val="0"/>
                    <w:suppressLineNumbers w:val="0"/>
                    <w:snapToGrid w:val="0"/>
                    <w:spacing w:before="0" w:beforeAutospacing="0" w:after="0" w:afterAutospacing="0" w:line="320" w:lineRule="exact"/>
                    <w:ind w:left="0" w:right="0"/>
                    <w:rPr>
                      <w:rFonts w:hint="default"/>
                      <w:sz w:val="21"/>
                      <w:szCs w:val="21"/>
                    </w:rPr>
                  </w:pPr>
                  <w:r>
                    <w:rPr>
                      <w:rFonts w:hint="eastAsia"/>
                      <w:sz w:val="21"/>
                      <w:szCs w:val="21"/>
                    </w:rPr>
                    <w:t>本项目不涉及挥发性有机物</w:t>
                  </w:r>
                </w:p>
              </w:tc>
              <w:tc>
                <w:tcPr>
                  <w:tcW w:w="817" w:type="dxa"/>
                  <w:tcBorders>
                    <w:tl2br w:val="nil"/>
                    <w:tr2bl w:val="nil"/>
                  </w:tcBorders>
                  <w:vAlign w:val="center"/>
                </w:tcPr>
                <w:p>
                  <w:pPr>
                    <w:keepNext w:val="0"/>
                    <w:keepLines w:val="0"/>
                    <w:suppressLineNumbers w:val="0"/>
                    <w:snapToGrid w:val="0"/>
                    <w:spacing w:before="0" w:beforeAutospacing="0" w:after="0" w:afterAutospacing="0" w:line="320" w:lineRule="exact"/>
                    <w:ind w:left="0" w:right="0"/>
                    <w:jc w:val="center"/>
                    <w:rPr>
                      <w:rFonts w:hint="default"/>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trPr>
              <w:tc>
                <w:tcPr>
                  <w:tcW w:w="638" w:type="dxa"/>
                  <w:vMerge w:val="restart"/>
                  <w:tcBorders>
                    <w:tl2br w:val="nil"/>
                    <w:tr2bl w:val="nil"/>
                  </w:tcBorders>
                  <w:vAlign w:val="center"/>
                </w:tcPr>
                <w:p>
                  <w:pPr>
                    <w:pStyle w:val="3"/>
                    <w:keepNext w:val="0"/>
                    <w:keepLines w:val="0"/>
                    <w:suppressLineNumbers w:val="0"/>
                    <w:spacing w:beforeAutospacing="0" w:afterAutospacing="0"/>
                    <w:ind w:left="0" w:firstLine="0" w:firstLineChars="0"/>
                    <w:jc w:val="center"/>
                    <w:rPr>
                      <w:rFonts w:hint="default"/>
                      <w:sz w:val="21"/>
                      <w:szCs w:val="21"/>
                    </w:rPr>
                  </w:pPr>
                  <w:r>
                    <w:rPr>
                      <w:rFonts w:hint="eastAsia" w:ascii="Times New Roman" w:hAnsi="Times New Roman" w:eastAsiaTheme="minorEastAsia"/>
                      <w:spacing w:val="-2"/>
                      <w:sz w:val="21"/>
                      <w:szCs w:val="21"/>
                    </w:rPr>
                    <w:t>深化面源污染治理</w:t>
                  </w:r>
                </w:p>
              </w:tc>
              <w:tc>
                <w:tcPr>
                  <w:tcW w:w="5123"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强化施工扬尘监管。住房和城乡建设部门要加强房屋建筑和市政基础设施工程施工现场扬尘监管，积极推进绿色施工。施工现场应全封闭设置围挡，严禁敞开式作业，并采取防止扬尘措施，施工现场道路及材料加工区应进行地面硬化。</w:t>
                  </w:r>
                </w:p>
              </w:tc>
              <w:tc>
                <w:tcPr>
                  <w:tcW w:w="1432"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本项目施工过程中采取围挡、洒水降尘等防治措施及管理措施</w:t>
                  </w:r>
                </w:p>
              </w:tc>
              <w:tc>
                <w:tcPr>
                  <w:tcW w:w="817" w:type="dxa"/>
                  <w:tcBorders>
                    <w:tl2br w:val="nil"/>
                    <w:tr2bl w:val="nil"/>
                  </w:tcBorders>
                  <w:vAlign w:val="center"/>
                </w:tcPr>
                <w:p>
                  <w:pPr>
                    <w:keepNext w:val="0"/>
                    <w:keepLines w:val="0"/>
                    <w:suppressLineNumbers w:val="0"/>
                    <w:tabs>
                      <w:tab w:val="left" w:pos="695"/>
                    </w:tabs>
                    <w:snapToGrid w:val="0"/>
                    <w:spacing w:before="0" w:beforeAutospacing="0" w:after="0" w:afterAutospacing="0" w:line="320" w:lineRule="exact"/>
                    <w:ind w:left="0" w:right="0"/>
                    <w:jc w:val="center"/>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38" w:type="dxa"/>
                  <w:vMerge w:val="continue"/>
                  <w:tcBorders>
                    <w:tl2br w:val="nil"/>
                    <w:tr2bl w:val="nil"/>
                  </w:tcBorders>
                </w:tcPr>
                <w:p>
                  <w:pPr>
                    <w:pStyle w:val="3"/>
                    <w:keepNext w:val="0"/>
                    <w:keepLines w:val="0"/>
                    <w:suppressLineNumbers w:val="0"/>
                    <w:spacing w:beforeAutospacing="0" w:afterAutospacing="0"/>
                    <w:ind w:left="0" w:firstLine="240"/>
                    <w:rPr>
                      <w:rFonts w:hint="default"/>
                      <w:sz w:val="21"/>
                      <w:szCs w:val="21"/>
                    </w:rPr>
                  </w:pPr>
                </w:p>
              </w:tc>
              <w:tc>
                <w:tcPr>
                  <w:tcW w:w="5123"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推进堆场扬尘综合治理。加强煤堆、料堆监督管理，所有露天堆放的煤堆、料堆场2015年底前全部采取覆盖或建设自动喷淋装置等防风抑尘设施，电厂的煤堆、料堆应安装视频监控设施，并与城市扬尘视频监控平台联网。</w:t>
                  </w:r>
                </w:p>
              </w:tc>
              <w:tc>
                <w:tcPr>
                  <w:tcW w:w="1432" w:type="dxa"/>
                  <w:tcBorders>
                    <w:tl2br w:val="nil"/>
                    <w:tr2bl w:val="nil"/>
                  </w:tcBorders>
                </w:tcPr>
                <w:p>
                  <w:pPr>
                    <w:keepNext w:val="0"/>
                    <w:keepLines w:val="0"/>
                    <w:suppressLineNumbers w:val="0"/>
                    <w:tabs>
                      <w:tab w:val="left" w:pos="695"/>
                    </w:tabs>
                    <w:snapToGrid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本项目的原料、成品堆场均采用洒水抑尘措施</w:t>
                  </w:r>
                </w:p>
              </w:tc>
              <w:tc>
                <w:tcPr>
                  <w:tcW w:w="817" w:type="dxa"/>
                  <w:tcBorders>
                    <w:tl2br w:val="nil"/>
                    <w:tr2bl w:val="nil"/>
                  </w:tcBorders>
                  <w:vAlign w:val="center"/>
                </w:tcPr>
                <w:p>
                  <w:pPr>
                    <w:keepNext w:val="0"/>
                    <w:keepLines w:val="0"/>
                    <w:suppressLineNumbers w:val="0"/>
                    <w:tabs>
                      <w:tab w:val="left" w:pos="695"/>
                    </w:tabs>
                    <w:snapToGrid w:val="0"/>
                    <w:spacing w:before="0" w:beforeAutospacing="0" w:after="0" w:afterAutospacing="0" w:line="320" w:lineRule="exact"/>
                    <w:ind w:left="0" w:right="0"/>
                    <w:jc w:val="center"/>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符合</w:t>
                  </w:r>
                </w:p>
              </w:tc>
            </w:tr>
          </w:tbl>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3</w:t>
            </w:r>
            <w:r>
              <w:rPr>
                <w:rFonts w:hint="default" w:ascii="Times New Roman" w:hAnsi="Times New Roman"/>
              </w:rPr>
              <w:t>.</w:t>
            </w:r>
            <w:r>
              <w:rPr>
                <w:rFonts w:hint="eastAsia" w:ascii="Times New Roman" w:hAnsi="Times New Roman"/>
              </w:rPr>
              <w:t>2</w:t>
            </w:r>
            <w:r>
              <w:rPr>
                <w:rFonts w:hint="default" w:ascii="Times New Roman" w:hAnsi="Times New Roman"/>
              </w:rPr>
              <w:t>与</w:t>
            </w:r>
            <w:r>
              <w:rPr>
                <w:rFonts w:hint="eastAsia" w:ascii="Times New Roman" w:hAnsi="Times New Roman"/>
              </w:rPr>
              <w:t>三明市水污染防治行动计划</w:t>
            </w:r>
            <w:r>
              <w:rPr>
                <w:rFonts w:hint="default" w:ascii="Times New Roman" w:hAnsi="Times New Roman"/>
              </w:rPr>
              <w:t>符合性分析</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ascii="Times New Roman" w:hAnsi="Times New Roman"/>
              </w:rPr>
              <w:t>对照《三明市水污染防治行动计划》（明政文[2016]40号），项目符合《三明市水污染防治行动计划实施细则》相关要求，符合性分析具体见下表。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Calibri" w:hAnsi="Calibri" w:eastAsia="宋体"/>
                <w:b/>
                <w:bCs/>
                <w:kern w:val="2"/>
                <w:sz w:val="24"/>
                <w:szCs w:val="24"/>
                <w:lang w:val="en-US" w:eastAsia="zh-CN" w:bidi="ar-SA"/>
              </w:rPr>
            </w:pPr>
            <w:r>
              <w:rPr>
                <w:rFonts w:hint="default" w:ascii="Calibri" w:hAnsi="Calibri" w:eastAsia="宋体"/>
                <w:b/>
                <w:bCs/>
                <w:kern w:val="2"/>
                <w:sz w:val="24"/>
                <w:szCs w:val="24"/>
                <w:lang w:val="en-US" w:eastAsia="zh-CN" w:bidi="ar-SA"/>
              </w:rPr>
              <w:t>表1.</w:t>
            </w:r>
            <w:r>
              <w:rPr>
                <w:rFonts w:hint="eastAsia" w:ascii="Calibri" w:hAnsi="Calibri" w:eastAsia="宋体"/>
                <w:b/>
                <w:bCs/>
                <w:kern w:val="2"/>
                <w:sz w:val="24"/>
                <w:szCs w:val="24"/>
                <w:lang w:val="en-US" w:eastAsia="zh-CN" w:bidi="ar-SA"/>
              </w:rPr>
              <w:t>2</w:t>
            </w:r>
            <w:r>
              <w:rPr>
                <w:rFonts w:hint="default" w:ascii="Calibri" w:hAnsi="Calibri" w:eastAsia="宋体"/>
                <w:b/>
                <w:bCs/>
                <w:kern w:val="2"/>
                <w:sz w:val="24"/>
                <w:szCs w:val="24"/>
                <w:lang w:val="en-US" w:eastAsia="zh-CN" w:bidi="ar-SA"/>
              </w:rPr>
              <w:t>-</w:t>
            </w:r>
            <w:r>
              <w:rPr>
                <w:rFonts w:hint="eastAsia" w:ascii="Calibri" w:hAnsi="Calibri" w:eastAsia="宋体"/>
                <w:b/>
                <w:bCs/>
                <w:kern w:val="2"/>
                <w:sz w:val="24"/>
                <w:szCs w:val="24"/>
                <w:lang w:val="en-US" w:eastAsia="zh-CN" w:bidi="ar-SA"/>
              </w:rPr>
              <w:t>4</w:t>
            </w:r>
            <w:r>
              <w:rPr>
                <w:rFonts w:hint="default" w:ascii="Calibri" w:hAnsi="Calibri" w:eastAsia="宋体"/>
                <w:b/>
                <w:bCs/>
                <w:kern w:val="2"/>
                <w:sz w:val="24"/>
                <w:szCs w:val="24"/>
                <w:lang w:val="en-US" w:eastAsia="zh-CN" w:bidi="ar-SA"/>
              </w:rPr>
              <w:t xml:space="preserve"> </w:t>
            </w:r>
            <w:r>
              <w:rPr>
                <w:rFonts w:hint="eastAsia" w:ascii="Calibri" w:hAnsi="Calibri" w:eastAsia="宋体"/>
                <w:b/>
                <w:bCs/>
                <w:kern w:val="2"/>
                <w:sz w:val="24"/>
                <w:szCs w:val="24"/>
                <w:lang w:val="en-US" w:eastAsia="zh-CN" w:bidi="ar-SA"/>
              </w:rPr>
              <w:t>与三明市水污染防治行动计划符合性分析</w:t>
            </w:r>
          </w:p>
          <w:tbl>
            <w:tblPr>
              <w:tblStyle w:val="25"/>
              <w:tblW w:w="80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9"/>
              <w:gridCol w:w="2258"/>
              <w:gridCol w:w="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9" w:type="dxa"/>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21"/>
                      <w:szCs w:val="21"/>
                    </w:rPr>
                  </w:pPr>
                  <w:r>
                    <w:rPr>
                      <w:rFonts w:hint="eastAsia" w:ascii="Times New Roman" w:hAnsi="Times New Roman" w:eastAsiaTheme="minorEastAsia"/>
                      <w:b/>
                      <w:bCs/>
                      <w:spacing w:val="-2"/>
                      <w:sz w:val="21"/>
                      <w:szCs w:val="21"/>
                    </w:rPr>
                    <w:t>相关</w:t>
                  </w:r>
                  <w:r>
                    <w:rPr>
                      <w:rFonts w:hint="default" w:ascii="Times New Roman" w:hAnsi="Times New Roman" w:eastAsiaTheme="minorEastAsia"/>
                      <w:b/>
                      <w:bCs/>
                      <w:spacing w:val="-2"/>
                      <w:sz w:val="21"/>
                      <w:szCs w:val="21"/>
                    </w:rPr>
                    <w:t>要求</w:t>
                  </w:r>
                </w:p>
              </w:tc>
              <w:tc>
                <w:tcPr>
                  <w:tcW w:w="2258"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21"/>
                      <w:szCs w:val="21"/>
                    </w:rPr>
                  </w:pPr>
                  <w:r>
                    <w:rPr>
                      <w:rFonts w:hint="default" w:ascii="Times New Roman" w:hAnsi="Times New Roman" w:eastAsiaTheme="minorEastAsia"/>
                      <w:b/>
                      <w:bCs/>
                      <w:spacing w:val="-2"/>
                      <w:sz w:val="21"/>
                      <w:szCs w:val="21"/>
                    </w:rPr>
                    <w:t>本项目情况</w:t>
                  </w:r>
                </w:p>
              </w:tc>
              <w:tc>
                <w:tcPr>
                  <w:tcW w:w="87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b/>
                      <w:bCs/>
                      <w:spacing w:val="-2"/>
                      <w:sz w:val="21"/>
                      <w:szCs w:val="21"/>
                    </w:rPr>
                  </w:pPr>
                  <w:r>
                    <w:rPr>
                      <w:rFonts w:hint="default" w:ascii="Times New Roman" w:hAnsi="Times New Roman" w:eastAsiaTheme="minorEastAsia"/>
                      <w:b/>
                      <w:bCs/>
                      <w:spacing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9"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取缔“十小”企业。全面排查装备水平低、环保设施差的小型工业企业。2016年底前，按照水污染防治法律法规要求，全部取缔不符合产业政策的小型造纸、印染、染料、炼焦、炼硫、炼砷、炼油、电镀、农药等严重污染水环境的生产项目。</w:t>
                  </w:r>
                </w:p>
              </w:tc>
              <w:tc>
                <w:tcPr>
                  <w:tcW w:w="2258"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本项目不属于“十小”企业</w:t>
                  </w:r>
                </w:p>
              </w:tc>
              <w:tc>
                <w:tcPr>
                  <w:tcW w:w="87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9"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专项整治十大重点行业。推进造纸、焦化、氮肥、有色金属、印染、农副食品加工、原料药制造、农药、电镀等十大重点行业专项治理，实施清洁化改造。新建、改建、扩建十大重点行业建设项目的，实行主要污染物排放等量或减量置换。</w:t>
                  </w:r>
                </w:p>
              </w:tc>
              <w:tc>
                <w:tcPr>
                  <w:tcW w:w="2258"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color w:val="auto"/>
                      <w:spacing w:val="-2"/>
                      <w:sz w:val="21"/>
                      <w:szCs w:val="21"/>
                    </w:rPr>
                  </w:pPr>
                  <w:r>
                    <w:rPr>
                      <w:rFonts w:hint="eastAsia" w:ascii="Times New Roman" w:hAnsi="Times New Roman" w:eastAsiaTheme="minorEastAsia"/>
                      <w:color w:val="auto"/>
                      <w:spacing w:val="-2"/>
                      <w:sz w:val="21"/>
                      <w:szCs w:val="21"/>
                    </w:rPr>
                    <w:t>本项目行业类别为</w:t>
                  </w:r>
                  <w:r>
                    <w:rPr>
                      <w:rFonts w:hint="eastAsia" w:ascii="Times New Roman" w:hAnsi="Times New Roman" w:eastAsiaTheme="minorEastAsia"/>
                      <w:color w:val="auto"/>
                      <w:spacing w:val="-2"/>
                      <w:sz w:val="21"/>
                      <w:szCs w:val="21"/>
                      <w:lang w:val="en-US" w:eastAsia="zh-CN"/>
                    </w:rPr>
                    <w:t>其他建筑材料</w:t>
                  </w:r>
                  <w:r>
                    <w:rPr>
                      <w:rFonts w:hint="eastAsia" w:ascii="Times New Roman" w:hAnsi="Times New Roman" w:eastAsiaTheme="minorEastAsia"/>
                      <w:color w:val="auto"/>
                      <w:spacing w:val="-2"/>
                      <w:sz w:val="21"/>
                      <w:szCs w:val="21"/>
                    </w:rPr>
                    <w:t>制造，不属于造纸、焦化、氮肥等专项整治十大重点行业</w:t>
                  </w:r>
                </w:p>
              </w:tc>
              <w:tc>
                <w:tcPr>
                  <w:tcW w:w="87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9"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持续整治矿山采选行业。沙溪、金溪、尤溪流域干流、一级支流、饮用水源沿岸一重山范围内禁止新设立矿业权，该区域内及流域所有无证、非法采矿予以取缔。现有建筑饰面石材集中加工区域应建成污水集中处理设施，配套污水管网和水回用系统，实现循环使用。现有零散分布的建筑饰面石材企业应严格执行环保相关要求，达标排放，并实施差别电价政策，促进零散企业尽快搬入集中区。现有国家严格控制的重金属采选企业要于2015年底前完善废水治理设施，选矿废水全部循环利用，逾期未完成的，予以关停整顿。尤溪、大田县要开展铅锌矿业污染专项整治，方案报省环保厅、市环保局备案，并于2016年底前完成整治任务。</w:t>
                  </w:r>
                </w:p>
              </w:tc>
              <w:tc>
                <w:tcPr>
                  <w:tcW w:w="2258"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color w:val="auto"/>
                      <w:spacing w:val="-2"/>
                      <w:sz w:val="21"/>
                      <w:szCs w:val="21"/>
                    </w:rPr>
                  </w:pPr>
                  <w:r>
                    <w:rPr>
                      <w:rFonts w:hint="eastAsia" w:ascii="Times New Roman" w:hAnsi="Times New Roman" w:eastAsiaTheme="minorEastAsia"/>
                      <w:color w:val="auto"/>
                      <w:spacing w:val="-2"/>
                      <w:sz w:val="21"/>
                      <w:szCs w:val="21"/>
                    </w:rPr>
                    <w:t>本项目行业类别为</w:t>
                  </w:r>
                  <w:r>
                    <w:rPr>
                      <w:rFonts w:hint="eastAsia" w:ascii="Times New Roman" w:hAnsi="Times New Roman" w:eastAsiaTheme="minorEastAsia"/>
                      <w:color w:val="auto"/>
                      <w:spacing w:val="-2"/>
                      <w:sz w:val="21"/>
                      <w:szCs w:val="21"/>
                      <w:lang w:val="en-US" w:eastAsia="zh-CN"/>
                    </w:rPr>
                    <w:t>其他建筑材料</w:t>
                  </w:r>
                  <w:r>
                    <w:rPr>
                      <w:rFonts w:hint="eastAsia" w:ascii="Times New Roman" w:hAnsi="Times New Roman" w:eastAsiaTheme="minorEastAsia"/>
                      <w:color w:val="auto"/>
                      <w:spacing w:val="-2"/>
                      <w:sz w:val="21"/>
                      <w:szCs w:val="21"/>
                    </w:rPr>
                    <w:t>制造，不属于矿山采选行业</w:t>
                  </w:r>
                </w:p>
              </w:tc>
              <w:tc>
                <w:tcPr>
                  <w:tcW w:w="87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9"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集中治理工业集聚区水污染。推进印染行业集控区水污染集中治理，新建企业必须全部进入相应行业的集控区，实施“以大带小”、“以新带老”，坚持主要污染物排放量“等量置换”或“减量置换”原则，实现主要污染物排放零增长；区内所有企业必须全面实现废水分流分治、深度处理，含重金属废水必须进行预处理，达到车间排放标准；所有集控区应同步建成污水集中处理设施并安装自动在线监控装置，否则一律不准生产。</w:t>
                  </w:r>
                </w:p>
              </w:tc>
              <w:tc>
                <w:tcPr>
                  <w:tcW w:w="2258"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本项目生产废水主要为洗砂废水，主要污染因子为悬浮物，经管道收集进入沉淀罐、沉淀池处理后回用</w:t>
                  </w:r>
                </w:p>
              </w:tc>
              <w:tc>
                <w:tcPr>
                  <w:tcW w:w="87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Theme="minorEastAsia"/>
                      <w:spacing w:val="-2"/>
                      <w:sz w:val="21"/>
                      <w:szCs w:val="21"/>
                    </w:rPr>
                  </w:pPr>
                  <w:r>
                    <w:rPr>
                      <w:rFonts w:hint="eastAsia" w:ascii="Times New Roman" w:hAnsi="Times New Roman" w:eastAsiaTheme="minorEastAsia"/>
                      <w:spacing w:val="-2"/>
                      <w:sz w:val="21"/>
                      <w:szCs w:val="21"/>
                    </w:rPr>
                    <w:t>符合</w:t>
                  </w:r>
                </w:p>
              </w:tc>
            </w:tr>
          </w:tbl>
          <w:p>
            <w:pPr>
              <w:pStyle w:val="9"/>
              <w:numPr>
                <w:ilvl w:val="3"/>
                <w:numId w:val="0"/>
              </w:numPr>
              <w:suppressLineNumbers w:val="0"/>
              <w:spacing w:before="0" w:beforeAutospacing="0" w:after="0" w:afterAutospacing="0" w:line="440" w:lineRule="exact"/>
              <w:ind w:left="0" w:right="0"/>
              <w:rPr>
                <w:rFonts w:hint="default" w:ascii="Times New Roman" w:hAnsi="Times New Roman"/>
              </w:rPr>
            </w:pP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3</w:t>
            </w:r>
            <w:r>
              <w:rPr>
                <w:rFonts w:hint="default" w:ascii="Times New Roman" w:hAnsi="Times New Roman"/>
              </w:rPr>
              <w:t>.</w:t>
            </w:r>
            <w:r>
              <w:rPr>
                <w:rFonts w:hint="eastAsia" w:ascii="Times New Roman" w:hAnsi="Times New Roman"/>
              </w:rPr>
              <w:t>3</w:t>
            </w:r>
            <w:r>
              <w:rPr>
                <w:rFonts w:hint="eastAsia"/>
              </w:rPr>
              <w:t>与《福建省保障建设用砂规范发展指导意见》</w:t>
            </w:r>
            <w:r>
              <w:rPr>
                <w:rFonts w:hint="default"/>
              </w:rPr>
              <w:t>符合性分析</w:t>
            </w:r>
          </w:p>
          <w:p>
            <w:pPr>
              <w:pStyle w:val="41"/>
              <w:keepNext w:val="0"/>
              <w:keepLines w:val="0"/>
              <w:suppressLineNumbers w:val="0"/>
              <w:spacing w:before="0" w:beforeAutospacing="0" w:after="0" w:afterAutospacing="0" w:line="440" w:lineRule="exact"/>
              <w:ind w:left="0" w:right="0" w:firstLine="480"/>
              <w:rPr>
                <w:rFonts w:hint="default"/>
              </w:rPr>
            </w:pPr>
            <w:r>
              <w:rPr>
                <w:rFonts w:hint="eastAsia"/>
              </w:rPr>
              <w:t>根据福建省人民政府办公厅转发省住建厅等八部门关于《福建省保障建设用砂规范发展指导意见》的通知(闽政办(2019)41号)可知，我省鼓励砂料资源回收利用，鼓励利用废弃土石方生产机制砂，鼓励一般固体垃圾资源化利用。本项目利用矿区矿渣石料进行碎石(含机制砂)的生产，符合用砂规范发展指导意见的要求。</w:t>
            </w:r>
          </w:p>
          <w:p>
            <w:pPr>
              <w:pStyle w:val="8"/>
              <w:numPr>
                <w:ilvl w:val="0"/>
                <w:numId w:val="0"/>
              </w:numPr>
              <w:suppressLineNumbers w:val="0"/>
              <w:spacing w:before="0" w:beforeAutospacing="0" w:after="0" w:afterAutospacing="0" w:line="440" w:lineRule="exact"/>
              <w:ind w:left="0" w:right="0"/>
              <w:rPr>
                <w:rFonts w:hint="default"/>
              </w:rPr>
            </w:pPr>
            <w:r>
              <w:rPr>
                <w:rFonts w:hint="default" w:ascii="Times New Roman" w:hAnsi="Times New Roman"/>
              </w:rPr>
              <w:t>1.2.</w:t>
            </w:r>
            <w:r>
              <w:rPr>
                <w:rFonts w:hint="eastAsia" w:ascii="Times New Roman" w:hAnsi="Times New Roman"/>
              </w:rPr>
              <w:t>3</w:t>
            </w:r>
            <w:r>
              <w:rPr>
                <w:rFonts w:hint="default" w:ascii="Times New Roman" w:hAnsi="Times New Roman"/>
              </w:rPr>
              <w:t>.</w:t>
            </w:r>
            <w:r>
              <w:rPr>
                <w:rFonts w:hint="eastAsia" w:ascii="Times New Roman" w:hAnsi="Times New Roman"/>
              </w:rPr>
              <w:t>4</w:t>
            </w:r>
            <w:r>
              <w:rPr>
                <w:rFonts w:hint="eastAsia"/>
              </w:rPr>
              <w:t>与《关于在全省推广应用机制砂的通知》符合性分析</w:t>
            </w:r>
          </w:p>
          <w:p>
            <w:pPr>
              <w:pStyle w:val="41"/>
              <w:keepNext w:val="0"/>
              <w:keepLines w:val="0"/>
              <w:suppressLineNumbers w:val="0"/>
              <w:spacing w:before="0" w:beforeAutospacing="0" w:after="0" w:afterAutospacing="0" w:line="440" w:lineRule="exact"/>
              <w:ind w:left="0" w:right="0" w:firstLine="480"/>
              <w:rPr>
                <w:rFonts w:hint="default"/>
              </w:rPr>
            </w:pPr>
            <w:r>
              <w:rPr>
                <w:rFonts w:hint="eastAsia"/>
              </w:rPr>
              <w:t>根据《关于在全省推广应用机制砂的通知》闽建建[2014]7号文，规定企业生产设备应具备年生产机制砂50万立方米以上的能力，对综合利用尾矿、废矿石、工业和建筑等废弃物生产机制砂的项目，其生产能力要求可适当放宽。</w:t>
            </w:r>
          </w:p>
          <w:p>
            <w:pPr>
              <w:pStyle w:val="41"/>
              <w:keepNext w:val="0"/>
              <w:keepLines w:val="0"/>
              <w:suppressLineNumbers w:val="0"/>
              <w:spacing w:before="0" w:beforeAutospacing="0" w:after="0" w:afterAutospacing="0" w:line="440" w:lineRule="exact"/>
              <w:ind w:left="0" w:right="0" w:firstLine="480"/>
              <w:rPr>
                <w:rFonts w:hint="default"/>
              </w:rPr>
            </w:pPr>
            <w:r>
              <w:rPr>
                <w:rFonts w:hint="eastAsia"/>
              </w:rPr>
              <w:t>根据大田县人民政府会议纪要（[2020]60号，附件五），“广建环保科技矿业与工业固体废物资源化再利用项目”属于大田县2020年的重大招商引资项目。鉴于大田县耀辉矿渣破碎加工厂（以下简称耀辉加工厂）处于福建省广建环保科技有限公司（以下简称广建公司）拟建红线范围内，原则上同意耀辉矿渣破碎加工厂整体就近搬迁，并做好该项目迁建相关环评手续。耀辉加工厂为积极配合政府推进广建环保科技矿业与工业固体废物资源化再利用项目的建设，对厂区整体就近搬迁。</w:t>
            </w:r>
          </w:p>
          <w:p>
            <w:pPr>
              <w:pStyle w:val="41"/>
              <w:keepNext w:val="0"/>
              <w:keepLines w:val="0"/>
              <w:suppressLineNumbers w:val="0"/>
              <w:spacing w:before="0" w:beforeAutospacing="0" w:after="0" w:afterAutospacing="0" w:line="440" w:lineRule="exact"/>
              <w:ind w:left="0" w:right="0" w:firstLine="480"/>
              <w:rPr>
                <w:rFonts w:hint="default"/>
              </w:rPr>
            </w:pPr>
            <w:r>
              <w:rPr>
                <w:rFonts w:hint="eastAsia"/>
              </w:rPr>
              <w:t>耀辉加工厂搬迁前位于</w:t>
            </w:r>
            <w:r>
              <w:rPr>
                <w:rFonts w:hint="default"/>
              </w:rPr>
              <w:fldChar w:fldCharType="begin"/>
            </w:r>
            <w:r>
              <w:rPr>
                <w:rFonts w:hint="default"/>
              </w:rPr>
              <w:instrText xml:space="preserve"> REF 建设地点 \h  \* MERGEFORMAT </w:instrText>
            </w:r>
            <w:r>
              <w:rPr>
                <w:rFonts w:hint="default"/>
              </w:rPr>
              <w:fldChar w:fldCharType="separate"/>
            </w:r>
            <w:r>
              <w:rPr>
                <w:rFonts w:hint="default"/>
              </w:rPr>
              <w:t>大田县前坪乡</w:t>
            </w:r>
            <w:r>
              <w:rPr>
                <w:rFonts w:hint="default"/>
              </w:rPr>
              <w:fldChar w:fldCharType="end"/>
            </w:r>
            <w:r>
              <w:rPr>
                <w:rFonts w:hint="eastAsia"/>
              </w:rPr>
              <w:t>下地村石克盂，就近搬迁后的厂址为</w:t>
            </w:r>
            <w:r>
              <w:rPr>
                <w:rFonts w:hint="default"/>
              </w:rPr>
              <w:fldChar w:fldCharType="begin"/>
            </w:r>
            <w:r>
              <w:rPr>
                <w:rFonts w:hint="default"/>
              </w:rPr>
              <w:instrText xml:space="preserve"> REF 建设地点 \h  \* MERGEFORMAT </w:instrText>
            </w:r>
            <w:r>
              <w:rPr>
                <w:rFonts w:hint="default"/>
              </w:rPr>
              <w:fldChar w:fldCharType="separate"/>
            </w:r>
            <w:r>
              <w:rPr>
                <w:rFonts w:hint="default"/>
              </w:rPr>
              <w:t>大田县前坪乡</w:t>
            </w:r>
            <w:r>
              <w:rPr>
                <w:rFonts w:hint="default"/>
              </w:rPr>
              <w:fldChar w:fldCharType="end"/>
            </w:r>
            <w:r>
              <w:rPr>
                <w:rFonts w:hint="eastAsia"/>
              </w:rPr>
              <w:t>下地村石克盂（下地坑），迁建后的厂址位于迁建前厂址东北侧约210m处。耀辉加工厂建厂初期委托编制了</w:t>
            </w:r>
            <w:r>
              <w:rPr>
                <w:rFonts w:hint="eastAsia" w:ascii="Times New Roman" w:hAnsi="Times New Roman"/>
              </w:rPr>
              <w:t>《耀辉矿渣破碎</w:t>
            </w:r>
            <w:r>
              <w:rPr>
                <w:rFonts w:hint="default" w:ascii="Times New Roman" w:hAnsi="Times New Roman"/>
              </w:rPr>
              <w:t>建设项目</w:t>
            </w:r>
            <w:r>
              <w:rPr>
                <w:rFonts w:hint="eastAsia" w:ascii="Times New Roman" w:hAnsi="Times New Roman"/>
              </w:rPr>
              <w:t>环境影响报告表》并</w:t>
            </w:r>
            <w:r>
              <w:rPr>
                <w:rFonts w:hint="eastAsia"/>
              </w:rPr>
              <w:t>通过环保部门审批</w:t>
            </w:r>
            <w:r>
              <w:rPr>
                <w:rFonts w:hint="eastAsia" w:ascii="Times New Roman" w:hAnsi="Times New Roman"/>
              </w:rPr>
              <w:t>，批复规模为年破碎矿渣石料20万吨，随后</w:t>
            </w:r>
            <w:r>
              <w:rPr>
                <w:rFonts w:hint="eastAsia"/>
              </w:rPr>
              <w:t>耀辉加工厂投入生产建设，后因政府要求而整体项目就近搬迁。本项目是利用矿渣石料（废矿石）生产机制砂的项目，根据政府要求整体搬迁，生产规模维持原有规模不变（</w:t>
            </w:r>
            <w:r>
              <w:rPr>
                <w:rFonts w:hint="eastAsia" w:ascii="Times New Roman" w:hAnsi="Times New Roman"/>
              </w:rPr>
              <w:t>仍为</w:t>
            </w:r>
            <w:r>
              <w:rPr>
                <w:rFonts w:hint="eastAsia"/>
              </w:rPr>
              <w:t>年产机制砂20万吨），符合闽建建[2014]7号文中“对综合利用废矿石等废弃物生产机制砂的项目生产能力要求可适当放宽”的规定。</w:t>
            </w:r>
          </w:p>
          <w:p>
            <w:pPr>
              <w:pStyle w:val="9"/>
              <w:numPr>
                <w:ilvl w:val="3"/>
                <w:numId w:val="0"/>
              </w:numPr>
              <w:suppressLineNumbers w:val="0"/>
              <w:spacing w:before="0" w:beforeAutospacing="0" w:after="0" w:afterAutospacing="0" w:line="440" w:lineRule="exact"/>
              <w:ind w:left="0" w:right="0" w:firstLine="480" w:firstLineChars="200"/>
              <w:rPr>
                <w:rFonts w:hint="default" w:ascii="Calibri" w:hAnsi="Calibri" w:eastAsia="宋体"/>
                <w:b w:val="0"/>
                <w:bCs w:val="0"/>
                <w:szCs w:val="24"/>
              </w:rPr>
            </w:pPr>
            <w:r>
              <w:rPr>
                <w:rFonts w:hint="eastAsia" w:ascii="Calibri" w:hAnsi="Calibri" w:eastAsia="宋体"/>
                <w:b w:val="0"/>
                <w:bCs w:val="0"/>
                <w:szCs w:val="24"/>
              </w:rPr>
              <w:t>本项目拟用矿山企业矿渣石料生产机制砂，通过购买先进设备，在封闭厂房内进行生产，不露天作业，并在各产尘点配套建设相应的喷淋除尘、抑尘设施。对原料及成品堆放配套建设“三防”设施，生产过程中产生的生产废水经处理后循环使用，不外排，废水治理产生的污泥存放于暂存池，定期外售用于制砖。故本项目建设符合福建省住房和城乡建设厅等6部门《关于在全省推广应用机制砂的通知》(闽建建〔2014〕7号)中关于机制砂生产环境保护的要求。</w:t>
            </w:r>
          </w:p>
          <w:p>
            <w:pPr>
              <w:pStyle w:val="9"/>
              <w:numPr>
                <w:ilvl w:val="3"/>
                <w:numId w:val="0"/>
              </w:numPr>
              <w:suppressLineNumbers w:val="0"/>
              <w:spacing w:before="0" w:beforeAutospacing="0" w:after="0" w:afterAutospacing="0" w:line="440" w:lineRule="exact"/>
              <w:ind w:left="0" w:right="0" w:firstLine="480" w:firstLineChars="200"/>
              <w:rPr>
                <w:rFonts w:hint="default" w:ascii="Calibri" w:hAnsi="Calibri" w:eastAsia="宋体"/>
                <w:b w:val="0"/>
                <w:bCs w:val="0"/>
                <w:szCs w:val="24"/>
              </w:rPr>
            </w:pPr>
            <w:r>
              <w:rPr>
                <w:rFonts w:hint="default" w:ascii="Calibri" w:hAnsi="Calibri" w:eastAsia="宋体"/>
                <w:b w:val="0"/>
                <w:bCs w:val="0"/>
                <w:szCs w:val="24"/>
              </w:rPr>
              <w:t>综上分析，本项目建设符合</w:t>
            </w:r>
            <w:r>
              <w:rPr>
                <w:rFonts w:hint="eastAsia" w:ascii="Calibri" w:hAnsi="Calibri" w:eastAsia="宋体"/>
                <w:b w:val="0"/>
                <w:bCs w:val="0"/>
                <w:szCs w:val="24"/>
              </w:rPr>
              <w:t>闽建建[2014]7号文的要求。</w:t>
            </w:r>
          </w:p>
          <w:p>
            <w:pPr>
              <w:pStyle w:val="8"/>
              <w:numPr>
                <w:ilvl w:val="0"/>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4</w:t>
            </w:r>
            <w:r>
              <w:rPr>
                <w:rFonts w:hint="default" w:ascii="Times New Roman" w:hAnsi="Times New Roman"/>
              </w:rPr>
              <w:t>选址合理性分析</w:t>
            </w: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4</w:t>
            </w:r>
            <w:r>
              <w:rPr>
                <w:rFonts w:hint="default" w:ascii="Times New Roman" w:hAnsi="Times New Roman"/>
              </w:rPr>
              <w:t>.1与大田县前坪乡土地利用规划符合性分析</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本项目位于大田县前坪乡下地村石克盂，根据大田县自然资源局出具的《大田县前坪乡土地利用总体规划图》(附图</w:t>
            </w:r>
            <w:r>
              <w:rPr>
                <w:rFonts w:hint="eastAsia" w:ascii="Times New Roman" w:hAnsi="Times New Roman"/>
              </w:rPr>
              <w:t>10</w:t>
            </w:r>
            <w:r>
              <w:rPr>
                <w:rFonts w:hint="default" w:ascii="Times New Roman" w:hAnsi="Times New Roman"/>
              </w:rPr>
              <w:t>)，属于允许建设区，符合大田县前坪乡土地利用总体规划。</w:t>
            </w: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4</w:t>
            </w:r>
            <w:r>
              <w:rPr>
                <w:rFonts w:hint="default" w:ascii="Times New Roman" w:hAnsi="Times New Roman"/>
              </w:rPr>
              <w:t>.2与大田县生态功能区划的符合性分析</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根据《大田县生态功能区划图》（见</w:t>
            </w:r>
            <w:r>
              <w:rPr>
                <w:rFonts w:hint="default" w:ascii="Times New Roman" w:hAnsi="Times New Roman"/>
              </w:rPr>
              <w:fldChar w:fldCharType="begin"/>
            </w:r>
            <w:r>
              <w:rPr>
                <w:rFonts w:hint="default" w:ascii="Times New Roman" w:hAnsi="Times New Roman"/>
              </w:rPr>
              <w:instrText xml:space="preserve"> REF _Ref54351948 \r \h  \* MERGEFORMAT </w:instrText>
            </w:r>
            <w:r>
              <w:rPr>
                <w:rFonts w:hint="default" w:ascii="Times New Roman" w:hAnsi="Times New Roman"/>
              </w:rPr>
              <w:fldChar w:fldCharType="separate"/>
            </w:r>
            <w:r>
              <w:rPr>
                <w:rFonts w:hint="default" w:ascii="Times New Roman" w:hAnsi="Times New Roman"/>
              </w:rPr>
              <w:t>附图2</w:t>
            </w:r>
            <w:r>
              <w:rPr>
                <w:rFonts w:hint="default" w:ascii="Times New Roman" w:hAnsi="Times New Roman"/>
              </w:rPr>
              <w:fldChar w:fldCharType="end"/>
            </w:r>
            <w:r>
              <w:rPr>
                <w:rFonts w:hint="default" w:ascii="Times New Roman" w:hAnsi="Times New Roman"/>
              </w:rPr>
              <w:t>），项目所处区域属大田县北部中部中低山丘陵矿山恢复与水土保持生态功能小区（230542501），其主导功能分别为：矿山生态恢复、水土保持，辅助功能：河流集水地的水源保护；生态保育和建设方向：重点为加强矿区周围地表植被恢复、治理和控制水泥厂的粉尘污染，减少由矿产开发而造成的地质灾害；对山地进行封育保护，加强对现有生态公益林及自然保护小区的管理，加强山地水土流失地区的植被建设，对小区内的水库、电站、交通干线及其周边环境进行综合治理。</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本项目</w:t>
            </w:r>
            <w:r>
              <w:rPr>
                <w:rFonts w:hint="eastAsia" w:ascii="Times New Roman" w:hAnsi="Times New Roman"/>
              </w:rPr>
              <w:t>租用下地村相关用地（含厂房），无新增开发用地，施工期不会造成生态破坏、水土流失。项目对矿渣</w:t>
            </w:r>
            <w:r>
              <w:rPr>
                <w:rFonts w:hint="default" w:ascii="Times New Roman" w:hAnsi="Times New Roman"/>
              </w:rPr>
              <w:t>石料</w:t>
            </w:r>
            <w:r>
              <w:rPr>
                <w:rFonts w:hint="eastAsia" w:ascii="Times New Roman" w:hAnsi="Times New Roman"/>
              </w:rPr>
              <w:t>加工破碎生产砂石</w:t>
            </w:r>
            <w:r>
              <w:rPr>
                <w:rFonts w:hint="default" w:ascii="Times New Roman" w:hAnsi="Times New Roman"/>
              </w:rPr>
              <w:t>，</w:t>
            </w:r>
            <w:r>
              <w:rPr>
                <w:rFonts w:hint="eastAsia" w:ascii="Times New Roman" w:hAnsi="Times New Roman"/>
              </w:rPr>
              <w:t>原料、产品装卸过程中采取降低高差、洒水等措施抑尘、</w:t>
            </w:r>
            <w:r>
              <w:rPr>
                <w:rFonts w:hint="default" w:ascii="Times New Roman" w:hAnsi="Times New Roman"/>
              </w:rPr>
              <w:t>砂石加工过程配备</w:t>
            </w:r>
            <w:r>
              <w:rPr>
                <w:rFonts w:hint="eastAsia" w:ascii="Times New Roman" w:hAnsi="Times New Roman"/>
              </w:rPr>
              <w:t>水喷淋</w:t>
            </w:r>
            <w:r>
              <w:rPr>
                <w:rFonts w:hint="default" w:ascii="Times New Roman" w:hAnsi="Times New Roman"/>
              </w:rPr>
              <w:t>降尘措施；</w:t>
            </w:r>
            <w:r>
              <w:rPr>
                <w:rFonts w:hint="eastAsia" w:ascii="Times New Roman" w:hAnsi="Times New Roman"/>
              </w:rPr>
              <w:t>洗砂石废水</w:t>
            </w:r>
            <w:r>
              <w:rPr>
                <w:rFonts w:hint="default" w:ascii="Times New Roman" w:hAnsi="Times New Roman"/>
              </w:rPr>
              <w:t>经</w:t>
            </w:r>
            <w:r>
              <w:rPr>
                <w:rFonts w:hint="eastAsia" w:ascii="Times New Roman" w:hAnsi="Times New Roman"/>
              </w:rPr>
              <w:t>沉淀罐、沉淀池</w:t>
            </w:r>
            <w:r>
              <w:rPr>
                <w:rFonts w:hint="default" w:ascii="Times New Roman" w:hAnsi="Times New Roman"/>
              </w:rPr>
              <w:t>处理后循环使用不外排，产生的污泥外运用于制砖，与生态恢复、水土保持的主导功能不冲突。因此，项目建设与项目所在生态功能区控制要求相符合。</w:t>
            </w:r>
          </w:p>
          <w:p>
            <w:pPr>
              <w:pStyle w:val="9"/>
              <w:numPr>
                <w:ilvl w:val="3"/>
                <w:numId w:val="0"/>
              </w:numPr>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1.2.</w:t>
            </w:r>
            <w:r>
              <w:rPr>
                <w:rFonts w:hint="eastAsia" w:ascii="Times New Roman" w:hAnsi="Times New Roman"/>
              </w:rPr>
              <w:t>4</w:t>
            </w:r>
            <w:r>
              <w:rPr>
                <w:rFonts w:hint="default" w:ascii="Times New Roman" w:hAnsi="Times New Roman"/>
              </w:rPr>
              <w:t>.3周边环境相容性分析</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项目位于三明市大田县前坪乡下地村石克盂（下地坑），</w:t>
            </w:r>
            <w:r>
              <w:rPr>
                <w:rFonts w:hint="eastAsia" w:ascii="Times New Roman" w:hAnsi="Times New Roman"/>
                <w:lang w:val="en-US" w:eastAsia="zh-CN"/>
              </w:rPr>
              <w:t>东侧、西北侧、北侧、西侧均为山林地</w:t>
            </w:r>
            <w:r>
              <w:rPr>
                <w:rFonts w:hint="default" w:ascii="Times New Roman" w:hAnsi="Times New Roman"/>
              </w:rPr>
              <w:t>，</w:t>
            </w:r>
            <w:r>
              <w:rPr>
                <w:rFonts w:hint="eastAsia" w:ascii="Times New Roman" w:hAnsi="Times New Roman"/>
                <w:lang w:val="en-US" w:eastAsia="zh-CN"/>
              </w:rPr>
              <w:t>东北侧及南侧为空地，山林地植被</w:t>
            </w:r>
            <w:r>
              <w:rPr>
                <w:rFonts w:hint="eastAsia" w:ascii="Times New Roman" w:hAnsi="Times New Roman"/>
              </w:rPr>
              <w:t>主要为杉树、松树等当地常见植被，</w:t>
            </w:r>
            <w:r>
              <w:rPr>
                <w:rFonts w:hint="default" w:ascii="Times New Roman" w:hAnsi="Times New Roman"/>
                <w:kern w:val="0"/>
                <w:szCs w:val="21"/>
              </w:rPr>
              <w:t>不涉及自然保护区、饮用水源保护区、风景名胜区、重要湿地、生态公益林、重要自然与人文景观、文物古迹及其他需要特别保护的区域</w:t>
            </w:r>
            <w:r>
              <w:rPr>
                <w:rFonts w:hint="eastAsia" w:ascii="Times New Roman" w:hAnsi="Times New Roman"/>
                <w:kern w:val="0"/>
                <w:szCs w:val="21"/>
              </w:rPr>
              <w:t>。</w:t>
            </w:r>
            <w:r>
              <w:rPr>
                <w:rFonts w:hint="default" w:ascii="Times New Roman" w:hAnsi="Times New Roman"/>
              </w:rPr>
              <w:t>距离项目最近的环境保护目标为项目东侧距离约</w:t>
            </w:r>
            <w:r>
              <w:rPr>
                <w:rFonts w:hint="eastAsia" w:ascii="Times New Roman" w:hAnsi="Times New Roman"/>
              </w:rPr>
              <w:t>300m</w:t>
            </w:r>
            <w:r>
              <w:rPr>
                <w:rFonts w:hint="default" w:ascii="Times New Roman" w:hAnsi="Times New Roman"/>
              </w:rPr>
              <w:t>的下地村居民点（见附图3）。项目废气主要为少量粉尘，</w:t>
            </w:r>
            <w:r>
              <w:rPr>
                <w:rFonts w:hint="eastAsia" w:ascii="Times New Roman" w:hAnsi="Times New Roman"/>
              </w:rPr>
              <w:t>原料、产品装卸过程中采取降低高差、洒水等措施抑尘、</w:t>
            </w:r>
            <w:r>
              <w:rPr>
                <w:rFonts w:hint="default" w:ascii="Times New Roman" w:hAnsi="Times New Roman"/>
              </w:rPr>
              <w:t>砂石加工过程配备</w:t>
            </w:r>
            <w:r>
              <w:rPr>
                <w:rFonts w:hint="eastAsia" w:ascii="Times New Roman" w:hAnsi="Times New Roman"/>
              </w:rPr>
              <w:t>水喷淋</w:t>
            </w:r>
            <w:r>
              <w:rPr>
                <w:rFonts w:hint="default" w:ascii="Times New Roman" w:hAnsi="Times New Roman"/>
              </w:rPr>
              <w:t>降尘措施；</w:t>
            </w:r>
            <w:r>
              <w:rPr>
                <w:rFonts w:hint="eastAsia" w:ascii="Times New Roman" w:hAnsi="Times New Roman"/>
              </w:rPr>
              <w:t>洗砂石废水</w:t>
            </w:r>
            <w:r>
              <w:rPr>
                <w:rFonts w:hint="default" w:ascii="Times New Roman" w:hAnsi="Times New Roman"/>
              </w:rPr>
              <w:t>经</w:t>
            </w:r>
            <w:r>
              <w:rPr>
                <w:rFonts w:hint="eastAsia" w:ascii="Times New Roman" w:hAnsi="Times New Roman"/>
              </w:rPr>
              <w:t>沉淀罐、沉淀池</w:t>
            </w:r>
            <w:r>
              <w:rPr>
                <w:rFonts w:hint="default" w:ascii="Times New Roman" w:hAnsi="Times New Roman"/>
              </w:rPr>
              <w:t>处理后循环使用不外排；与</w:t>
            </w:r>
            <w:r>
              <w:rPr>
                <w:rFonts w:hint="eastAsia" w:ascii="Times New Roman" w:hAnsi="Times New Roman"/>
              </w:rPr>
              <w:t>本项目</w:t>
            </w:r>
            <w:r>
              <w:rPr>
                <w:rFonts w:hint="default" w:ascii="Times New Roman" w:hAnsi="Times New Roman"/>
              </w:rPr>
              <w:t>最近的</w:t>
            </w:r>
            <w:r>
              <w:rPr>
                <w:rFonts w:hint="eastAsia" w:ascii="Times New Roman" w:hAnsi="Times New Roman"/>
              </w:rPr>
              <w:t>环境敏感目标为东侧300m的下地村居民点，与本项目之间有山体</w:t>
            </w:r>
            <w:r>
              <w:rPr>
                <w:rFonts w:hint="default" w:ascii="Times New Roman" w:hAnsi="Times New Roman"/>
              </w:rPr>
              <w:t>阻隔，</w:t>
            </w:r>
            <w:r>
              <w:rPr>
                <w:rFonts w:hint="eastAsia" w:ascii="Times New Roman" w:hAnsi="Times New Roman"/>
              </w:rPr>
              <w:t>噪声对周围的环境影响较</w:t>
            </w:r>
            <w:r>
              <w:rPr>
                <w:rFonts w:hint="default" w:ascii="Times New Roman" w:hAnsi="Times New Roman"/>
              </w:rPr>
              <w:t>；固废综合利用、废机油委托有资质单位统一处置，不会产生二次污染。</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综上，通过采取</w:t>
            </w:r>
            <w:r>
              <w:rPr>
                <w:rFonts w:hint="eastAsia" w:ascii="Times New Roman" w:hAnsi="Times New Roman"/>
              </w:rPr>
              <w:t>有效</w:t>
            </w:r>
            <w:r>
              <w:rPr>
                <w:rFonts w:hint="default" w:ascii="Times New Roman" w:hAnsi="Times New Roman"/>
              </w:rPr>
              <w:t>污染防治措施，各项污染物</w:t>
            </w:r>
            <w:r>
              <w:rPr>
                <w:rFonts w:hint="eastAsia" w:ascii="Times New Roman" w:hAnsi="Times New Roman"/>
              </w:rPr>
              <w:t>均</w:t>
            </w:r>
            <w:r>
              <w:rPr>
                <w:rFonts w:hint="default" w:ascii="Times New Roman" w:hAnsi="Times New Roman"/>
              </w:rPr>
              <w:t>可达标排放，对周围环境影响较小。本项目与周围环境相容。</w:t>
            </w: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spacing w:before="0" w:beforeAutospacing="0" w:after="0" w:afterAutospacing="0" w:line="440" w:lineRule="exact"/>
              <w:ind w:left="0" w:right="0" w:firstLine="0" w:firstLineChars="0"/>
              <w:rPr>
                <w:rFonts w:hint="default" w:ascii="Times New Roman" w:hAnsi="Times New Roman"/>
              </w:rPr>
            </w:pPr>
          </w:p>
        </w:tc>
      </w:tr>
    </w:tbl>
    <w:p>
      <w:pPr>
        <w:spacing w:line="360" w:lineRule="auto"/>
        <w:outlineLvl w:val="0"/>
        <w:rPr>
          <w:rFonts w:ascii="Times New Roman" w:hAnsi="Times New Roman"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3"/>
        <w:numPr>
          <w:ilvl w:val="0"/>
          <w:numId w:val="3"/>
        </w:numPr>
        <w:rPr>
          <w:color w:val="auto"/>
        </w:rPr>
      </w:pPr>
      <w:r>
        <w:rPr>
          <w:rFonts w:hint="eastAsia"/>
          <w:color w:val="auto"/>
        </w:rPr>
        <w:t xml:space="preserve"> </w:t>
      </w:r>
      <w:r>
        <w:rPr>
          <w:color w:val="auto"/>
        </w:rPr>
        <w:t>建设项目工程分析</w:t>
      </w:r>
    </w:p>
    <w:tbl>
      <w:tblPr>
        <w:tblStyle w:val="2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404" w:hRule="atLeast"/>
          <w:jc w:val="center"/>
        </w:trPr>
        <w:tc>
          <w:tcPr>
            <w:tcW w:w="455" w:type="dxa"/>
            <w:tcBorders>
              <w:bottom w:val="single" w:color="auto" w:sz="4" w:space="0"/>
            </w:tcBorders>
            <w:vAlign w:val="center"/>
          </w:tcPr>
          <w:p>
            <w:pPr>
              <w:pStyle w:val="23"/>
              <w:keepNext w:val="0"/>
              <w:keepLines w:val="0"/>
              <w:suppressLineNumbers w:val="0"/>
              <w:ind w:left="0" w:right="0"/>
              <w:rPr>
                <w:rFonts w:hint="default"/>
              </w:rPr>
            </w:pPr>
            <w:r>
              <w:rPr>
                <w:rFonts w:hint="default" w:ascii="Times New Roman" w:hAnsi="Times New Roman" w:eastAsia="宋体" w:cs="Times New Roman"/>
                <w:snapToGrid/>
                <w:color w:val="auto"/>
                <w:kern w:val="2"/>
                <w:sz w:val="24"/>
                <w:szCs w:val="24"/>
                <w:lang w:val="en-US" w:eastAsia="zh-CN" w:bidi="ar-SA"/>
              </w:rPr>
              <w:t>建设内容</w:t>
            </w:r>
          </w:p>
        </w:tc>
        <w:tc>
          <w:tcPr>
            <w:tcW w:w="8605" w:type="dxa"/>
            <w:vMerge w:val="restart"/>
          </w:tcPr>
          <w:p>
            <w:pPr>
              <w:pStyle w:val="7"/>
              <w:suppressLineNumbers w:val="0"/>
              <w:spacing w:before="120" w:beforeAutospacing="0" w:after="120" w:afterAutospacing="0" w:line="440" w:lineRule="exact"/>
              <w:ind w:left="0" w:right="0"/>
              <w:rPr>
                <w:rFonts w:hint="default" w:ascii="Times New Roman" w:hAnsi="Times New Roman"/>
              </w:rPr>
            </w:pPr>
            <w:r>
              <w:rPr>
                <w:rFonts w:hint="default" w:ascii="Times New Roman" w:hAnsi="Times New Roman"/>
                <w:sz w:val="28"/>
                <w:szCs w:val="28"/>
              </w:rPr>
              <w:t>2.1项目由来</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olor w:val="auto"/>
              </w:rPr>
            </w:pPr>
            <w:r>
              <w:rPr>
                <w:rFonts w:hint="default" w:ascii="Times New Roman" w:hAnsi="Times New Roman"/>
              </w:rPr>
              <w:t>耀辉加工厂成立于2017年10月，</w:t>
            </w:r>
            <w:r>
              <w:rPr>
                <w:rFonts w:hint="eastAsia" w:ascii="Times New Roman" w:hAnsi="Times New Roman"/>
              </w:rPr>
              <w:t>原厂址</w:t>
            </w:r>
            <w:r>
              <w:rPr>
                <w:rFonts w:hint="default" w:ascii="Times New Roman" w:hAnsi="Times New Roman"/>
              </w:rPr>
              <w:t>位于福建省三明市大田县下地村</w:t>
            </w:r>
            <w:r>
              <w:rPr>
                <w:rFonts w:hint="eastAsia" w:ascii="Times New Roman" w:hAnsi="Times New Roman"/>
              </w:rPr>
              <w:t>石克盂</w:t>
            </w:r>
            <w:r>
              <w:rPr>
                <w:rFonts w:hint="default" w:ascii="Times New Roman" w:hAnsi="Times New Roman"/>
              </w:rPr>
              <w:t>，厂区建筑面为3300m</w:t>
            </w:r>
            <w:r>
              <w:rPr>
                <w:rFonts w:hint="default" w:ascii="Times New Roman" w:hAnsi="Times New Roman"/>
                <w:vertAlign w:val="superscript"/>
              </w:rPr>
              <w:t>2</w:t>
            </w:r>
            <w:r>
              <w:rPr>
                <w:rFonts w:hint="default" w:ascii="Times New Roman" w:hAnsi="Times New Roman"/>
              </w:rPr>
              <w:t>，主要从事</w:t>
            </w:r>
            <w:r>
              <w:rPr>
                <w:rFonts w:hint="eastAsia" w:ascii="Times New Roman" w:hAnsi="Times New Roman"/>
              </w:rPr>
              <w:t>矿渣石料的破碎加工</w:t>
            </w:r>
            <w:r>
              <w:rPr>
                <w:rFonts w:hint="default" w:ascii="Times New Roman" w:hAnsi="Times New Roman"/>
              </w:rPr>
              <w:t>，统一社会信用代码：92350425MA2YNFXB8H（详见附件三）。耀辉加工厂于2017年编制了《耀辉矿渣破碎建设项目环境影响评价报告表》，同年原大田县环保局对该报告给予了批复（田环批[2018]05号），批复规模为年破碎矿渣石料20万吨。2018年8月</w:t>
            </w:r>
            <w:r>
              <w:rPr>
                <w:rFonts w:hint="eastAsia" w:ascii="Times New Roman" w:hAnsi="Times New Roman"/>
              </w:rPr>
              <w:t>完成自主</w:t>
            </w:r>
            <w:r>
              <w:rPr>
                <w:rFonts w:hint="default" w:ascii="Times New Roman" w:hAnsi="Times New Roman"/>
              </w:rPr>
              <w:t>竣工环保验收</w:t>
            </w:r>
            <w:r>
              <w:rPr>
                <w:rFonts w:hint="eastAsia" w:ascii="Times New Roman" w:hAnsi="Times New Roman"/>
                <w:color w:val="auto"/>
                <w:lang w:eastAsia="zh-CN"/>
              </w:rPr>
              <w:t>，</w:t>
            </w:r>
            <w:r>
              <w:rPr>
                <w:rFonts w:hint="eastAsia" w:ascii="Times New Roman" w:hAnsi="Times New Roman"/>
                <w:color w:val="auto"/>
                <w:lang w:val="en-US" w:eastAsia="zh-CN"/>
              </w:rPr>
              <w:t>见附件十五</w:t>
            </w:r>
            <w:r>
              <w:rPr>
                <w:rFonts w:hint="default" w:ascii="Times New Roman" w:hAnsi="Times New Roman"/>
                <w:color w:val="auto"/>
              </w:rPr>
              <w:t>。</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rPr>
            </w:pPr>
            <w:r>
              <w:rPr>
                <w:rFonts w:hint="default" w:ascii="Times New Roman" w:hAnsi="Times New Roman"/>
              </w:rPr>
              <w:t>2020年11月27日，大田县政府均溪镇、前坪乡、发改局、科技局、自然资源局等单位召开会议，专题研究广建环保科技矿业于工业固体废物资源化再利用项目建设有关问题，会议提出：鉴于耀辉矿渣破碎加工厂处于拟建的广建环保项目红线范围内，原则同意耀辉矿渣破碎加工厂整体就近搬迁，并做好该项目迁建相关环评手续。耀辉加工厂积极配合政府推进建设广建环保工业固体废物资源化再利用项目，对厂区整体进行就近搬迁</w:t>
            </w:r>
            <w:r>
              <w:rPr>
                <w:rFonts w:hint="eastAsia" w:ascii="Times New Roman" w:hAnsi="Times New Roman"/>
              </w:rPr>
              <w:t>，详见附件五。</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rPr>
            </w:pPr>
            <w:r>
              <w:rPr>
                <w:rFonts w:hint="default" w:ascii="Times New Roman" w:hAnsi="Times New Roman"/>
              </w:rPr>
              <w:t>2021年5月27日，耀辉加工厂</w:t>
            </w:r>
            <w:r>
              <w:rPr>
                <w:rFonts w:hint="eastAsia" w:ascii="Times New Roman" w:hAnsi="Times New Roman"/>
              </w:rPr>
              <w:t>就近搬迁，</w:t>
            </w:r>
            <w:r>
              <w:rPr>
                <w:rFonts w:hint="default" w:ascii="Times New Roman" w:hAnsi="Times New Roman"/>
              </w:rPr>
              <w:t>租用福建省三明市大田县前坪乡下地村石克盂（下地坑）3300m</w:t>
            </w:r>
            <w:r>
              <w:rPr>
                <w:rFonts w:hint="default" w:ascii="Times New Roman" w:hAnsi="Times New Roman"/>
                <w:vertAlign w:val="superscript"/>
              </w:rPr>
              <w:t>2</w:t>
            </w:r>
            <w:r>
              <w:rPr>
                <w:rFonts w:hint="default" w:ascii="Times New Roman" w:hAnsi="Times New Roman"/>
              </w:rPr>
              <w:t>场地作为耀辉矿渣加工厂的新厂址（详见附件四）。新厂址位于原厂区东北侧，距离约为210m。本项目在新厂址进行破碎设备改造提升。</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rPr>
            </w:pPr>
            <w:r>
              <w:rPr>
                <w:rFonts w:hint="default" w:ascii="Times New Roman" w:hAnsi="Times New Roman"/>
              </w:rPr>
              <w:t>2022年12月1日，耀辉矿渣破碎设备改造提升技改项目通过大田县工业和信息化局备案（闽工信备[2022]G120010号），详见附件二。</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rPr>
            </w:pPr>
            <w:r>
              <w:rPr>
                <w:rFonts w:hint="default" w:ascii="Times New Roman" w:hAnsi="Times New Roman"/>
              </w:rPr>
              <w:t>根据《中华人民共和国环境保护法》《中华人民共和国环境影响评价法》等法律、法规的要求，项目建设需进行环境影响评价。</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default"/>
              </w:rPr>
            </w:pPr>
            <w:r>
              <w:rPr>
                <w:rFonts w:hint="eastAsia"/>
              </w:rPr>
              <w:t>20</w:t>
            </w:r>
            <w:r>
              <w:rPr>
                <w:rFonts w:hint="default"/>
              </w:rPr>
              <w:t>23</w:t>
            </w:r>
            <w:r>
              <w:rPr>
                <w:rFonts w:hint="eastAsia"/>
              </w:rPr>
              <w:t>年</w:t>
            </w:r>
            <w:r>
              <w:rPr>
                <w:rFonts w:hint="default"/>
              </w:rPr>
              <w:t>7</w:t>
            </w:r>
            <w:r>
              <w:rPr>
                <w:rFonts w:hint="eastAsia"/>
              </w:rPr>
              <w:t>月，</w:t>
            </w:r>
            <w:r>
              <w:rPr>
                <w:rFonts w:hint="eastAsia" w:ascii="Times New Roman" w:hAnsi="Times New Roman"/>
              </w:rPr>
              <w:t>大田县耀辉矿渣破碎加工厂</w:t>
            </w:r>
            <w:r>
              <w:rPr>
                <w:rFonts w:hint="eastAsia"/>
              </w:rPr>
              <w:t>委托泉州市华大环境保护研究院有限公司承担“</w:t>
            </w:r>
            <w:r>
              <w:rPr>
                <w:rFonts w:hint="eastAsia" w:ascii="Times New Roman" w:hAnsi="Times New Roman"/>
              </w:rPr>
              <w:t>耀辉矿渣破碎设备改造提升技改项目</w:t>
            </w:r>
            <w:r>
              <w:rPr>
                <w:rFonts w:hint="eastAsia"/>
              </w:rPr>
              <w:t>”环境影响评价工作（见附件</w:t>
            </w:r>
            <w:r>
              <w:rPr>
                <w:rFonts w:hint="eastAsia"/>
                <w:lang w:val="en-US" w:eastAsia="zh-CN"/>
              </w:rPr>
              <w:t>一</w:t>
            </w:r>
            <w:r>
              <w:rPr>
                <w:rFonts w:hint="eastAsia"/>
              </w:rPr>
              <w:t>）。对</w:t>
            </w:r>
            <w:r>
              <w:rPr>
                <w:rFonts w:hint="eastAsia"/>
                <w:color w:val="auto"/>
              </w:rPr>
              <w:t>照《建设项目环境影响评价分类管理名录》（2021年版）（见下表），本项目属于二十七、非金属矿物制品业，</w:t>
            </w:r>
            <w:r>
              <w:rPr>
                <w:rFonts w:hint="eastAsia"/>
                <w:color w:val="auto"/>
                <w:lang w:val="en-US" w:eastAsia="zh-CN"/>
              </w:rPr>
              <w:t>砖瓦、石材等建筑材料</w:t>
            </w:r>
            <w:r>
              <w:rPr>
                <w:rFonts w:hint="eastAsia"/>
                <w:color w:val="auto"/>
              </w:rPr>
              <w:t>制造30</w:t>
            </w:r>
            <w:r>
              <w:rPr>
                <w:rFonts w:hint="eastAsia"/>
                <w:color w:val="auto"/>
                <w:lang w:val="en-US" w:eastAsia="zh-CN"/>
              </w:rPr>
              <w:t>3</w:t>
            </w:r>
            <w:r>
              <w:rPr>
                <w:rFonts w:hint="eastAsia"/>
                <w:color w:val="auto"/>
              </w:rPr>
              <w:t>-其他</w:t>
            </w:r>
            <w:r>
              <w:rPr>
                <w:rFonts w:hint="eastAsia"/>
                <w:color w:val="auto"/>
                <w:lang w:val="en-US" w:eastAsia="zh-CN"/>
              </w:rPr>
              <w:t>建筑材料制造</w:t>
            </w:r>
            <w:r>
              <w:rPr>
                <w:rFonts w:hint="eastAsia"/>
                <w:color w:val="auto"/>
              </w:rPr>
              <w:t>，项目环评类别为报告表。</w:t>
            </w:r>
          </w:p>
          <w:p>
            <w:pPr>
              <w:pStyle w:val="2"/>
              <w:keepNext w:val="0"/>
              <w:keepLines w:val="0"/>
              <w:suppressLineNumbers w:val="0"/>
              <w:spacing w:before="0" w:beforeAutospacing="0" w:after="0" w:afterAutospacing="0"/>
              <w:ind w:right="0"/>
              <w:rPr>
                <w:rFonts w:hint="default"/>
              </w:rPr>
            </w:pPr>
          </w:p>
          <w:p>
            <w:pPr>
              <w:pStyle w:val="35"/>
              <w:keepNext w:val="0"/>
              <w:keepLines w:val="0"/>
              <w:suppressLineNumbers w:val="0"/>
              <w:spacing w:before="0" w:beforeAutospacing="0" w:after="0" w:afterAutospacing="0"/>
              <w:ind w:left="0" w:right="0"/>
              <w:rPr>
                <w:rFonts w:hint="default" w:ascii="Times New Roman" w:cs="Times New Roman"/>
                <w:color w:val="auto"/>
              </w:rPr>
            </w:pPr>
          </w:p>
          <w:p>
            <w:pPr>
              <w:pStyle w:val="33"/>
              <w:keepNext w:val="0"/>
              <w:keepLines w:val="0"/>
              <w:suppressLineNumbers w:val="0"/>
              <w:spacing w:before="120" w:beforeAutospacing="0" w:after="0" w:afterAutospacing="0"/>
              <w:ind w:left="0" w:right="0"/>
              <w:rPr>
                <w:rFonts w:hint="default" w:ascii="Times New Roman" w:hAnsi="Times New Roman"/>
                <w:b/>
                <w:bCs/>
                <w:color w:val="auto"/>
                <w:sz w:val="21"/>
                <w:szCs w:val="21"/>
              </w:rPr>
            </w:pPr>
            <w:r>
              <w:rPr>
                <w:rFonts w:hint="default" w:ascii="Times New Roman" w:hAnsi="Times New Roman"/>
                <w:b/>
                <w:bCs/>
                <w:color w:val="auto"/>
                <w:sz w:val="21"/>
                <w:szCs w:val="21"/>
              </w:rPr>
              <w:t>表2.1-1建设环境影响评价分类管理名录(摘录)</w:t>
            </w:r>
          </w:p>
          <w:tbl>
            <w:tblPr>
              <w:tblStyle w:val="25"/>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1"/>
              <w:gridCol w:w="1228"/>
              <w:gridCol w:w="3340"/>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501" w:type="dxa"/>
                  <w:tcBorders>
                    <w:top w:val="single" w:color="auto" w:sz="12" w:space="0"/>
                    <w:left w:val="nil"/>
                    <w:tl2br w:val="single" w:color="auto" w:sz="4" w:space="0"/>
                  </w:tcBorders>
                </w:tcPr>
                <w:p>
                  <w:pPr>
                    <w:keepNext w:val="0"/>
                    <w:keepLines w:val="0"/>
                    <w:suppressLineNumbers w:val="0"/>
                    <w:spacing w:before="0" w:beforeAutospacing="0" w:after="0" w:afterAutospacing="0" w:line="320" w:lineRule="exact"/>
                    <w:ind w:left="0" w:right="0"/>
                    <w:jc w:val="right"/>
                    <w:rPr>
                      <w:rFonts w:hint="default" w:eastAsiaTheme="minorEastAsia"/>
                      <w:spacing w:val="-2"/>
                      <w:sz w:val="21"/>
                      <w:szCs w:val="21"/>
                    </w:rPr>
                  </w:pPr>
                  <w:r>
                    <w:rPr>
                      <w:rFonts w:hint="eastAsia" w:eastAsiaTheme="minorEastAsia"/>
                      <w:spacing w:val="-2"/>
                      <w:sz w:val="21"/>
                      <w:szCs w:val="21"/>
                    </w:rPr>
                    <w:t>环评类别</w:t>
                  </w:r>
                </w:p>
                <w:p>
                  <w:pPr>
                    <w:keepNext w:val="0"/>
                    <w:keepLines w:val="0"/>
                    <w:suppressLineNumbers w:val="0"/>
                    <w:spacing w:before="0" w:beforeAutospacing="0" w:after="0" w:afterAutospacing="0" w:line="320" w:lineRule="exact"/>
                    <w:ind w:left="0" w:right="0" w:firstLine="412" w:firstLineChars="200"/>
                    <w:rPr>
                      <w:rFonts w:hint="default" w:eastAsiaTheme="minorEastAsia"/>
                      <w:spacing w:val="-2"/>
                      <w:sz w:val="21"/>
                      <w:szCs w:val="21"/>
                    </w:rPr>
                  </w:pPr>
                  <w:r>
                    <w:rPr>
                      <w:rFonts w:hint="eastAsia" w:eastAsiaTheme="minorEastAsia"/>
                      <w:spacing w:val="-2"/>
                      <w:sz w:val="21"/>
                      <w:szCs w:val="21"/>
                    </w:rPr>
                    <w:t>项目类别</w:t>
                  </w:r>
                </w:p>
              </w:tc>
              <w:tc>
                <w:tcPr>
                  <w:tcW w:w="1228" w:type="dxa"/>
                  <w:tcBorders>
                    <w:top w:val="single" w:color="auto" w:sz="12"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spacing w:val="-2"/>
                      <w:sz w:val="21"/>
                      <w:szCs w:val="21"/>
                    </w:rPr>
                  </w:pPr>
                  <w:r>
                    <w:rPr>
                      <w:rFonts w:hint="eastAsia" w:eastAsiaTheme="minorEastAsia"/>
                      <w:spacing w:val="-2"/>
                      <w:sz w:val="21"/>
                      <w:szCs w:val="21"/>
                    </w:rPr>
                    <w:t>报告书</w:t>
                  </w:r>
                </w:p>
              </w:tc>
              <w:tc>
                <w:tcPr>
                  <w:tcW w:w="3340" w:type="dxa"/>
                  <w:tcBorders>
                    <w:top w:val="single" w:color="auto" w:sz="12"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spacing w:val="-2"/>
                      <w:sz w:val="21"/>
                      <w:szCs w:val="21"/>
                    </w:rPr>
                  </w:pPr>
                  <w:r>
                    <w:rPr>
                      <w:rFonts w:hint="eastAsia" w:eastAsiaTheme="minorEastAsia"/>
                      <w:spacing w:val="-2"/>
                      <w:sz w:val="21"/>
                      <w:szCs w:val="21"/>
                    </w:rPr>
                    <w:t>报告表</w:t>
                  </w:r>
                </w:p>
              </w:tc>
              <w:tc>
                <w:tcPr>
                  <w:tcW w:w="1193" w:type="dxa"/>
                  <w:tcBorders>
                    <w:top w:val="single" w:color="auto" w:sz="12" w:space="0"/>
                    <w:right w:val="nil"/>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spacing w:val="-2"/>
                      <w:sz w:val="21"/>
                      <w:szCs w:val="21"/>
                    </w:rPr>
                  </w:pPr>
                  <w:r>
                    <w:rPr>
                      <w:rFonts w:hint="eastAsia" w:eastAsiaTheme="minorEastAsia"/>
                      <w:spacing w:val="-2"/>
                      <w:sz w:val="21"/>
                      <w:szCs w:val="21"/>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262" w:type="dxa"/>
                  <w:gridSpan w:val="4"/>
                  <w:tcBorders>
                    <w:left w:val="nil"/>
                    <w:right w:val="nil"/>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spacing w:val="-2"/>
                      <w:sz w:val="21"/>
                      <w:szCs w:val="21"/>
                    </w:rPr>
                  </w:pPr>
                  <w:r>
                    <w:rPr>
                      <w:rFonts w:hint="eastAsia" w:eastAsiaTheme="minorEastAsia"/>
                      <w:spacing w:val="-2"/>
                      <w:sz w:val="21"/>
                      <w:szCs w:val="21"/>
                    </w:rPr>
                    <w:t>二十七、非金属矿物制品业30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1" w:type="dxa"/>
                  <w:tcBorders>
                    <w:left w:val="nil"/>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Theme="minorEastAsia"/>
                      <w:spacing w:val="-2"/>
                      <w:sz w:val="21"/>
                      <w:szCs w:val="21"/>
                    </w:rPr>
                  </w:pPr>
                  <w:r>
                    <w:rPr>
                      <w:rFonts w:hint="eastAsia" w:ascii="宋体" w:hAnsi="宋体" w:cs="宋体"/>
                      <w:sz w:val="18"/>
                      <w:szCs w:val="18"/>
                    </w:rPr>
                    <w:t>砖瓦、石材等建筑材料制造 303</w:t>
                  </w:r>
                </w:p>
              </w:tc>
              <w:tc>
                <w:tcPr>
                  <w:tcW w:w="1228" w:type="dxa"/>
                  <w:tcBorders>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Theme="minorEastAsia"/>
                      <w:spacing w:val="-2"/>
                      <w:sz w:val="21"/>
                      <w:szCs w:val="21"/>
                    </w:rPr>
                  </w:pPr>
                  <w:r>
                    <w:rPr>
                      <w:rFonts w:hint="eastAsia" w:ascii="宋体" w:hAnsi="宋体" w:cs="宋体"/>
                      <w:sz w:val="18"/>
                      <w:szCs w:val="18"/>
                    </w:rPr>
                    <w:t>/</w:t>
                  </w:r>
                </w:p>
              </w:tc>
              <w:tc>
                <w:tcPr>
                  <w:tcW w:w="3340" w:type="dxa"/>
                  <w:tcBorders>
                    <w:bottom w:val="single" w:color="auto" w:sz="12" w:space="0"/>
                  </w:tcBorders>
                  <w:vAlign w:val="center"/>
                </w:tcPr>
                <w:p>
                  <w:pPr>
                    <w:keepNext w:val="0"/>
                    <w:keepLines w:val="0"/>
                    <w:suppressLineNumbers w:val="0"/>
                    <w:adjustRightInd w:val="0"/>
                    <w:spacing w:before="0" w:beforeAutospacing="0" w:after="0" w:afterAutospacing="0"/>
                    <w:ind w:left="0" w:right="0"/>
                    <w:jc w:val="left"/>
                    <w:textAlignment w:val="baseline"/>
                    <w:rPr>
                      <w:rFonts w:hint="default" w:eastAsiaTheme="minorEastAsia"/>
                      <w:b/>
                      <w:bCs/>
                      <w:spacing w:val="-2"/>
                      <w:sz w:val="21"/>
                      <w:szCs w:val="21"/>
                    </w:rPr>
                  </w:pPr>
                  <w:r>
                    <w:rPr>
                      <w:rFonts w:hint="eastAsia" w:ascii="宋体" w:hAnsi="宋体" w:cs="宋体"/>
                      <w:sz w:val="18"/>
                      <w:szCs w:val="18"/>
                    </w:rPr>
                    <w:t>粘土砖瓦及建筑砌块制造；建筑用石加工；防水建筑材料制造；隔热、隔音材料制造；</w:t>
                  </w:r>
                  <w:r>
                    <w:rPr>
                      <w:rFonts w:hint="eastAsia" w:ascii="宋体" w:hAnsi="宋体" w:cs="宋体"/>
                      <w:b/>
                      <w:bCs/>
                      <w:sz w:val="18"/>
                      <w:szCs w:val="18"/>
                    </w:rPr>
                    <w:t>其他建筑材料制造</w:t>
                  </w:r>
                  <w:r>
                    <w:rPr>
                      <w:rFonts w:hint="eastAsia" w:ascii="宋体" w:hAnsi="宋体" w:cs="宋体"/>
                      <w:sz w:val="18"/>
                      <w:szCs w:val="18"/>
                    </w:rPr>
                    <w:t>（含干粉砂浆搅拌站）以上均不含利用石材板材切割、打磨、成型的</w:t>
                  </w:r>
                </w:p>
              </w:tc>
              <w:tc>
                <w:tcPr>
                  <w:tcW w:w="1193" w:type="dxa"/>
                  <w:tcBorders>
                    <w:bottom w:val="single" w:color="auto" w:sz="12" w:space="0"/>
                    <w:right w:val="nil"/>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spacing w:val="-2"/>
                      <w:sz w:val="21"/>
                      <w:szCs w:val="21"/>
                    </w:rPr>
                  </w:pPr>
                  <w:r>
                    <w:rPr>
                      <w:rFonts w:hint="eastAsia" w:eastAsiaTheme="minorEastAsia"/>
                      <w:spacing w:val="-2"/>
                      <w:sz w:val="21"/>
                      <w:szCs w:val="21"/>
                    </w:rPr>
                    <w:t>/</w:t>
                  </w:r>
                </w:p>
              </w:tc>
            </w:tr>
          </w:tbl>
          <w:p>
            <w:pPr>
              <w:pStyle w:val="7"/>
              <w:suppressLineNumbers w:val="0"/>
              <w:spacing w:before="120" w:beforeAutospacing="0" w:after="120" w:afterAutospacing="0" w:line="440" w:lineRule="exact"/>
              <w:ind w:left="0" w:right="0"/>
              <w:rPr>
                <w:rFonts w:hint="default" w:ascii="Times New Roman" w:hAnsi="Times New Roman"/>
                <w:sz w:val="28"/>
                <w:szCs w:val="28"/>
              </w:rPr>
            </w:pPr>
            <w:r>
              <w:rPr>
                <w:rFonts w:hint="default" w:ascii="Times New Roman" w:hAnsi="Times New Roman"/>
                <w:sz w:val="28"/>
                <w:szCs w:val="28"/>
              </w:rPr>
              <w:t>2.2迁建前项目概况</w:t>
            </w: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2.2.1迁建前项目基本情况</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项目名称：耀辉矿渣破碎建设项目</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建设单位：大田县耀辉矿渣破碎加工厂</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建设地点：</w:t>
            </w:r>
            <w:r>
              <w:rPr>
                <w:rFonts w:hint="default" w:ascii="Times New Roman" w:hAnsi="Times New Roman"/>
              </w:rPr>
              <w:fldChar w:fldCharType="begin"/>
            </w:r>
            <w:r>
              <w:rPr>
                <w:rFonts w:hint="default" w:ascii="Times New Roman" w:hAnsi="Times New Roman"/>
              </w:rPr>
              <w:instrText xml:space="preserve"> REF 建设地点 \h  \* MERGEFORMAT </w:instrText>
            </w:r>
            <w:r>
              <w:rPr>
                <w:rFonts w:hint="default" w:ascii="Times New Roman" w:hAnsi="Times New Roman"/>
              </w:rPr>
              <w:fldChar w:fldCharType="separate"/>
            </w:r>
            <w:r>
              <w:rPr>
                <w:rFonts w:hint="default" w:ascii="Times New Roman" w:hAnsi="Times New Roman"/>
              </w:rPr>
              <w:t>大田县前坪乡</w:t>
            </w:r>
            <w:r>
              <w:rPr>
                <w:rFonts w:hint="default" w:ascii="Times New Roman" w:hAnsi="Times New Roman"/>
              </w:rPr>
              <w:fldChar w:fldCharType="end"/>
            </w:r>
            <w:r>
              <w:rPr>
                <w:rFonts w:hint="default" w:ascii="Times New Roman" w:hAnsi="Times New Roman"/>
              </w:rPr>
              <w:t>下地村石克盂</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总 投 资：</w:t>
            </w:r>
            <w:r>
              <w:rPr>
                <w:rFonts w:hint="default" w:ascii="Times New Roman" w:hAnsi="Times New Roman"/>
              </w:rPr>
              <w:fldChar w:fldCharType="begin"/>
            </w:r>
            <w:r>
              <w:rPr>
                <w:rFonts w:hint="default" w:ascii="Times New Roman" w:hAnsi="Times New Roman"/>
              </w:rPr>
              <w:instrText xml:space="preserve"> REF 总投资 \h  \* MERGEFORMAT </w:instrText>
            </w:r>
            <w:r>
              <w:rPr>
                <w:rFonts w:hint="default" w:ascii="Times New Roman" w:hAnsi="Times New Roman"/>
              </w:rPr>
              <w:fldChar w:fldCharType="separate"/>
            </w:r>
            <w:r>
              <w:rPr>
                <w:rFonts w:hint="default" w:ascii="Times New Roman" w:hAnsi="Times New Roman"/>
              </w:rPr>
              <w:t>280万元</w:t>
            </w:r>
            <w:r>
              <w:rPr>
                <w:rFonts w:hint="default" w:ascii="Times New Roman" w:hAnsi="Times New Roman"/>
              </w:rPr>
              <w:fldChar w:fldCharType="end"/>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建设性质：新建</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lang w:val="en-US" w:eastAsia="zh-CN"/>
              </w:rPr>
            </w:pPr>
            <w:r>
              <w:rPr>
                <w:rFonts w:hint="default" w:ascii="Times New Roman" w:hAnsi="Times New Roman"/>
              </w:rPr>
              <w:t>建设</w:t>
            </w:r>
            <w:r>
              <w:rPr>
                <w:rFonts w:hint="default" w:ascii="Times New Roman" w:hAnsi="Times New Roman"/>
                <w:color w:val="auto"/>
              </w:rPr>
              <w:t>规模：</w:t>
            </w:r>
            <w:r>
              <w:rPr>
                <w:rFonts w:hint="eastAsia" w:ascii="Times New Roman" w:hAnsi="Times New Roman"/>
                <w:color w:val="auto"/>
                <w:lang w:val="en-US" w:eastAsia="zh-CN"/>
              </w:rPr>
              <w:t>占地面积</w:t>
            </w:r>
            <w:r>
              <w:rPr>
                <w:rFonts w:hint="default" w:ascii="Times New Roman" w:hAnsi="Times New Roman"/>
                <w:color w:val="auto"/>
              </w:rPr>
              <w:t>5000m</w:t>
            </w:r>
            <w:r>
              <w:rPr>
                <w:rFonts w:hint="default" w:ascii="Times New Roman" w:hAnsi="Times New Roman"/>
                <w:color w:val="auto"/>
                <w:vertAlign w:val="superscript"/>
              </w:rPr>
              <w:t>2</w:t>
            </w:r>
            <w:r>
              <w:rPr>
                <w:rFonts w:hint="default" w:ascii="Times New Roman" w:hAnsi="Times New Roman"/>
                <w:color w:val="auto"/>
              </w:rPr>
              <w:t>，建筑面积2900m</w:t>
            </w:r>
            <w:r>
              <w:rPr>
                <w:rFonts w:hint="default" w:ascii="Times New Roman" w:hAnsi="Times New Roman"/>
                <w:color w:val="auto"/>
                <w:vertAlign w:val="superscript"/>
              </w:rPr>
              <w:t>2</w:t>
            </w:r>
            <w:r>
              <w:rPr>
                <w:rFonts w:hint="eastAsia"/>
                <w:color w:val="auto"/>
                <w:lang w:eastAsia="zh-CN"/>
              </w:rPr>
              <w:t>，</w:t>
            </w:r>
            <w:r>
              <w:rPr>
                <w:rFonts w:hint="eastAsia"/>
                <w:color w:val="auto"/>
                <w:lang w:val="en-US" w:eastAsia="zh-CN"/>
              </w:rPr>
              <w:t>建设一条机制砂生产线，</w:t>
            </w:r>
            <w:r>
              <w:rPr>
                <w:rFonts w:hint="eastAsia" w:ascii="Times New Roman" w:hAnsi="Times New Roman" w:eastAsia="宋体" w:cs="Times New Roman"/>
                <w:color w:val="auto"/>
                <w:lang w:val="en-US" w:eastAsia="zh-CN"/>
              </w:rPr>
              <w:t>其中</w:t>
            </w:r>
            <w:r>
              <w:rPr>
                <w:rFonts w:hint="default" w:ascii="Times New Roman" w:hAnsi="Times New Roman" w:eastAsia="宋体" w:cs="Times New Roman"/>
                <w:color w:val="auto"/>
              </w:rPr>
              <w:t>碎石（</w:t>
            </w:r>
            <w:r>
              <w:rPr>
                <w:rFonts w:hint="eastAsia" w:ascii="Times New Roman" w:hAnsi="Times New Roman" w:eastAsia="宋体" w:cs="Times New Roman"/>
                <w:color w:val="auto"/>
              </w:rPr>
              <w:t>1-3</w:t>
            </w:r>
            <w:r>
              <w:rPr>
                <w:rFonts w:hint="default" w:ascii="Times New Roman" w:hAnsi="Times New Roman" w:eastAsia="宋体" w:cs="Times New Roman"/>
                <w:color w:val="auto"/>
              </w:rPr>
              <w:t>cm）</w:t>
            </w:r>
            <w:r>
              <w:rPr>
                <w:rFonts w:hint="eastAsia" w:ascii="Times New Roman" w:hAnsi="Times New Roman" w:eastAsia="宋体" w:cs="Times New Roman"/>
                <w:color w:val="auto"/>
                <w:lang w:val="en-US" w:eastAsia="zh-CN"/>
              </w:rPr>
              <w:t>产量为</w:t>
            </w:r>
            <w:r>
              <w:rPr>
                <w:rFonts w:hint="default" w:ascii="Times New Roman" w:hAnsi="Times New Roman" w:eastAsia="宋体" w:cs="Times New Roman"/>
                <w:color w:val="auto"/>
              </w:rPr>
              <w:t>10万吨/年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细砂</w:t>
            </w:r>
            <w:r>
              <w:rPr>
                <w:rFonts w:hint="default" w:ascii="Times New Roman" w:hAnsi="Times New Roman" w:eastAsia="宋体" w:cs="Times New Roman"/>
                <w:color w:val="auto"/>
              </w:rPr>
              <w:t>（0-0.5cm）</w:t>
            </w:r>
            <w:r>
              <w:rPr>
                <w:rFonts w:hint="eastAsia" w:ascii="Times New Roman" w:hAnsi="Times New Roman" w:eastAsia="宋体" w:cs="Times New Roman"/>
                <w:color w:val="auto"/>
                <w:lang w:val="en-US" w:eastAsia="zh-CN"/>
              </w:rPr>
              <w:t>产量为</w:t>
            </w:r>
            <w:r>
              <w:rPr>
                <w:rFonts w:hint="default" w:ascii="Times New Roman" w:hAnsi="Times New Roman" w:eastAsia="宋体" w:cs="Times New Roman"/>
                <w:color w:val="auto"/>
              </w:rPr>
              <w:t>10万吨/年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生产规模：</w:t>
            </w:r>
            <w:r>
              <w:rPr>
                <w:rFonts w:hint="default" w:ascii="Times New Roman" w:hAnsi="Times New Roman"/>
              </w:rPr>
              <w:fldChar w:fldCharType="begin"/>
            </w:r>
            <w:r>
              <w:rPr>
                <w:rFonts w:hint="default" w:ascii="Times New Roman" w:hAnsi="Times New Roman"/>
              </w:rPr>
              <w:instrText xml:space="preserve"> REF 生产规模 \h  \* MERGEFORMAT </w:instrText>
            </w:r>
            <w:r>
              <w:rPr>
                <w:rFonts w:hint="default" w:ascii="Times New Roman" w:hAnsi="Times New Roman"/>
              </w:rPr>
              <w:fldChar w:fldCharType="separate"/>
            </w:r>
            <w:r>
              <w:rPr>
                <w:rFonts w:hint="default" w:ascii="Times New Roman" w:hAnsi="Times New Roman"/>
              </w:rPr>
              <w:t>年破碎20万吨砂石</w:t>
            </w:r>
            <w:r>
              <w:rPr>
                <w:rFonts w:hint="default" w:ascii="Times New Roman" w:hAnsi="Times New Roman"/>
              </w:rPr>
              <w:fldChar w:fldCharType="end"/>
            </w:r>
            <w:r>
              <w:rPr>
                <w:rFonts w:hint="default" w:ascii="Times New Roman" w:hAnsi="Times New Roman"/>
              </w:rPr>
              <w:t>料</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职工人数：8人，均住厂</w:t>
            </w:r>
          </w:p>
          <w:p>
            <w:pPr>
              <w:keepNext w:val="0"/>
              <w:keepLines w:val="0"/>
              <w:suppressLineNumbers w:val="0"/>
              <w:tabs>
                <w:tab w:val="left" w:pos="6451"/>
              </w:tabs>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工作制度：年工作天数300天，每天昼间10小时</w:t>
            </w: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2.2.2产品方案</w:t>
            </w:r>
          </w:p>
          <w:p>
            <w:pPr>
              <w:keepNext w:val="0"/>
              <w:keepLines w:val="0"/>
              <w:suppressLineNumbers w:val="0"/>
              <w:tabs>
                <w:tab w:val="left" w:pos="6451"/>
              </w:tabs>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迁建前的产品方案如下。</w:t>
            </w:r>
          </w:p>
          <w:p>
            <w:pPr>
              <w:pStyle w:val="33"/>
              <w:keepNext w:val="0"/>
              <w:keepLines w:val="0"/>
              <w:suppressLineNumbers w:val="0"/>
              <w:spacing w:before="120" w:beforeAutospacing="0" w:after="0" w:afterAutospacing="0"/>
              <w:ind w:left="0" w:right="0"/>
              <w:rPr>
                <w:rFonts w:hint="default" w:ascii="Times New Roman" w:hAnsi="Times New Roman"/>
              </w:rPr>
            </w:pPr>
            <w:r>
              <w:rPr>
                <w:rFonts w:hint="default" w:ascii="Times New Roman" w:hAnsi="Times New Roman"/>
                <w:b/>
                <w:bCs/>
                <w:sz w:val="21"/>
                <w:szCs w:val="21"/>
              </w:rPr>
              <w:t>表2.2-1迁建前产品方案一览表</w:t>
            </w:r>
          </w:p>
          <w:tbl>
            <w:tblPr>
              <w:tblStyle w:val="25"/>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738"/>
              <w:gridCol w:w="1903"/>
              <w:gridCol w:w="3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序号</w:t>
                  </w:r>
                </w:p>
              </w:tc>
              <w:tc>
                <w:tcPr>
                  <w:tcW w:w="17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原材料名称</w:t>
                  </w:r>
                </w:p>
              </w:tc>
              <w:tc>
                <w:tcPr>
                  <w:tcW w:w="190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产品名称</w:t>
                  </w:r>
                </w:p>
              </w:tc>
              <w:tc>
                <w:tcPr>
                  <w:tcW w:w="309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产品产量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1</w:t>
                  </w:r>
                </w:p>
              </w:tc>
              <w:tc>
                <w:tcPr>
                  <w:tcW w:w="1738"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废石料</w:t>
                  </w:r>
                </w:p>
              </w:tc>
              <w:tc>
                <w:tcPr>
                  <w:tcW w:w="190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（1-3cm）碎石</w:t>
                  </w:r>
                </w:p>
              </w:tc>
              <w:tc>
                <w:tcPr>
                  <w:tcW w:w="309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10万吨/年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2</w:t>
                  </w:r>
                </w:p>
              </w:tc>
              <w:tc>
                <w:tcPr>
                  <w:tcW w:w="173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p>
              </w:tc>
              <w:tc>
                <w:tcPr>
                  <w:tcW w:w="190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（0-0.5cm）细砂</w:t>
                  </w:r>
                </w:p>
              </w:tc>
              <w:tc>
                <w:tcPr>
                  <w:tcW w:w="309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val="0"/>
                      <w:bCs w:val="0"/>
                      <w:sz w:val="18"/>
                      <w:szCs w:val="18"/>
                    </w:rPr>
                  </w:pPr>
                  <w:r>
                    <w:rPr>
                      <w:rFonts w:hint="default"/>
                      <w:b w:val="0"/>
                      <w:bCs w:val="0"/>
                      <w:sz w:val="18"/>
                      <w:szCs w:val="18"/>
                    </w:rPr>
                    <w:t>10万吨/年</w:t>
                  </w:r>
                </w:p>
              </w:tc>
            </w:tr>
          </w:tbl>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2.2.3项目组成</w:t>
            </w:r>
          </w:p>
          <w:p>
            <w:pPr>
              <w:keepNext w:val="0"/>
              <w:keepLines w:val="0"/>
              <w:suppressLineNumbers w:val="0"/>
              <w:tabs>
                <w:tab w:val="left" w:pos="6451"/>
              </w:tabs>
              <w:spacing w:before="0" w:beforeAutospacing="0" w:after="0" w:afterAutospacing="0" w:line="440" w:lineRule="exact"/>
              <w:ind w:left="0" w:right="0" w:firstLine="480" w:firstLineChars="200"/>
              <w:rPr>
                <w:rFonts w:hint="eastAsia" w:ascii="Times New Roman" w:hAnsi="Times New Roman"/>
              </w:rPr>
            </w:pPr>
            <w:r>
              <w:rPr>
                <w:rFonts w:hint="eastAsia" w:ascii="Times New Roman" w:hAnsi="Times New Roman"/>
              </w:rPr>
              <w:t>迁建前工程组成如下。</w:t>
            </w:r>
          </w:p>
          <w:p>
            <w:pPr>
              <w:pStyle w:val="2"/>
              <w:keepNext w:val="0"/>
              <w:keepLines w:val="0"/>
              <w:suppressLineNumbers w:val="0"/>
              <w:spacing w:before="0" w:beforeAutospacing="0" w:after="0" w:afterAutospacing="0"/>
              <w:ind w:right="0"/>
              <w:rPr>
                <w:rFonts w:hint="eastAsia" w:ascii="Times New Roman" w:hAnsi="Times New Roman"/>
              </w:rPr>
            </w:pPr>
          </w:p>
          <w:p>
            <w:pPr>
              <w:pStyle w:val="3"/>
              <w:keepNext w:val="0"/>
              <w:keepLines w:val="0"/>
              <w:suppressLineNumbers w:val="0"/>
              <w:spacing w:beforeAutospacing="0" w:afterAutospacing="0"/>
              <w:ind w:left="0"/>
              <w:rPr>
                <w:rFonts w:hint="eastAsia" w:ascii="Times New Roman" w:hAnsi="Times New Roman"/>
              </w:rPr>
            </w:pPr>
          </w:p>
          <w:p>
            <w:pPr>
              <w:keepNext w:val="0"/>
              <w:keepLines w:val="0"/>
              <w:suppressLineNumbers w:val="0"/>
              <w:spacing w:before="0" w:beforeAutospacing="0" w:after="0" w:afterAutospacing="0"/>
              <w:ind w:left="0" w:right="0"/>
              <w:rPr>
                <w:rFonts w:hint="eastAsia" w:ascii="Times New Roman" w:hAnsi="Times New Roman"/>
              </w:rPr>
            </w:pPr>
          </w:p>
          <w:p>
            <w:pPr>
              <w:pStyle w:val="2"/>
              <w:keepNext w:val="0"/>
              <w:keepLines w:val="0"/>
              <w:suppressLineNumbers w:val="0"/>
              <w:spacing w:before="0" w:beforeAutospacing="0" w:after="0" w:afterAutospacing="0"/>
              <w:ind w:right="0"/>
              <w:rPr>
                <w:rFonts w:hint="eastAsia" w:ascii="Times New Roman" w:hAnsi="Times New Roman"/>
              </w:rPr>
            </w:pPr>
          </w:p>
          <w:p>
            <w:pPr>
              <w:pStyle w:val="3"/>
              <w:keepNext w:val="0"/>
              <w:keepLines w:val="0"/>
              <w:suppressLineNumbers w:val="0"/>
              <w:spacing w:beforeAutospacing="0" w:afterAutospacing="0"/>
              <w:ind w:left="0"/>
              <w:rPr>
                <w:rFonts w:hint="eastAsia" w:ascii="Times New Roman" w:hAnsi="Times New Roman"/>
              </w:rPr>
            </w:pPr>
          </w:p>
          <w:p>
            <w:pPr>
              <w:pStyle w:val="33"/>
              <w:keepNext w:val="0"/>
              <w:keepLines w:val="0"/>
              <w:suppressLineNumbers w:val="0"/>
              <w:spacing w:before="120" w:beforeAutospacing="0" w:after="0" w:afterAutospacing="0"/>
              <w:ind w:left="0" w:right="0"/>
              <w:rPr>
                <w:rFonts w:hint="default" w:ascii="Times New Roman" w:hAnsi="Times New Roman"/>
              </w:rPr>
            </w:pPr>
            <w:r>
              <w:rPr>
                <w:rFonts w:hint="default" w:ascii="Times New Roman" w:hAnsi="Times New Roman"/>
                <w:b/>
                <w:bCs/>
                <w:sz w:val="21"/>
                <w:szCs w:val="21"/>
              </w:rPr>
              <w:t>表2.2-2迁建前项目组成内容一览表</w:t>
            </w:r>
          </w:p>
          <w:tbl>
            <w:tblPr>
              <w:tblStyle w:val="25"/>
              <w:tblW w:w="8418"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90"/>
              <w:gridCol w:w="825"/>
              <w:gridCol w:w="1002"/>
              <w:gridCol w:w="580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7" w:type="dxa"/>
                  <w:gridSpan w:val="3"/>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bCs/>
                      <w:kern w:val="0"/>
                      <w:sz w:val="21"/>
                      <w:szCs w:val="21"/>
                    </w:rPr>
                  </w:pPr>
                  <w:r>
                    <w:rPr>
                      <w:rFonts w:hint="default" w:ascii="Times New Roman" w:hAnsi="Times New Roman"/>
                      <w:bCs/>
                      <w:kern w:val="0"/>
                      <w:sz w:val="21"/>
                      <w:szCs w:val="21"/>
                    </w:rPr>
                    <w:t>项  目  名  称</w:t>
                  </w:r>
                </w:p>
              </w:tc>
              <w:tc>
                <w:tcPr>
                  <w:tcW w:w="5801"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bCs/>
                      <w:kern w:val="0"/>
                      <w:sz w:val="21"/>
                      <w:szCs w:val="21"/>
                    </w:rPr>
                  </w:pPr>
                  <w:r>
                    <w:rPr>
                      <w:rFonts w:hint="default" w:ascii="Times New Roman" w:hAnsi="Times New Roman"/>
                      <w:bCs/>
                      <w:kern w:val="0"/>
                      <w:sz w:val="21"/>
                      <w:szCs w:val="21"/>
                    </w:rPr>
                    <w:t>建  设  规  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restart"/>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主体工程</w:t>
                  </w:r>
                </w:p>
              </w:tc>
              <w:tc>
                <w:tcPr>
                  <w:tcW w:w="1827" w:type="dxa"/>
                  <w:gridSpan w:val="2"/>
                  <w:vAlign w:val="center"/>
                </w:tcPr>
                <w:p>
                  <w:pPr>
                    <w:pStyle w:val="68"/>
                    <w:keepNext w:val="0"/>
                    <w:keepLines w:val="0"/>
                    <w:suppressLineNumbers w:val="0"/>
                    <w:spacing w:before="0" w:beforeAutospacing="0" w:after="0" w:afterAutospacing="0"/>
                    <w:ind w:left="0" w:leftChars="0" w:right="0" w:rightChars="0"/>
                    <w:jc w:val="center"/>
                    <w:rPr>
                      <w:rFonts w:hint="default"/>
                      <w:sz w:val="21"/>
                      <w:szCs w:val="21"/>
                    </w:rPr>
                  </w:pPr>
                  <w:r>
                    <w:rPr>
                      <w:rFonts w:hint="default"/>
                      <w:spacing w:val="-1"/>
                      <w:sz w:val="21"/>
                      <w:szCs w:val="21"/>
                    </w:rPr>
                    <w:t>生产车间</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color w:val="auto"/>
                      <w:kern w:val="0"/>
                      <w:sz w:val="21"/>
                      <w:szCs w:val="21"/>
                    </w:rPr>
                  </w:pPr>
                  <w:r>
                    <w:rPr>
                      <w:rFonts w:hint="default" w:ascii="Times New Roman" w:hAnsi="Times New Roman"/>
                      <w:color w:val="auto"/>
                      <w:kern w:val="0"/>
                      <w:sz w:val="21"/>
                      <w:szCs w:val="21"/>
                    </w:rPr>
                    <w:t>占地面积约</w:t>
                  </w:r>
                  <w:r>
                    <w:rPr>
                      <w:rFonts w:hint="eastAsia" w:ascii="Times New Roman" w:hAnsi="Times New Roman"/>
                      <w:color w:val="auto"/>
                      <w:kern w:val="0"/>
                      <w:sz w:val="21"/>
                      <w:szCs w:val="21"/>
                      <w:lang w:val="en-US" w:eastAsia="zh-CN"/>
                    </w:rPr>
                    <w:t>5000</w:t>
                  </w:r>
                  <w:r>
                    <w:rPr>
                      <w:rFonts w:hint="default" w:ascii="Times New Roman" w:hAnsi="Times New Roman"/>
                      <w:color w:val="auto"/>
                      <w:kern w:val="0"/>
                      <w:sz w:val="21"/>
                      <w:szCs w:val="21"/>
                    </w:rPr>
                    <w:t>m</w:t>
                  </w:r>
                  <w:r>
                    <w:rPr>
                      <w:rFonts w:hint="default" w:ascii="Times New Roman" w:hAnsi="Times New Roman"/>
                      <w:color w:val="auto"/>
                      <w:kern w:val="0"/>
                      <w:sz w:val="21"/>
                      <w:szCs w:val="21"/>
                      <w:vertAlign w:val="superscript"/>
                    </w:rPr>
                    <w:t>2</w:t>
                  </w:r>
                  <w:r>
                    <w:rPr>
                      <w:rFonts w:hint="default" w:ascii="Times New Roman" w:hAnsi="Times New Roman"/>
                      <w:color w:val="auto"/>
                      <w:kern w:val="0"/>
                      <w:sz w:val="21"/>
                      <w:szCs w:val="21"/>
                    </w:rPr>
                    <w:t>，建筑面积约2900m</w:t>
                  </w:r>
                  <w:r>
                    <w:rPr>
                      <w:rFonts w:hint="default" w:ascii="Times New Roman" w:hAnsi="Times New Roman"/>
                      <w:color w:val="auto"/>
                      <w:kern w:val="0"/>
                      <w:sz w:val="21"/>
                      <w:szCs w:val="21"/>
                      <w:vertAlign w:val="superscript"/>
                    </w:rPr>
                    <w:t>2</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lang w:val="en-US" w:eastAsia="zh-CN"/>
                    </w:rPr>
                    <w:t>建设一条机制砂生产线，主要设备包括破碎机、振动筛、对辊制砂机、滚筒式洗砂机等。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827" w:type="dxa"/>
                  <w:gridSpan w:val="2"/>
                  <w:vAlign w:val="center"/>
                </w:tcPr>
                <w:p>
                  <w:pPr>
                    <w:pStyle w:val="68"/>
                    <w:keepNext w:val="0"/>
                    <w:keepLines w:val="0"/>
                    <w:suppressLineNumbers w:val="0"/>
                    <w:spacing w:before="0" w:beforeAutospacing="0" w:after="0" w:afterAutospacing="0"/>
                    <w:ind w:left="0" w:leftChars="0" w:right="0" w:rightChars="0"/>
                    <w:jc w:val="center"/>
                    <w:rPr>
                      <w:rFonts w:hint="default"/>
                      <w:spacing w:val="-1"/>
                      <w:sz w:val="21"/>
                      <w:szCs w:val="21"/>
                    </w:rPr>
                  </w:pPr>
                  <w:r>
                    <w:rPr>
                      <w:rFonts w:hint="eastAsia"/>
                      <w:spacing w:val="-1"/>
                      <w:sz w:val="21"/>
                      <w:szCs w:val="21"/>
                    </w:rPr>
                    <w:t>原料堆场</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color w:val="auto"/>
                      <w:kern w:val="0"/>
                      <w:sz w:val="21"/>
                      <w:szCs w:val="21"/>
                    </w:rPr>
                  </w:pPr>
                  <w:r>
                    <w:rPr>
                      <w:rFonts w:hint="eastAsia" w:ascii="Times New Roman" w:hAnsi="Times New Roman"/>
                      <w:color w:val="auto"/>
                      <w:kern w:val="0"/>
                      <w:sz w:val="21"/>
                      <w:szCs w:val="21"/>
                      <w:lang w:val="en-US" w:eastAsia="zh-CN"/>
                    </w:rPr>
                    <w:t>露天，</w:t>
                  </w:r>
                  <w:r>
                    <w:rPr>
                      <w:rFonts w:hint="default" w:ascii="Times New Roman" w:hAnsi="Times New Roman"/>
                      <w:color w:val="auto"/>
                      <w:kern w:val="0"/>
                      <w:sz w:val="21"/>
                      <w:szCs w:val="21"/>
                    </w:rPr>
                    <w:t>占地面积约500m</w:t>
                  </w:r>
                  <w:r>
                    <w:rPr>
                      <w:rFonts w:hint="default" w:ascii="Times New Roman" w:hAnsi="Times New Roman"/>
                      <w:color w:val="auto"/>
                      <w:kern w:val="0"/>
                      <w:sz w:val="21"/>
                      <w:szCs w:val="21"/>
                      <w:vertAlign w:val="superscript"/>
                    </w:rPr>
                    <w:t>2</w:t>
                  </w:r>
                  <w:r>
                    <w:rPr>
                      <w:rFonts w:hint="default" w:ascii="Times New Roman" w:hAnsi="Times New Roman"/>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827" w:type="dxa"/>
                  <w:gridSpan w:val="2"/>
                  <w:vAlign w:val="center"/>
                </w:tcPr>
                <w:p>
                  <w:pPr>
                    <w:pStyle w:val="68"/>
                    <w:keepNext w:val="0"/>
                    <w:keepLines w:val="0"/>
                    <w:suppressLineNumbers w:val="0"/>
                    <w:spacing w:before="0" w:beforeAutospacing="0" w:after="0" w:afterAutospacing="0"/>
                    <w:ind w:left="0" w:leftChars="0" w:right="0" w:rightChars="0"/>
                    <w:jc w:val="center"/>
                    <w:rPr>
                      <w:rFonts w:hint="default"/>
                      <w:sz w:val="21"/>
                      <w:szCs w:val="21"/>
                    </w:rPr>
                  </w:pPr>
                  <w:r>
                    <w:rPr>
                      <w:rFonts w:hint="eastAsia"/>
                      <w:spacing w:val="-1"/>
                      <w:sz w:val="21"/>
                      <w:szCs w:val="21"/>
                    </w:rPr>
                    <w:t>成品堆场</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color w:val="auto"/>
                      <w:kern w:val="0"/>
                      <w:sz w:val="21"/>
                      <w:szCs w:val="21"/>
                    </w:rPr>
                  </w:pPr>
                  <w:r>
                    <w:rPr>
                      <w:rFonts w:hint="eastAsia" w:ascii="Times New Roman" w:hAnsi="Times New Roman"/>
                      <w:color w:val="auto"/>
                      <w:kern w:val="0"/>
                      <w:sz w:val="21"/>
                      <w:szCs w:val="21"/>
                      <w:lang w:val="en-US" w:eastAsia="zh-CN"/>
                    </w:rPr>
                    <w:t>设置顶棚，</w:t>
                  </w:r>
                  <w:r>
                    <w:rPr>
                      <w:rFonts w:hint="default" w:ascii="Times New Roman" w:hAnsi="Times New Roman"/>
                      <w:color w:val="auto"/>
                      <w:kern w:val="0"/>
                      <w:sz w:val="21"/>
                      <w:szCs w:val="21"/>
                    </w:rPr>
                    <w:t>占地面积约1000m</w:t>
                  </w:r>
                  <w:r>
                    <w:rPr>
                      <w:rFonts w:hint="default" w:ascii="Times New Roman" w:hAnsi="Times New Roman"/>
                      <w:color w:val="auto"/>
                      <w:kern w:val="0"/>
                      <w:sz w:val="21"/>
                      <w:szCs w:val="21"/>
                      <w:vertAlign w:val="superscript"/>
                    </w:rPr>
                    <w:t>2</w:t>
                  </w:r>
                  <w:r>
                    <w:rPr>
                      <w:rFonts w:hint="default" w:ascii="Times New Roman" w:hAnsi="Times New Roman"/>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restart"/>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公用工程</w:t>
                  </w:r>
                </w:p>
              </w:tc>
              <w:tc>
                <w:tcPr>
                  <w:tcW w:w="1827" w:type="dxa"/>
                  <w:gridSpan w:val="2"/>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供水</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color w:val="auto"/>
                      <w:kern w:val="0"/>
                      <w:sz w:val="21"/>
                      <w:szCs w:val="21"/>
                    </w:rPr>
                  </w:pPr>
                  <w:r>
                    <w:rPr>
                      <w:rFonts w:hint="default" w:ascii="Times New Roman" w:hAnsi="Times New Roman"/>
                      <w:color w:val="auto"/>
                      <w:sz w:val="21"/>
                      <w:szCs w:val="21"/>
                    </w:rPr>
                    <w:t>山泉水</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用</w:t>
                  </w:r>
                  <w:r>
                    <w:rPr>
                      <w:rFonts w:hint="eastAsia" w:ascii="Times New Roman" w:hAnsi="Times New Roman"/>
                      <w:color w:val="auto"/>
                      <w:sz w:val="21"/>
                      <w:szCs w:val="21"/>
                    </w:rPr>
                    <w:t>水量为</w:t>
                  </w:r>
                  <w:r>
                    <w:rPr>
                      <w:rFonts w:hint="eastAsia" w:ascii="Times New Roman" w:hAnsi="Times New Roman"/>
                      <w:color w:val="auto"/>
                      <w:sz w:val="21"/>
                      <w:szCs w:val="21"/>
                      <w:lang w:val="en-US" w:eastAsia="zh-CN"/>
                    </w:rPr>
                    <w:t>8660</w:t>
                  </w:r>
                  <w:r>
                    <w:rPr>
                      <w:rFonts w:hint="eastAsia" w:ascii="Times New Roman" w:hAnsi="Times New Roman"/>
                      <w:color w:val="auto"/>
                      <w:sz w:val="21"/>
                      <w:szCs w:val="21"/>
                    </w:rPr>
                    <w:t>t/a</w:t>
                  </w:r>
                  <w:r>
                    <w:rPr>
                      <w:rFonts w:hint="eastAsia" w:ascii="Times New Roman" w:hAnsi="Times New Roman"/>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827" w:type="dxa"/>
                  <w:gridSpan w:val="2"/>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排水</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color w:val="auto"/>
                      <w:sz w:val="21"/>
                      <w:szCs w:val="21"/>
                    </w:rPr>
                  </w:pPr>
                  <w:r>
                    <w:rPr>
                      <w:rFonts w:hint="default" w:ascii="Times New Roman" w:hAnsi="Times New Roman"/>
                      <w:color w:val="auto"/>
                      <w:kern w:val="0"/>
                      <w:sz w:val="21"/>
                      <w:szCs w:val="21"/>
                    </w:rPr>
                    <w:t>项目</w:t>
                  </w:r>
                  <w:r>
                    <w:rPr>
                      <w:rFonts w:hint="default" w:ascii="Times New Roman" w:hAnsi="Times New Roman"/>
                      <w:color w:val="auto"/>
                      <w:kern w:val="0"/>
                      <w:sz w:val="21"/>
                      <w:szCs w:val="21"/>
                      <w:lang w:val="en-GB"/>
                    </w:rPr>
                    <w:t>排水系统采用雨污分流制，雨水收集后直接外排，</w:t>
                  </w:r>
                  <w:r>
                    <w:rPr>
                      <w:rFonts w:hint="default" w:ascii="Times New Roman" w:hAnsi="Times New Roman"/>
                      <w:color w:val="auto"/>
                      <w:kern w:val="0"/>
                      <w:sz w:val="21"/>
                      <w:szCs w:val="21"/>
                    </w:rPr>
                    <w:t>各种废水实行清污分流，本项目废水主要包括生产废水和职工生活污水，生产废水经三级沉淀池处理后可循环使用，不外排；</w:t>
                  </w:r>
                  <w:r>
                    <w:rPr>
                      <w:rFonts w:hint="default" w:ascii="Times New Roman" w:hAnsi="Times New Roman"/>
                      <w:color w:val="auto"/>
                      <w:kern w:val="0"/>
                      <w:sz w:val="21"/>
                      <w:szCs w:val="21"/>
                      <w:lang w:val="en-GB"/>
                    </w:rPr>
                    <w:t>少量的生活污水依托</w:t>
                  </w:r>
                  <w:r>
                    <w:rPr>
                      <w:rFonts w:hint="default" w:ascii="Times New Roman" w:hAnsi="Times New Roman"/>
                      <w:color w:val="auto"/>
                      <w:kern w:val="0"/>
                      <w:sz w:val="21"/>
                      <w:szCs w:val="21"/>
                    </w:rPr>
                    <w:t>大田县顺嘉矿业公司处理后用于周边山林</w:t>
                  </w:r>
                  <w:r>
                    <w:rPr>
                      <w:rFonts w:hint="eastAsia" w:ascii="Times New Roman" w:hAnsi="Times New Roman"/>
                      <w:color w:val="auto"/>
                      <w:kern w:val="0"/>
                      <w:sz w:val="21"/>
                      <w:szCs w:val="21"/>
                    </w:rPr>
                    <w:t>灌溉</w:t>
                  </w:r>
                  <w:r>
                    <w:rPr>
                      <w:rFonts w:hint="default" w:ascii="Times New Roman" w:hAnsi="Times New Roman"/>
                      <w:color w:val="auto"/>
                      <w:kern w:val="0"/>
                      <w:sz w:val="21"/>
                      <w:szCs w:val="21"/>
                      <w:lang w:val="en-GB"/>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827" w:type="dxa"/>
                  <w:gridSpan w:val="2"/>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供电</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color w:val="auto"/>
                      <w:kern w:val="0"/>
                      <w:sz w:val="21"/>
                      <w:szCs w:val="21"/>
                    </w:rPr>
                  </w:pPr>
                  <w:r>
                    <w:rPr>
                      <w:rFonts w:hint="default" w:ascii="Times New Roman" w:hAnsi="Times New Roman"/>
                      <w:color w:val="auto"/>
                      <w:kern w:val="0"/>
                      <w:sz w:val="21"/>
                      <w:szCs w:val="21"/>
                    </w:rPr>
                    <w:t>市政供电</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rPr>
                    <w:t>用电量为400万kwh/a</w:t>
                  </w:r>
                  <w:r>
                    <w:rPr>
                      <w:rFonts w:hint="eastAsia" w:ascii="Times New Roman" w:hAnsi="Times New Roman"/>
                      <w:color w:val="auto"/>
                      <w:ker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环保工程</w:t>
                  </w:r>
                </w:p>
              </w:tc>
              <w:tc>
                <w:tcPr>
                  <w:tcW w:w="82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治理</w:t>
                  </w:r>
                </w:p>
                <w:p>
                  <w:pPr>
                    <w:keepNext w:val="0"/>
                    <w:keepLines w:val="0"/>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设施</w:t>
                  </w:r>
                </w:p>
              </w:tc>
              <w:tc>
                <w:tcPr>
                  <w:tcW w:w="100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废气</w:t>
                  </w:r>
                </w:p>
              </w:tc>
              <w:tc>
                <w:tcPr>
                  <w:tcW w:w="5801" w:type="dxa"/>
                  <w:vAlign w:val="center"/>
                </w:tcPr>
                <w:p>
                  <w:pPr>
                    <w:keepNext w:val="0"/>
                    <w:keepLines w:val="0"/>
                    <w:suppressLineNumbers w:val="0"/>
                    <w:spacing w:before="0" w:beforeAutospacing="0" w:after="0" w:afterAutospacing="0"/>
                    <w:ind w:left="0" w:leftChars="0" w:right="0" w:rightChars="0"/>
                    <w:rPr>
                      <w:rFonts w:hint="default" w:ascii="Times New Roman" w:hAnsi="Times New Roman"/>
                      <w:color w:val="auto"/>
                      <w:sz w:val="21"/>
                      <w:szCs w:val="21"/>
                    </w:rPr>
                  </w:pPr>
                  <w:r>
                    <w:rPr>
                      <w:rFonts w:hint="default" w:ascii="Times New Roman" w:hAnsi="Times New Roman"/>
                      <w:color w:val="auto"/>
                      <w:sz w:val="21"/>
                      <w:szCs w:val="21"/>
                      <w:lang w:val="en-US" w:eastAsia="zh-CN"/>
                    </w:rPr>
                    <w:t>原料堆场周围设置喷淋系统</w:t>
                  </w:r>
                  <w:r>
                    <w:rPr>
                      <w:rFonts w:hint="eastAsia" w:ascii="Times New Roman" w:hAnsi="Times New Roman"/>
                      <w:color w:val="auto"/>
                      <w:sz w:val="21"/>
                      <w:szCs w:val="21"/>
                      <w:lang w:val="en-US" w:eastAsia="zh-CN"/>
                    </w:rPr>
                    <w:t>；</w:t>
                  </w:r>
                  <w:r>
                    <w:rPr>
                      <w:rFonts w:hint="default" w:ascii="Times New Roman" w:hAnsi="Times New Roman"/>
                      <w:color w:val="auto"/>
                      <w:sz w:val="21"/>
                      <w:szCs w:val="21"/>
                      <w:lang w:val="en-US" w:eastAsia="zh-CN"/>
                    </w:rPr>
                    <w:t>破碎、筛分</w:t>
                  </w:r>
                  <w:r>
                    <w:rPr>
                      <w:rFonts w:hint="eastAsia" w:ascii="Times New Roman" w:hAnsi="Times New Roman"/>
                      <w:color w:val="auto"/>
                      <w:sz w:val="21"/>
                      <w:szCs w:val="21"/>
                      <w:lang w:val="en-US" w:eastAsia="zh-CN"/>
                    </w:rPr>
                    <w:t>、输送过程</w:t>
                  </w:r>
                  <w:r>
                    <w:rPr>
                      <w:rFonts w:hint="default" w:ascii="Times New Roman" w:hAnsi="Times New Roman"/>
                      <w:color w:val="auto"/>
                      <w:sz w:val="21"/>
                      <w:szCs w:val="21"/>
                      <w:lang w:val="en-US" w:eastAsia="zh-CN"/>
                    </w:rPr>
                    <w:t>等产生的粉尘采取</w:t>
                  </w:r>
                  <w:r>
                    <w:rPr>
                      <w:rFonts w:hint="eastAsia" w:ascii="Times New Roman" w:hAnsi="Times New Roman"/>
                      <w:color w:val="auto"/>
                      <w:sz w:val="21"/>
                      <w:szCs w:val="21"/>
                      <w:lang w:val="en-US" w:eastAsia="zh-CN"/>
                    </w:rPr>
                    <w:t>水管喷淋</w:t>
                  </w:r>
                  <w:r>
                    <w:rPr>
                      <w:rFonts w:hint="default" w:ascii="Times New Roman" w:hAnsi="Times New Roman"/>
                      <w:color w:val="auto"/>
                      <w:sz w:val="21"/>
                      <w:szCs w:val="21"/>
                      <w:lang w:val="en-US" w:eastAsia="zh-CN"/>
                    </w:rPr>
                    <w:t>抑尘</w:t>
                  </w:r>
                  <w:r>
                    <w:rPr>
                      <w:rFonts w:hint="eastAsia" w:ascii="Times New Roman" w:hAnsi="Times New Roman"/>
                      <w:color w:val="auto"/>
                      <w:sz w:val="21"/>
                      <w:szCs w:val="21"/>
                      <w:lang w:val="en-US" w:eastAsia="zh-CN"/>
                    </w:rPr>
                    <w:t>；成品堆场设置顶棚。</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82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00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废水</w:t>
                  </w:r>
                </w:p>
              </w:tc>
              <w:tc>
                <w:tcPr>
                  <w:tcW w:w="5801" w:type="dxa"/>
                  <w:vAlign w:val="center"/>
                </w:tcPr>
                <w:p>
                  <w:pPr>
                    <w:keepNext w:val="0"/>
                    <w:keepLines w:val="0"/>
                    <w:suppressLineNumbers w:val="0"/>
                    <w:spacing w:before="0" w:beforeAutospacing="0" w:after="0" w:afterAutospacing="0"/>
                    <w:ind w:left="0" w:leftChars="0" w:right="0" w:rightChars="0"/>
                    <w:rPr>
                      <w:rFonts w:hint="default" w:ascii="Times New Roman" w:hAnsi="Times New Roman"/>
                      <w:color w:val="auto"/>
                      <w:kern w:val="0"/>
                      <w:sz w:val="21"/>
                      <w:szCs w:val="21"/>
                    </w:rPr>
                  </w:pPr>
                  <w:r>
                    <w:rPr>
                      <w:rFonts w:hint="default" w:ascii="Times New Roman" w:hAnsi="Times New Roman"/>
                      <w:color w:val="auto"/>
                      <w:sz w:val="21"/>
                      <w:szCs w:val="21"/>
                    </w:rPr>
                    <w:t>三级沉淀池，废水处理规模约为130m</w:t>
                  </w:r>
                  <w:r>
                    <w:rPr>
                      <w:rFonts w:hint="default" w:ascii="Times New Roman" w:hAnsi="Times New Roman"/>
                      <w:color w:val="auto"/>
                      <w:sz w:val="21"/>
                      <w:szCs w:val="21"/>
                      <w:vertAlign w:val="superscript"/>
                    </w:rPr>
                    <w:t>3</w:t>
                  </w:r>
                  <w:r>
                    <w:rPr>
                      <w:rFonts w:hint="default" w:ascii="Times New Roman" w:hAnsi="Times New Roman"/>
                      <w:color w:val="auto"/>
                      <w:sz w:val="21"/>
                      <w:szCs w:val="21"/>
                    </w:rPr>
                    <w:t>/d。</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825"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002"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噪声</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color w:val="auto"/>
                      <w:kern w:val="0"/>
                      <w:sz w:val="21"/>
                      <w:szCs w:val="21"/>
                    </w:rPr>
                  </w:pPr>
                  <w:r>
                    <w:rPr>
                      <w:rFonts w:hint="default" w:ascii="Times New Roman" w:hAnsi="Times New Roman"/>
                      <w:color w:val="auto"/>
                      <w:sz w:val="21"/>
                      <w:szCs w:val="21"/>
                    </w:rPr>
                    <w:t>选用低噪声设备，设备上隔振垫降噪等措施。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825"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002" w:type="dxa"/>
                  <w:vMerge w:val="restart"/>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r>
                    <w:rPr>
                      <w:rFonts w:hint="default" w:ascii="Times New Roman" w:hAnsi="Times New Roman"/>
                      <w:kern w:val="0"/>
                      <w:sz w:val="21"/>
                      <w:szCs w:val="21"/>
                    </w:rPr>
                    <w:t>固废</w:t>
                  </w:r>
                </w:p>
              </w:tc>
              <w:tc>
                <w:tcPr>
                  <w:tcW w:w="5801" w:type="dxa"/>
                  <w:vAlign w:val="center"/>
                </w:tcPr>
                <w:p>
                  <w:pPr>
                    <w:keepNext w:val="0"/>
                    <w:keepLines w:val="0"/>
                    <w:widowControl/>
                    <w:suppressLineNumbers w:val="0"/>
                    <w:spacing w:before="0" w:beforeAutospacing="0" w:after="0" w:afterAutospacing="0"/>
                    <w:ind w:left="0" w:leftChars="0" w:right="0" w:rightChars="0"/>
                    <w:rPr>
                      <w:rFonts w:hint="default" w:ascii="Times New Roman" w:hAnsi="Times New Roman"/>
                      <w:bCs/>
                      <w:color w:val="auto"/>
                      <w:sz w:val="21"/>
                      <w:szCs w:val="21"/>
                    </w:rPr>
                  </w:pPr>
                  <w:r>
                    <w:rPr>
                      <w:rFonts w:hint="eastAsia" w:ascii="Times New Roman" w:hAnsi="Times New Roman"/>
                      <w:bCs/>
                      <w:color w:val="auto"/>
                      <w:sz w:val="21"/>
                      <w:szCs w:val="21"/>
                    </w:rPr>
                    <w:t>污泥暂存池</w:t>
                  </w:r>
                  <w:r>
                    <w:rPr>
                      <w:rFonts w:hint="default" w:ascii="Times New Roman" w:hAnsi="Times New Roman"/>
                      <w:bCs/>
                      <w:color w:val="auto"/>
                      <w:sz w:val="21"/>
                      <w:szCs w:val="21"/>
                    </w:rPr>
                    <w:t>，</w:t>
                  </w:r>
                  <w:r>
                    <w:rPr>
                      <w:rFonts w:hint="eastAsia" w:ascii="Times New Roman" w:hAnsi="Times New Roman"/>
                      <w:bCs/>
                      <w:color w:val="auto"/>
                      <w:sz w:val="21"/>
                      <w:szCs w:val="21"/>
                      <w:lang w:val="en-US" w:eastAsia="zh-CN"/>
                    </w:rPr>
                    <w:t>容积</w:t>
                  </w:r>
                  <w:r>
                    <w:rPr>
                      <w:rFonts w:hint="default" w:ascii="Times New Roman" w:hAnsi="Times New Roman"/>
                      <w:bCs/>
                      <w:color w:val="auto"/>
                      <w:sz w:val="21"/>
                      <w:szCs w:val="21"/>
                    </w:rPr>
                    <w:t>20m</w:t>
                  </w:r>
                  <w:r>
                    <w:rPr>
                      <w:rFonts w:hint="eastAsia" w:ascii="Times New Roman" w:hAnsi="Times New Roman"/>
                      <w:bCs/>
                      <w:color w:val="auto"/>
                      <w:sz w:val="21"/>
                      <w:szCs w:val="21"/>
                      <w:vertAlign w:val="superscript"/>
                      <w:lang w:val="en-US" w:eastAsia="zh-CN"/>
                    </w:rPr>
                    <w:t>3</w:t>
                  </w:r>
                  <w:r>
                    <w:rPr>
                      <w:rFonts w:hint="eastAsia" w:ascii="Times New Roman" w:hAnsi="Times New Roman"/>
                      <w:bCs/>
                      <w:color w:val="auto"/>
                      <w:sz w:val="21"/>
                      <w:szCs w:val="21"/>
                      <w:vertAlign w:val="baseline"/>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90"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825"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1002"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kern w:val="0"/>
                      <w:sz w:val="21"/>
                      <w:szCs w:val="21"/>
                    </w:rPr>
                  </w:pPr>
                </w:p>
              </w:tc>
              <w:tc>
                <w:tcPr>
                  <w:tcW w:w="5801" w:type="dxa"/>
                  <w:vAlign w:val="center"/>
                </w:tcPr>
                <w:p>
                  <w:pPr>
                    <w:keepNext w:val="0"/>
                    <w:keepLines w:val="0"/>
                    <w:widowControl/>
                    <w:suppressLineNumbers w:val="0"/>
                    <w:spacing w:before="0" w:beforeAutospacing="0" w:after="0" w:afterAutospacing="0"/>
                    <w:ind w:left="0" w:leftChars="0" w:right="0" w:rightChars="0"/>
                    <w:rPr>
                      <w:rFonts w:hint="eastAsia" w:ascii="Times New Roman" w:hAnsi="Times New Roman" w:eastAsia="宋体"/>
                      <w:bCs/>
                      <w:color w:val="auto"/>
                      <w:sz w:val="21"/>
                      <w:szCs w:val="21"/>
                      <w:lang w:eastAsia="zh-CN"/>
                    </w:rPr>
                  </w:pPr>
                  <w:r>
                    <w:rPr>
                      <w:rFonts w:hint="default" w:ascii="Times New Roman" w:hAnsi="Times New Roman"/>
                      <w:bCs/>
                      <w:color w:val="auto"/>
                      <w:sz w:val="21"/>
                      <w:szCs w:val="21"/>
                    </w:rPr>
                    <w:t>危废储存间，面积15m</w:t>
                  </w:r>
                  <w:r>
                    <w:rPr>
                      <w:rFonts w:hint="default" w:ascii="Times New Roman" w:hAnsi="Times New Roman"/>
                      <w:bCs/>
                      <w:color w:val="auto"/>
                      <w:sz w:val="21"/>
                      <w:szCs w:val="21"/>
                      <w:vertAlign w:val="superscript"/>
                    </w:rPr>
                    <w:t>2</w:t>
                  </w:r>
                  <w:r>
                    <w:rPr>
                      <w:rFonts w:hint="eastAsia" w:ascii="Times New Roman" w:hAnsi="Times New Roman"/>
                      <w:bCs/>
                      <w:color w:val="auto"/>
                      <w:sz w:val="21"/>
                      <w:szCs w:val="21"/>
                      <w:vertAlign w:val="baseline"/>
                      <w:lang w:eastAsia="zh-CN"/>
                    </w:rPr>
                    <w:t>，</w:t>
                  </w:r>
                  <w:r>
                    <w:rPr>
                      <w:rFonts w:hint="eastAsia" w:eastAsia="宋体"/>
                      <w:color w:val="auto"/>
                      <w:sz w:val="21"/>
                      <w:szCs w:val="21"/>
                    </w:rPr>
                    <w:t>地面</w:t>
                  </w:r>
                  <w:r>
                    <w:rPr>
                      <w:rFonts w:hint="eastAsia" w:eastAsia="宋体"/>
                      <w:color w:val="auto"/>
                      <w:sz w:val="21"/>
                      <w:szCs w:val="21"/>
                      <w:lang w:val="en-US" w:eastAsia="zh-CN"/>
                    </w:rPr>
                    <w:t>混凝土</w:t>
                  </w:r>
                  <w:r>
                    <w:rPr>
                      <w:rFonts w:hint="eastAsia" w:eastAsia="宋体"/>
                      <w:color w:val="auto"/>
                      <w:sz w:val="21"/>
                      <w:szCs w:val="21"/>
                    </w:rPr>
                    <w:t>防渗</w:t>
                  </w:r>
                  <w:r>
                    <w:rPr>
                      <w:rFonts w:hint="eastAsia" w:eastAsia="宋体"/>
                      <w:color w:val="auto"/>
                      <w:sz w:val="21"/>
                      <w:szCs w:val="21"/>
                      <w:lang w:eastAsia="zh-CN"/>
                    </w:rPr>
                    <w:t>。</w:t>
                  </w:r>
                </w:p>
              </w:tc>
            </w:tr>
          </w:tbl>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2.2.4主要生产设备</w:t>
            </w:r>
          </w:p>
          <w:p>
            <w:pPr>
              <w:keepNext w:val="0"/>
              <w:keepLines w:val="0"/>
              <w:suppressLineNumbers w:val="0"/>
              <w:tabs>
                <w:tab w:val="left" w:pos="6451"/>
              </w:tabs>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迁建前主要生产设备如下。</w:t>
            </w:r>
          </w:p>
          <w:p>
            <w:pPr>
              <w:pStyle w:val="33"/>
              <w:keepNext w:val="0"/>
              <w:keepLines w:val="0"/>
              <w:suppressLineNumbers w:val="0"/>
              <w:spacing w:before="120" w:beforeAutospacing="0" w:after="0" w:afterAutospacing="0"/>
              <w:ind w:left="0" w:right="0"/>
              <w:rPr>
                <w:rFonts w:hint="default" w:ascii="Times New Roman" w:hAnsi="Times New Roman"/>
                <w:b/>
                <w:bCs/>
                <w:sz w:val="21"/>
                <w:szCs w:val="21"/>
              </w:rPr>
            </w:pPr>
            <w:r>
              <w:rPr>
                <w:rFonts w:hint="default" w:ascii="Times New Roman" w:hAnsi="Times New Roman"/>
                <w:b/>
                <w:bCs/>
                <w:sz w:val="21"/>
                <w:szCs w:val="21"/>
              </w:rPr>
              <w:t>表2.2-3</w:t>
            </w:r>
            <w:r>
              <w:rPr>
                <w:rFonts w:hint="eastAsia" w:ascii="Times New Roman" w:hAnsi="Times New Roman"/>
                <w:b/>
                <w:bCs/>
                <w:sz w:val="21"/>
                <w:szCs w:val="21"/>
              </w:rPr>
              <w:t>迁建前</w:t>
            </w:r>
            <w:r>
              <w:rPr>
                <w:rFonts w:hint="default" w:ascii="Times New Roman" w:hAnsi="Times New Roman"/>
                <w:b/>
                <w:bCs/>
                <w:sz w:val="21"/>
                <w:szCs w:val="21"/>
              </w:rPr>
              <w:t>主要生产设备一览表</w:t>
            </w:r>
          </w:p>
          <w:tbl>
            <w:tblPr>
              <w:tblStyle w:val="25"/>
              <w:tblW w:w="83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908"/>
              <w:gridCol w:w="2705"/>
              <w:gridCol w:w="20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44"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b/>
                      <w:bCs/>
                      <w:sz w:val="21"/>
                      <w:szCs w:val="21"/>
                    </w:rPr>
                  </w:pPr>
                  <w:r>
                    <w:rPr>
                      <w:rFonts w:hint="default" w:ascii="Times New Roman" w:hAnsi="Times New Roman" w:eastAsia="宋体"/>
                      <w:b/>
                      <w:bCs/>
                      <w:sz w:val="21"/>
                      <w:szCs w:val="21"/>
                    </w:rPr>
                    <w:t>项目</w:t>
                  </w:r>
                </w:p>
              </w:tc>
              <w:tc>
                <w:tcPr>
                  <w:tcW w:w="1908"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b/>
                      <w:bCs/>
                      <w:sz w:val="21"/>
                      <w:szCs w:val="21"/>
                    </w:rPr>
                  </w:pPr>
                  <w:r>
                    <w:rPr>
                      <w:rFonts w:hint="default" w:ascii="Times New Roman" w:hAnsi="Times New Roman" w:eastAsia="宋体"/>
                      <w:b/>
                      <w:bCs/>
                      <w:sz w:val="21"/>
                      <w:szCs w:val="21"/>
                    </w:rPr>
                    <w:t>序号</w:t>
                  </w:r>
                </w:p>
              </w:tc>
              <w:tc>
                <w:tcPr>
                  <w:tcW w:w="2705" w:type="dxa"/>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21"/>
                      <w:szCs w:val="21"/>
                    </w:rPr>
                  </w:pPr>
                  <w:r>
                    <w:rPr>
                      <w:rFonts w:hint="default" w:ascii="Times New Roman" w:hAnsi="Times New Roman"/>
                      <w:b/>
                      <w:bCs/>
                      <w:sz w:val="21"/>
                      <w:szCs w:val="21"/>
                    </w:rPr>
                    <w:t>设备名称</w:t>
                  </w:r>
                </w:p>
              </w:tc>
              <w:tc>
                <w:tcPr>
                  <w:tcW w:w="2085"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b/>
                      <w:bCs/>
                      <w:sz w:val="21"/>
                      <w:szCs w:val="21"/>
                    </w:rPr>
                  </w:pPr>
                  <w:r>
                    <w:rPr>
                      <w:rFonts w:hint="default" w:ascii="Times New Roman" w:hAnsi="Times New Roman" w:eastAsia="宋体"/>
                      <w:b/>
                      <w:bCs/>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44" w:type="dxa"/>
                  <w:vMerge w:val="restart"/>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r>
                    <w:rPr>
                      <w:rFonts w:hint="default" w:ascii="Times New Roman" w:hAnsi="Times New Roman" w:eastAsia="宋体"/>
                      <w:sz w:val="21"/>
                      <w:szCs w:val="21"/>
                    </w:rPr>
                    <w:t>碎石、砂石破碎加工项目</w:t>
                  </w:r>
                </w:p>
              </w:tc>
              <w:tc>
                <w:tcPr>
                  <w:tcW w:w="1908"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r>
                    <w:rPr>
                      <w:rFonts w:hint="default" w:ascii="Times New Roman" w:hAnsi="Times New Roman" w:eastAsia="宋体"/>
                      <w:sz w:val="21"/>
                      <w:szCs w:val="21"/>
                    </w:rPr>
                    <w:t>1</w:t>
                  </w:r>
                </w:p>
              </w:tc>
              <w:tc>
                <w:tcPr>
                  <w:tcW w:w="270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69破碎机</w:t>
                  </w:r>
                </w:p>
              </w:tc>
              <w:tc>
                <w:tcPr>
                  <w:tcW w:w="208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44" w:type="dxa"/>
                  <w:vMerge w:val="continue"/>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p>
              </w:tc>
              <w:tc>
                <w:tcPr>
                  <w:tcW w:w="1908"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r>
                    <w:rPr>
                      <w:rFonts w:hint="default" w:ascii="Times New Roman" w:hAnsi="Times New Roman" w:eastAsia="宋体"/>
                      <w:sz w:val="21"/>
                      <w:szCs w:val="21"/>
                    </w:rPr>
                    <w:t>2</w:t>
                  </w:r>
                </w:p>
              </w:tc>
              <w:tc>
                <w:tcPr>
                  <w:tcW w:w="270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155圆锥机</w:t>
                  </w:r>
                </w:p>
              </w:tc>
              <w:tc>
                <w:tcPr>
                  <w:tcW w:w="208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44" w:type="dxa"/>
                  <w:vMerge w:val="continue"/>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p>
              </w:tc>
              <w:tc>
                <w:tcPr>
                  <w:tcW w:w="1908"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r>
                    <w:rPr>
                      <w:rFonts w:hint="default" w:ascii="Times New Roman" w:hAnsi="Times New Roman" w:eastAsia="宋体"/>
                      <w:sz w:val="21"/>
                      <w:szCs w:val="21"/>
                    </w:rPr>
                    <w:t>3</w:t>
                  </w:r>
                </w:p>
              </w:tc>
              <w:tc>
                <w:tcPr>
                  <w:tcW w:w="270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对滚制砂机</w:t>
                  </w:r>
                </w:p>
              </w:tc>
              <w:tc>
                <w:tcPr>
                  <w:tcW w:w="208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44" w:type="dxa"/>
                  <w:vMerge w:val="continue"/>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p>
              </w:tc>
              <w:tc>
                <w:tcPr>
                  <w:tcW w:w="1908"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r>
                    <w:rPr>
                      <w:rFonts w:hint="default" w:ascii="Times New Roman" w:hAnsi="Times New Roman" w:eastAsia="宋体"/>
                      <w:sz w:val="21"/>
                      <w:szCs w:val="21"/>
                    </w:rPr>
                    <w:t>4</w:t>
                  </w:r>
                </w:p>
              </w:tc>
              <w:tc>
                <w:tcPr>
                  <w:tcW w:w="270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2*6振动筛</w:t>
                  </w:r>
                </w:p>
              </w:tc>
              <w:tc>
                <w:tcPr>
                  <w:tcW w:w="208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2</w:t>
                  </w:r>
                  <w:r>
                    <w:rPr>
                      <w:rFonts w:hint="default" w:ascii="Times New Roman" w:hAnsi="Times New Roman"/>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44" w:type="dxa"/>
                  <w:vMerge w:val="continue"/>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p>
              </w:tc>
              <w:tc>
                <w:tcPr>
                  <w:tcW w:w="1908" w:type="dxa"/>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21"/>
                      <w:szCs w:val="21"/>
                    </w:rPr>
                  </w:pPr>
                  <w:r>
                    <w:rPr>
                      <w:rFonts w:hint="default" w:ascii="Times New Roman" w:hAnsi="Times New Roman" w:eastAsia="宋体"/>
                      <w:sz w:val="21"/>
                      <w:szCs w:val="21"/>
                    </w:rPr>
                    <w:t>5</w:t>
                  </w:r>
                </w:p>
              </w:tc>
              <w:tc>
                <w:tcPr>
                  <w:tcW w:w="270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滚筒式洗砂机</w:t>
                  </w:r>
                </w:p>
              </w:tc>
              <w:tc>
                <w:tcPr>
                  <w:tcW w:w="208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1台</w:t>
                  </w:r>
                </w:p>
              </w:tc>
            </w:tr>
          </w:tbl>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2.2.5工艺流程</w:t>
            </w:r>
          </w:p>
          <w:p>
            <w:pPr>
              <w:pStyle w:val="34"/>
              <w:keepNext w:val="0"/>
              <w:keepLines w:val="0"/>
              <w:suppressLineNumbers w:val="0"/>
              <w:spacing w:before="0" w:beforeAutospacing="0" w:after="0" w:afterAutospacing="0"/>
              <w:ind w:left="0" w:right="0" w:firstLine="480"/>
              <w:jc w:val="center"/>
              <w:rPr>
                <w:rFonts w:hint="default"/>
              </w:rPr>
            </w:pPr>
            <w:r>
              <w:rPr>
                <w:rFonts w:hint="default"/>
              </w:rPr>
              <w:drawing>
                <wp:inline distT="0" distB="0" distL="114300" distR="114300">
                  <wp:extent cx="1901190" cy="3075305"/>
                  <wp:effectExtent l="0" t="0" r="0" b="1079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901190" cy="3075305"/>
                          </a:xfrm>
                          <a:prstGeom prst="rect">
                            <a:avLst/>
                          </a:prstGeom>
                          <a:noFill/>
                          <a:ln>
                            <a:noFill/>
                          </a:ln>
                        </pic:spPr>
                      </pic:pic>
                    </a:graphicData>
                  </a:graphic>
                </wp:inline>
              </w:drawing>
            </w:r>
          </w:p>
          <w:p>
            <w:pPr>
              <w:pStyle w:val="22"/>
              <w:keepNext/>
              <w:keepLines w:val="0"/>
              <w:suppressLineNumbers w:val="0"/>
              <w:adjustRightInd w:val="0"/>
              <w:snapToGrid w:val="0"/>
              <w:spacing w:before="120" w:beforeLines="50" w:beforeAutospacing="0" w:after="0" w:afterAutospacing="0" w:line="240" w:lineRule="auto"/>
              <w:ind w:left="0" w:right="0"/>
              <w:outlineLvl w:val="9"/>
              <w:rPr>
                <w:rFonts w:hint="default" w:ascii="Times New Roman" w:hAnsi="Times New Roman" w:eastAsia="黑体"/>
                <w:bCs w:val="0"/>
                <w:sz w:val="21"/>
                <w:szCs w:val="21"/>
              </w:rPr>
            </w:pPr>
            <w:r>
              <w:rPr>
                <w:rFonts w:hint="default" w:ascii="Times New Roman" w:hAnsi="Times New Roman" w:eastAsia="黑体"/>
                <w:bCs w:val="0"/>
                <w:sz w:val="21"/>
                <w:szCs w:val="21"/>
              </w:rPr>
              <w:t>图2.2-1迁建前工艺流程示意图</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工艺流程说明：购进</w:t>
            </w:r>
            <w:r>
              <w:rPr>
                <w:rFonts w:hint="eastAsia" w:ascii="Times New Roman" w:hAnsi="Times New Roman"/>
              </w:rPr>
              <w:t>的</w:t>
            </w:r>
            <w:r>
              <w:rPr>
                <w:rFonts w:hint="default" w:ascii="Times New Roman" w:hAnsi="Times New Roman"/>
              </w:rPr>
              <w:t>原料首先经破碎机进行粗破，粗破后的物料进入圆锥式破碎机进行二次破碎，再经振动筛进行筛分，形成碎石成品，剩余筛下物由输送带送入制砂机进行制</w:t>
            </w:r>
            <w:r>
              <w:rPr>
                <w:rFonts w:hint="eastAsia" w:ascii="Times New Roman" w:hAnsi="Times New Roman"/>
              </w:rPr>
              <w:t>成</w:t>
            </w:r>
            <w:r>
              <w:rPr>
                <w:rFonts w:hint="default" w:ascii="Times New Roman" w:hAnsi="Times New Roman"/>
              </w:rPr>
              <w:t>砂石料符合要求的物料即为产品，最后通过清洗后进入</w:t>
            </w:r>
            <w:r>
              <w:rPr>
                <w:rFonts w:hint="eastAsia" w:ascii="Times New Roman" w:hAnsi="Times New Roman"/>
              </w:rPr>
              <w:t>成品堆场</w:t>
            </w:r>
            <w:r>
              <w:rPr>
                <w:rFonts w:hint="default" w:ascii="Times New Roman" w:hAnsi="Times New Roman"/>
              </w:rPr>
              <w:t>。</w:t>
            </w: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2.2.6产污环节</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①</w:t>
            </w:r>
            <w:r>
              <w:rPr>
                <w:rFonts w:hint="default" w:ascii="Times New Roman" w:hAnsi="Times New Roman"/>
              </w:rPr>
              <w:t>废水：生产废水、职工生活污水。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②</w:t>
            </w:r>
            <w:r>
              <w:rPr>
                <w:rFonts w:hint="default" w:ascii="Times New Roman" w:hAnsi="Times New Roman"/>
              </w:rPr>
              <w:t>废气：无组织粉尘。</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③</w:t>
            </w:r>
            <w:r>
              <w:rPr>
                <w:rFonts w:hint="default" w:ascii="Times New Roman" w:hAnsi="Times New Roman"/>
              </w:rPr>
              <w:t>噪声：生产设备运行的噪声。</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④</w:t>
            </w:r>
            <w:r>
              <w:rPr>
                <w:rFonts w:hint="default" w:ascii="Times New Roman" w:hAnsi="Times New Roman"/>
              </w:rPr>
              <w:t>固废：污泥、废机油及职工生活垃圾。</w:t>
            </w: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2.2.7污染物排放情况</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污染物排放情况引用迁建前环评资料：</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rPr>
            </w:pPr>
            <w:r>
              <w:rPr>
                <w:rFonts w:hint="eastAsia" w:ascii="Times New Roman" w:hAnsi="Times New Roman"/>
              </w:rPr>
              <w:t>①废水：洗砂废水经三级沉淀池泥水分离处理后，循环使用于生产工艺，不外排；加工场地地表径流废水通过设置排水沟引至三级沉淀池回用生产，不外排；运输车辆及场地冲洗废水经地面收集系统后排入三级沉淀池后循环回用，不外排；生活污水依托大田县顺嘉矿业公司统一处理，经化粪池处理后定期清掏用于周边山林灌溉，不外排。</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rPr>
            </w:pPr>
            <w:r>
              <w:rPr>
                <w:rFonts w:hint="eastAsia" w:ascii="Times New Roman" w:hAnsi="Times New Roman"/>
              </w:rPr>
              <w:t>②废气：主要废气污染源为成品堆场和生产过程产生的粉尘，全程采取湿式作业、洒水抑尘等措施后，全厂无组织排放量共约为0.3217t/a（0.1072kg/h）。</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rPr>
            </w:pPr>
            <w:r>
              <w:rPr>
                <w:rFonts w:hint="eastAsia" w:ascii="Times New Roman" w:hAnsi="Times New Roman"/>
              </w:rPr>
              <w:t>③噪声：昼间生产过程中四侧厂界昼间噪声可达到《工业企业厂界环境噪声排放标准》（GB12348-2008）表1中2类标准限值（即昼间≤60dB(A)）。</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rPr>
            </w:pPr>
            <w:r>
              <w:rPr>
                <w:rFonts w:hint="eastAsia" w:ascii="Times New Roman" w:hAnsi="Times New Roman"/>
              </w:rPr>
              <w:t>④固废：产生的底渣，经压滤机脱水后放于暂存池，定期外售用作制砖，产生量为0.5万t/a；员工日常生活产生的生活垃圾，由环卫部门定期统一处理，产生量为2.4t/a；本项目运营后在机修过程中会产生少量废机油，产生量约0.02t/a，经桶装收集后，统一贮存在危废间，委托有资质的单位处置。</w:t>
            </w:r>
          </w:p>
          <w:p>
            <w:pPr>
              <w:pStyle w:val="7"/>
              <w:suppressLineNumbers w:val="0"/>
              <w:spacing w:before="120" w:beforeAutospacing="0" w:after="120" w:afterAutospacing="0" w:line="440" w:lineRule="exact"/>
              <w:ind w:left="0" w:right="0"/>
              <w:rPr>
                <w:rFonts w:hint="default" w:ascii="Times New Roman" w:hAnsi="Times New Roman"/>
                <w:sz w:val="28"/>
                <w:szCs w:val="28"/>
              </w:rPr>
            </w:pPr>
            <w:r>
              <w:rPr>
                <w:rFonts w:hint="default" w:ascii="Times New Roman" w:hAnsi="Times New Roman"/>
                <w:sz w:val="28"/>
                <w:szCs w:val="28"/>
              </w:rPr>
              <w:t>2.3本项目概况</w:t>
            </w: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2.3.1项目基本情况</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项目名称：耀辉矿渣破碎设备改造提升技改项目</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建设单位：大田县耀辉矿渣破碎加工厂</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建设地点：福建省三明市大田县前坪乡下地村石克盂（下地坑）</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总投资：3180万元</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lang w:val="en-US" w:eastAsia="zh-CN"/>
              </w:rPr>
            </w:pPr>
            <w:r>
              <w:rPr>
                <w:rFonts w:hint="default" w:ascii="Times New Roman" w:hAnsi="Times New Roman"/>
              </w:rPr>
              <w:t>生产规模：年破碎0-3公分矿渣石料20万吨（附件二—福建省投资项目备案证明）</w:t>
            </w:r>
            <w:r>
              <w:rPr>
                <w:rFonts w:hint="eastAsia"/>
                <w:lang w:eastAsia="zh-CN"/>
              </w:rPr>
              <w:t>，</w:t>
            </w:r>
            <w:r>
              <w:rPr>
                <w:rFonts w:hint="eastAsia" w:ascii="Times New Roman" w:hAnsi="Times New Roman" w:eastAsia="宋体" w:cs="Times New Roman"/>
                <w:color w:val="auto"/>
                <w:lang w:val="en-US" w:eastAsia="zh-CN"/>
              </w:rPr>
              <w:t>其中</w:t>
            </w:r>
            <w:r>
              <w:rPr>
                <w:rFonts w:hint="default" w:ascii="Times New Roman" w:hAnsi="Times New Roman" w:eastAsia="宋体" w:cs="Times New Roman"/>
                <w:color w:val="auto"/>
              </w:rPr>
              <w:t>碎石（</w:t>
            </w:r>
            <w:r>
              <w:rPr>
                <w:rFonts w:hint="eastAsia" w:ascii="Times New Roman" w:hAnsi="Times New Roman" w:eastAsia="宋体" w:cs="Times New Roman"/>
                <w:color w:val="auto"/>
              </w:rPr>
              <w:t>1-2cm、2-3</w:t>
            </w:r>
            <w:r>
              <w:rPr>
                <w:rFonts w:hint="default" w:ascii="Times New Roman" w:hAnsi="Times New Roman" w:eastAsia="宋体" w:cs="Times New Roman"/>
                <w:color w:val="auto"/>
              </w:rPr>
              <w:t>cm）</w:t>
            </w:r>
            <w:r>
              <w:rPr>
                <w:rFonts w:hint="eastAsia" w:ascii="Times New Roman" w:hAnsi="Times New Roman" w:eastAsia="宋体" w:cs="Times New Roman"/>
                <w:color w:val="auto"/>
                <w:lang w:val="en-US" w:eastAsia="zh-CN"/>
              </w:rPr>
              <w:t>产量为</w:t>
            </w:r>
            <w:r>
              <w:rPr>
                <w:rFonts w:hint="default" w:ascii="Times New Roman" w:hAnsi="Times New Roman" w:eastAsia="宋体" w:cs="Times New Roman"/>
                <w:color w:val="auto"/>
              </w:rPr>
              <w:t>10万吨/年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细砂</w:t>
            </w:r>
            <w:r>
              <w:rPr>
                <w:rFonts w:hint="default" w:ascii="Times New Roman" w:hAnsi="Times New Roman" w:eastAsia="宋体" w:cs="Times New Roman"/>
                <w:color w:val="auto"/>
              </w:rPr>
              <w:t>（0-0.5cm）</w:t>
            </w:r>
            <w:r>
              <w:rPr>
                <w:rFonts w:hint="eastAsia" w:ascii="Times New Roman" w:hAnsi="Times New Roman" w:eastAsia="宋体" w:cs="Times New Roman"/>
                <w:color w:val="auto"/>
                <w:lang w:val="en-US" w:eastAsia="zh-CN"/>
              </w:rPr>
              <w:t>产量为</w:t>
            </w:r>
            <w:r>
              <w:rPr>
                <w:rFonts w:hint="default" w:ascii="Times New Roman" w:hAnsi="Times New Roman" w:eastAsia="宋体" w:cs="Times New Roman"/>
                <w:color w:val="auto"/>
              </w:rPr>
              <w:t>10万吨/年</w:t>
            </w:r>
            <w:r>
              <w:rPr>
                <w:rFonts w:hint="eastAsia" w:ascii="Times New Roman" w:hAnsi="Times New Roman" w:eastAsia="宋体" w:cs="Times New Roman"/>
                <w:color w:val="auto"/>
                <w:lang w:eastAsia="zh-CN"/>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建设规模：占地面积3225m</w:t>
            </w:r>
            <w:r>
              <w:rPr>
                <w:rFonts w:hint="default" w:ascii="Times New Roman" w:hAnsi="Times New Roman"/>
                <w:vertAlign w:val="superscript"/>
              </w:rPr>
              <w:t>2</w:t>
            </w:r>
            <w:r>
              <w:rPr>
                <w:rFonts w:hint="default" w:ascii="Times New Roman" w:hAnsi="Times New Roman"/>
              </w:rPr>
              <w:t>，建筑面积3300m</w:t>
            </w:r>
            <w:r>
              <w:rPr>
                <w:rFonts w:hint="default" w:ascii="Times New Roman" w:hAnsi="Times New Roman"/>
                <w:vertAlign w:val="superscript"/>
              </w:rPr>
              <w:t>2</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职工人数：职工8人，均不在厂区内食宿</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rPr>
            </w:pPr>
            <w:r>
              <w:rPr>
                <w:rFonts w:hint="default" w:ascii="Times New Roman" w:hAnsi="Times New Roman"/>
              </w:rPr>
              <w:t>工作时间：年工作天数</w:t>
            </w:r>
            <w:bookmarkStart w:id="5" w:name="年工作天数"/>
            <w:r>
              <w:rPr>
                <w:rFonts w:hint="default" w:ascii="Times New Roman" w:hAnsi="Times New Roman"/>
              </w:rPr>
              <w:t>300</w:t>
            </w:r>
            <w:bookmarkEnd w:id="5"/>
            <w:r>
              <w:rPr>
                <w:rFonts w:hint="default" w:ascii="Times New Roman" w:hAnsi="Times New Roman"/>
              </w:rPr>
              <w:t>天，每天昼间10小时。</w:t>
            </w: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2.3.2产品方案</w:t>
            </w:r>
          </w:p>
          <w:p>
            <w:pPr>
              <w:keepNext w:val="0"/>
              <w:keepLines w:val="0"/>
              <w:suppressLineNumbers w:val="0"/>
              <w:spacing w:before="0" w:beforeAutospacing="0" w:after="0" w:afterAutospacing="0" w:line="400" w:lineRule="exact"/>
              <w:ind w:left="0" w:right="0" w:firstLine="480" w:firstLineChars="200"/>
              <w:rPr>
                <w:rFonts w:hint="default" w:ascii="Times New Roman" w:hAnsi="Times New Roman"/>
              </w:rPr>
            </w:pPr>
            <w:r>
              <w:rPr>
                <w:rFonts w:hint="eastAsia" w:ascii="Times New Roman" w:hAnsi="Times New Roman"/>
              </w:rPr>
              <w:t>本项目的产品方案与迁建前一致，见下表。</w:t>
            </w:r>
          </w:p>
          <w:p>
            <w:pPr>
              <w:pStyle w:val="33"/>
              <w:keepNext w:val="0"/>
              <w:keepLines w:val="0"/>
              <w:suppressLineNumbers w:val="0"/>
              <w:spacing w:before="120" w:beforeAutospacing="0" w:after="0" w:afterAutospacing="0"/>
              <w:ind w:left="0" w:right="0"/>
              <w:rPr>
                <w:rFonts w:hint="default" w:ascii="Times New Roman" w:hAnsi="Times New Roman"/>
                <w:b/>
                <w:bCs/>
                <w:sz w:val="21"/>
                <w:szCs w:val="21"/>
              </w:rPr>
            </w:pPr>
            <w:r>
              <w:rPr>
                <w:rFonts w:hint="default" w:ascii="Times New Roman" w:hAnsi="Times New Roman"/>
                <w:b/>
                <w:bCs/>
                <w:sz w:val="21"/>
                <w:szCs w:val="21"/>
              </w:rPr>
              <w:t>表2.3-1产品方案一览表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1327"/>
              <w:gridCol w:w="1446"/>
              <w:gridCol w:w="2585"/>
              <w:gridCol w:w="2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5" w:hRule="atLeast"/>
                <w:jc w:val="center"/>
              </w:trPr>
              <w:tc>
                <w:tcPr>
                  <w:tcW w:w="588"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序号</w:t>
                  </w:r>
                </w:p>
              </w:tc>
              <w:tc>
                <w:tcPr>
                  <w:tcW w:w="79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原材料名称</w:t>
                  </w:r>
                </w:p>
              </w:tc>
              <w:tc>
                <w:tcPr>
                  <w:tcW w:w="8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b w:val="0"/>
                      <w:bCs w:val="0"/>
                      <w:sz w:val="21"/>
                      <w:szCs w:val="21"/>
                      <w:lang w:val="en-US" w:eastAsia="zh-CN"/>
                    </w:rPr>
                    <w:t>破碎规模</w:t>
                  </w:r>
                </w:p>
              </w:tc>
              <w:tc>
                <w:tcPr>
                  <w:tcW w:w="2757" w:type="pct"/>
                  <w:gridSpan w:val="2"/>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产品</w:t>
                  </w:r>
                  <w:r>
                    <w:rPr>
                      <w:rFonts w:hint="eastAsia" w:ascii="Times New Roman" w:hAnsi="Times New Roman"/>
                      <w:b w:val="0"/>
                      <w:bCs w:val="0"/>
                      <w:sz w:val="21"/>
                      <w:szCs w:val="21"/>
                      <w:lang w:val="en-US" w:eastAsia="zh-CN"/>
                    </w:rPr>
                    <w:t>及</w:t>
                  </w:r>
                  <w:r>
                    <w:rPr>
                      <w:rFonts w:hint="default" w:ascii="Times New Roman" w:hAnsi="Times New Roman"/>
                      <w:b w:val="0"/>
                      <w:bCs w:val="0"/>
                      <w:sz w:val="21"/>
                      <w:szCs w:val="21"/>
                    </w:rPr>
                    <w:t>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88"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1</w:t>
                  </w:r>
                </w:p>
              </w:tc>
              <w:tc>
                <w:tcPr>
                  <w:tcW w:w="791" w:type="pct"/>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矿渣石料</w:t>
                  </w:r>
                </w:p>
              </w:tc>
              <w:tc>
                <w:tcPr>
                  <w:tcW w:w="862" w:type="pct"/>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b w:val="0"/>
                      <w:bCs w:val="0"/>
                      <w:sz w:val="21"/>
                      <w:szCs w:val="21"/>
                      <w:lang w:val="en-US" w:eastAsia="zh-CN"/>
                    </w:rPr>
                    <w:t>20.18万吨/年</w:t>
                  </w:r>
                </w:p>
              </w:tc>
              <w:tc>
                <w:tcPr>
                  <w:tcW w:w="15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1"/>
                      <w:szCs w:val="21"/>
                    </w:rPr>
                  </w:pPr>
                  <w:r>
                    <w:rPr>
                      <w:rFonts w:hint="default" w:ascii="Times New Roman" w:hAnsi="Times New Roman"/>
                      <w:b w:val="0"/>
                      <w:bCs w:val="0"/>
                      <w:sz w:val="21"/>
                      <w:szCs w:val="21"/>
                    </w:rPr>
                    <w:t>（</w:t>
                  </w:r>
                  <w:r>
                    <w:rPr>
                      <w:rFonts w:hint="eastAsia" w:ascii="Times New Roman" w:hAnsi="Times New Roman"/>
                      <w:b w:val="0"/>
                      <w:bCs w:val="0"/>
                      <w:sz w:val="21"/>
                      <w:szCs w:val="21"/>
                    </w:rPr>
                    <w:t>1-2cm、2-3</w:t>
                  </w:r>
                  <w:r>
                    <w:rPr>
                      <w:rFonts w:hint="default" w:ascii="Times New Roman" w:hAnsi="Times New Roman"/>
                      <w:b w:val="0"/>
                      <w:bCs w:val="0"/>
                      <w:sz w:val="21"/>
                      <w:szCs w:val="21"/>
                    </w:rPr>
                    <w:t>cm）碎石</w:t>
                  </w:r>
                </w:p>
              </w:tc>
              <w:tc>
                <w:tcPr>
                  <w:tcW w:w="121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10万吨/年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88"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2</w:t>
                  </w:r>
                </w:p>
              </w:tc>
              <w:tc>
                <w:tcPr>
                  <w:tcW w:w="791" w:type="pct"/>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p>
              </w:tc>
              <w:tc>
                <w:tcPr>
                  <w:tcW w:w="862" w:type="pct"/>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p>
              </w:tc>
              <w:tc>
                <w:tcPr>
                  <w:tcW w:w="15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（0-0.5cm）</w:t>
                  </w:r>
                  <w:r>
                    <w:rPr>
                      <w:rFonts w:hint="eastAsia" w:ascii="Times New Roman" w:hAnsi="Times New Roman"/>
                      <w:b w:val="0"/>
                      <w:bCs w:val="0"/>
                      <w:sz w:val="21"/>
                      <w:szCs w:val="21"/>
                    </w:rPr>
                    <w:t>细砂</w:t>
                  </w:r>
                </w:p>
              </w:tc>
              <w:tc>
                <w:tcPr>
                  <w:tcW w:w="121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b w:val="0"/>
                      <w:bCs w:val="0"/>
                      <w:sz w:val="21"/>
                      <w:szCs w:val="21"/>
                    </w:rPr>
                  </w:pPr>
                  <w:r>
                    <w:rPr>
                      <w:rFonts w:hint="default" w:ascii="Times New Roman" w:hAnsi="Times New Roman"/>
                      <w:b w:val="0"/>
                      <w:bCs w:val="0"/>
                      <w:sz w:val="21"/>
                      <w:szCs w:val="21"/>
                    </w:rPr>
                    <w:t>10万吨/年</w:t>
                  </w:r>
                </w:p>
              </w:tc>
            </w:tr>
          </w:tbl>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eastAsia" w:ascii="Times New Roman" w:hAnsi="Times New Roman" w:eastAsia="黑体"/>
                <w:b/>
                <w:bCs/>
              </w:rPr>
              <w:t>2</w:t>
            </w:r>
            <w:r>
              <w:rPr>
                <w:rFonts w:hint="default" w:ascii="Times New Roman" w:hAnsi="Times New Roman" w:eastAsia="黑体"/>
                <w:b/>
                <w:bCs/>
              </w:rPr>
              <w:t>.3.3</w:t>
            </w:r>
            <w:r>
              <w:rPr>
                <w:rFonts w:hint="eastAsia" w:ascii="Times New Roman" w:hAnsi="Times New Roman" w:eastAsia="黑体"/>
                <w:b/>
                <w:bCs/>
              </w:rPr>
              <w:t>主要原料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rPr>
            </w:pPr>
            <w:r>
              <w:rPr>
                <w:rFonts w:hint="default" w:ascii="Times New Roman" w:hAnsi="Times New Roman"/>
              </w:rPr>
              <w:t>本项目原料的主要来源为矿区产生的花岗岩</w:t>
            </w:r>
            <w:r>
              <w:rPr>
                <w:rFonts w:hint="eastAsia" w:ascii="Times New Roman" w:hAnsi="Times New Roman"/>
              </w:rPr>
              <w:t>类矿渣</w:t>
            </w:r>
            <w:r>
              <w:rPr>
                <w:rFonts w:hint="default" w:ascii="Times New Roman" w:hAnsi="Times New Roman"/>
              </w:rPr>
              <w:t>石料，</w:t>
            </w:r>
            <w:r>
              <w:rPr>
                <w:rFonts w:hint="eastAsia" w:ascii="Times New Roman" w:hAnsi="Times New Roman"/>
              </w:rPr>
              <w:t>并与福建省华育石英科技有限公司、福建鑫丰矿业有限公司签订</w:t>
            </w:r>
            <w:r>
              <w:rPr>
                <w:rFonts w:hint="default" w:ascii="Times New Roman" w:hAnsi="Times New Roman"/>
              </w:rPr>
              <w:t>原料供应协议</w:t>
            </w:r>
            <w:r>
              <w:rPr>
                <w:rFonts w:hint="eastAsia" w:ascii="Times New Roman" w:hAnsi="Times New Roman"/>
              </w:rPr>
              <w:t>（</w:t>
            </w:r>
            <w:r>
              <w:rPr>
                <w:rFonts w:hint="default" w:ascii="Times New Roman" w:hAnsi="Times New Roman"/>
              </w:rPr>
              <w:t>附件</w:t>
            </w:r>
            <w:r>
              <w:rPr>
                <w:rFonts w:hint="eastAsia" w:ascii="Times New Roman" w:hAnsi="Times New Roman"/>
              </w:rPr>
              <w:t>十），原料运输路线图见附图9，运输过程中车辆采取帆布覆盖等措施防止扬尘</w:t>
            </w:r>
            <w:r>
              <w:rPr>
                <w:rFonts w:hint="default" w:ascii="Times New Roman" w:hAnsi="Times New Roman"/>
              </w:rPr>
              <w:t>。</w:t>
            </w:r>
            <w:r>
              <w:rPr>
                <w:rFonts w:hint="eastAsia" w:ascii="Times New Roman" w:hAnsi="Times New Roman"/>
              </w:rPr>
              <w:t>原料主要来源成分说明如下：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rPr>
            </w:pPr>
            <w:r>
              <w:rPr>
                <w:rFonts w:hint="eastAsia" w:ascii="Times New Roman" w:hAnsi="Times New Roman"/>
              </w:rPr>
              <w:t>（1）福建省华育石英科技有限公司的矿渣石料为开采石英矿产生的废石料，主要成为为SiO</w:t>
            </w:r>
            <w:r>
              <w:rPr>
                <w:rFonts w:hint="eastAsia" w:ascii="Times New Roman" w:hAnsi="Times New Roman"/>
                <w:vertAlign w:val="subscript"/>
              </w:rPr>
              <w:t>2</w:t>
            </w:r>
            <w:r>
              <w:rPr>
                <w:rFonts w:hint="eastAsia" w:ascii="Times New Roman" w:hAnsi="Times New Roman"/>
              </w:rPr>
              <w:t>，运营期产生的废</w:t>
            </w:r>
            <w:r>
              <w:rPr>
                <w:rFonts w:hint="eastAsia" w:ascii="Times New Roman" w:hAnsi="Times New Roman"/>
                <w:color w:val="auto"/>
              </w:rPr>
              <w:t>石料总量约为</w:t>
            </w:r>
            <w:r>
              <w:rPr>
                <w:rFonts w:hint="eastAsia" w:ascii="Times New Roman" w:hAnsi="Times New Roman"/>
                <w:color w:val="auto"/>
                <w:highlight w:val="none"/>
              </w:rPr>
              <w:t>6788</w:t>
            </w:r>
            <w:r>
              <w:rPr>
                <w:rFonts w:hint="eastAsia" w:ascii="Times New Roman" w:hAnsi="Times New Roman"/>
                <w:color w:val="auto"/>
                <w:highlight w:val="none"/>
                <w:lang w:val="en-US" w:eastAsia="zh-CN"/>
              </w:rPr>
              <w:t>t/a</w:t>
            </w:r>
            <w:r>
              <w:rPr>
                <w:rFonts w:hint="eastAsia" w:ascii="Times New Roman" w:hAnsi="Times New Roman"/>
                <w:color w:val="auto"/>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rPr>
            </w:pPr>
            <w:r>
              <w:rPr>
                <w:rFonts w:hint="eastAsia" w:ascii="Times New Roman" w:hAnsi="Times New Roman"/>
              </w:rPr>
              <w:t>（2）福建鑫丰矿业有限公司于2012年9月编制《福建省大田县湖坪矿区铁多金属矿整合工程</w:t>
            </w:r>
            <w:r>
              <w:rPr>
                <w:rFonts w:hint="default" w:ascii="Times New Roman" w:hAnsi="Times New Roman"/>
              </w:rPr>
              <w:t>环境影响报告书</w:t>
            </w:r>
            <w:r>
              <w:rPr>
                <w:rFonts w:hint="eastAsia" w:ascii="Times New Roman" w:hAnsi="Times New Roman"/>
              </w:rPr>
              <w:t>》并通过批复，根据该环评报告书分析，运营期堆放的废土石总量约为262.97万m</w:t>
            </w:r>
            <w:r>
              <w:rPr>
                <w:rFonts w:hint="eastAsia" w:ascii="Times New Roman" w:hAnsi="Times New Roman"/>
                <w:vertAlign w:val="superscript"/>
              </w:rPr>
              <w:t>3</w:t>
            </w:r>
            <w:r>
              <w:rPr>
                <w:rFonts w:hint="eastAsia" w:ascii="Times New Roman" w:hAnsi="Times New Roman"/>
              </w:rPr>
              <w:t>（见附件十一），服务期限为13年，原开采期间产生的废土石外运处置量不大，大量暂存于排土场，目前暂存于排土场的废土石量约为200万m</w:t>
            </w:r>
            <w:r>
              <w:rPr>
                <w:rFonts w:hint="eastAsia" w:ascii="Times New Roman" w:hAnsi="Times New Roman"/>
                <w:vertAlign w:val="superscript"/>
              </w:rPr>
              <w:t>3</w:t>
            </w:r>
            <w:r>
              <w:rPr>
                <w:rFonts w:hint="eastAsia" w:ascii="Times New Roman" w:hAnsi="Times New Roman"/>
              </w:rPr>
              <w:t>，根据其浸出试验（附件十二）表明矿渣石料属于第</w:t>
            </w:r>
            <w:r>
              <w:rPr>
                <w:rFonts w:hint="default" w:ascii="Times New Roman" w:hAnsi="Times New Roman"/>
              </w:rPr>
              <w:t>Ⅰ</w:t>
            </w:r>
            <w:r>
              <w:rPr>
                <w:rFonts w:hint="eastAsia" w:ascii="Times New Roman" w:hAnsi="Times New Roman"/>
              </w:rPr>
              <w:t>类工业固体废物，废土石堆存量能够满足本项目近十年的生产需求，后续将继续拓展原料来源。</w:t>
            </w:r>
          </w:p>
          <w:p>
            <w:pPr>
              <w:pStyle w:val="33"/>
              <w:keepNext w:val="0"/>
              <w:keepLines w:val="0"/>
              <w:suppressLineNumbers w:val="0"/>
              <w:spacing w:before="120" w:beforeAutospacing="0" w:after="0" w:afterAutospacing="0"/>
              <w:ind w:left="0" w:right="0"/>
              <w:rPr>
                <w:rFonts w:hint="default" w:ascii="Times New Roman" w:hAnsi="Times New Roman"/>
              </w:rPr>
            </w:pPr>
            <w:r>
              <w:rPr>
                <w:rFonts w:hint="default" w:ascii="Times New Roman" w:hAnsi="Times New Roman"/>
                <w:b/>
                <w:bCs/>
                <w:sz w:val="21"/>
                <w:szCs w:val="21"/>
              </w:rPr>
              <w:t>表2.3-</w:t>
            </w:r>
            <w:r>
              <w:rPr>
                <w:rFonts w:hint="eastAsia" w:ascii="Times New Roman" w:hAnsi="Times New Roman"/>
                <w:b/>
                <w:bCs/>
                <w:sz w:val="21"/>
                <w:szCs w:val="21"/>
              </w:rPr>
              <w:t>2原料用量</w:t>
            </w:r>
            <w:r>
              <w:rPr>
                <w:rFonts w:hint="default" w:ascii="Times New Roman" w:hAnsi="Times New Roman"/>
                <w:b/>
                <w:bCs/>
                <w:sz w:val="21"/>
                <w:szCs w:val="21"/>
              </w:rPr>
              <w:t>表</w:t>
            </w:r>
          </w:p>
          <w:tbl>
            <w:tblPr>
              <w:tblStyle w:val="25"/>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38"/>
              <w:gridCol w:w="4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138" w:type="dxa"/>
                  <w:vAlign w:val="center"/>
                </w:tcPr>
                <w:p>
                  <w:pPr>
                    <w:pStyle w:val="2"/>
                    <w:keepNext w:val="0"/>
                    <w:keepLines w:val="0"/>
                    <w:suppressLineNumbers w:val="0"/>
                    <w:spacing w:before="0" w:beforeAutospacing="0" w:after="0" w:afterAutospacing="0"/>
                    <w:ind w:right="0" w:firstLine="0" w:firstLineChars="0"/>
                    <w:jc w:val="center"/>
                    <w:rPr>
                      <w:rFonts w:hint="default"/>
                      <w:b w:val="0"/>
                      <w:bCs w:val="0"/>
                      <w:sz w:val="21"/>
                      <w:szCs w:val="21"/>
                    </w:rPr>
                  </w:pPr>
                  <w:r>
                    <w:rPr>
                      <w:rFonts w:hint="default"/>
                      <w:b w:val="0"/>
                      <w:bCs w:val="0"/>
                      <w:sz w:val="21"/>
                      <w:szCs w:val="21"/>
                    </w:rPr>
                    <w:t>原材料名称</w:t>
                  </w:r>
                </w:p>
              </w:tc>
              <w:tc>
                <w:tcPr>
                  <w:tcW w:w="4280" w:type="dxa"/>
                  <w:vAlign w:val="center"/>
                </w:tcPr>
                <w:p>
                  <w:pPr>
                    <w:pStyle w:val="2"/>
                    <w:keepNext w:val="0"/>
                    <w:keepLines w:val="0"/>
                    <w:suppressLineNumbers w:val="0"/>
                    <w:spacing w:before="0" w:beforeAutospacing="0" w:after="0" w:afterAutospacing="0"/>
                    <w:ind w:right="0" w:firstLine="0" w:firstLineChars="0"/>
                    <w:jc w:val="center"/>
                    <w:rPr>
                      <w:rFonts w:hint="default"/>
                      <w:b w:val="0"/>
                      <w:bCs w:val="0"/>
                      <w:sz w:val="21"/>
                      <w:szCs w:val="21"/>
                    </w:rPr>
                  </w:pPr>
                  <w:r>
                    <w:rPr>
                      <w:rFonts w:hint="default"/>
                      <w:b w:val="0"/>
                      <w:bCs w:val="0"/>
                      <w:sz w:val="21"/>
                      <w:szCs w:val="21"/>
                    </w:rPr>
                    <w:t>原材料用量</w:t>
                  </w:r>
                  <w:r>
                    <w:rPr>
                      <w:rFonts w:hint="eastAsia"/>
                      <w:b w:val="0"/>
                      <w:bCs w:val="0"/>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4138" w:type="dxa"/>
                  <w:vAlign w:val="center"/>
                </w:tcPr>
                <w:p>
                  <w:pPr>
                    <w:pStyle w:val="2"/>
                    <w:keepNext w:val="0"/>
                    <w:keepLines w:val="0"/>
                    <w:suppressLineNumbers w:val="0"/>
                    <w:spacing w:before="0" w:beforeAutospacing="0" w:after="0" w:afterAutospacing="0"/>
                    <w:ind w:right="0" w:firstLine="0" w:firstLineChars="0"/>
                    <w:jc w:val="center"/>
                    <w:rPr>
                      <w:rFonts w:hint="default"/>
                      <w:b w:val="0"/>
                      <w:bCs w:val="0"/>
                      <w:sz w:val="21"/>
                      <w:szCs w:val="21"/>
                    </w:rPr>
                  </w:pPr>
                  <w:r>
                    <w:rPr>
                      <w:rFonts w:hint="eastAsia"/>
                      <w:b w:val="0"/>
                      <w:bCs w:val="0"/>
                      <w:sz w:val="21"/>
                      <w:szCs w:val="21"/>
                    </w:rPr>
                    <w:t>矿渣</w:t>
                  </w:r>
                  <w:r>
                    <w:rPr>
                      <w:rFonts w:hint="default"/>
                      <w:b w:val="0"/>
                      <w:bCs w:val="0"/>
                      <w:sz w:val="21"/>
                      <w:szCs w:val="21"/>
                    </w:rPr>
                    <w:t>石料</w:t>
                  </w:r>
                </w:p>
              </w:tc>
              <w:tc>
                <w:tcPr>
                  <w:tcW w:w="4280" w:type="dxa"/>
                  <w:vAlign w:val="center"/>
                </w:tcPr>
                <w:p>
                  <w:pPr>
                    <w:pStyle w:val="2"/>
                    <w:keepNext w:val="0"/>
                    <w:keepLines w:val="0"/>
                    <w:suppressLineNumbers w:val="0"/>
                    <w:spacing w:before="0" w:beforeAutospacing="0" w:after="0" w:afterAutospacing="0"/>
                    <w:ind w:right="0" w:firstLine="0" w:firstLineChars="0"/>
                    <w:jc w:val="center"/>
                    <w:rPr>
                      <w:rFonts w:hint="default"/>
                      <w:b w:val="0"/>
                      <w:bCs w:val="0"/>
                      <w:sz w:val="21"/>
                      <w:szCs w:val="21"/>
                    </w:rPr>
                  </w:pPr>
                  <w:r>
                    <w:rPr>
                      <w:rFonts w:hint="eastAsia"/>
                      <w:b w:val="0"/>
                      <w:bCs w:val="0"/>
                      <w:color w:val="auto"/>
                      <w:sz w:val="21"/>
                      <w:szCs w:val="21"/>
                      <w:lang w:eastAsia="zh-CN"/>
                    </w:rPr>
                    <w:t>20.18</w:t>
                  </w:r>
                  <w:r>
                    <w:rPr>
                      <w:rFonts w:hint="default"/>
                      <w:b w:val="0"/>
                      <w:bCs w:val="0"/>
                      <w:color w:val="auto"/>
                      <w:sz w:val="21"/>
                      <w:szCs w:val="21"/>
                    </w:rPr>
                    <w:t>万吨/年</w:t>
                  </w:r>
                </w:p>
              </w:tc>
            </w:tr>
          </w:tbl>
          <w:p>
            <w:pPr>
              <w:keepNext w:val="0"/>
              <w:keepLines w:val="0"/>
              <w:suppressLineNumbers w:val="0"/>
              <w:spacing w:before="0" w:beforeAutospacing="0" w:after="0" w:afterAutospacing="0" w:line="460" w:lineRule="exact"/>
              <w:ind w:left="0" w:right="0"/>
              <w:rPr>
                <w:rFonts w:hint="default"/>
              </w:rPr>
            </w:pPr>
            <w:r>
              <w:rPr>
                <w:rFonts w:hint="default" w:ascii="Times New Roman" w:hAnsi="Times New Roman" w:eastAsia="黑体"/>
                <w:b/>
                <w:bCs/>
              </w:rPr>
              <w:t>2.3.</w:t>
            </w:r>
            <w:r>
              <w:rPr>
                <w:rFonts w:hint="eastAsia" w:ascii="Times New Roman" w:hAnsi="Times New Roman" w:eastAsia="黑体"/>
                <w:b/>
                <w:bCs/>
              </w:rPr>
              <w:t>4</w:t>
            </w:r>
            <w:r>
              <w:rPr>
                <w:rFonts w:hint="default" w:ascii="Times New Roman" w:hAnsi="Times New Roman" w:eastAsia="黑体"/>
                <w:b/>
                <w:bCs/>
              </w:rPr>
              <w:t>项目组成</w:t>
            </w:r>
          </w:p>
          <w:p>
            <w:pPr>
              <w:keepNext w:val="0"/>
              <w:keepLines w:val="0"/>
              <w:suppressLineNumbers w:val="0"/>
              <w:spacing w:before="0" w:beforeAutospacing="0" w:after="0" w:afterAutospacing="0" w:line="400" w:lineRule="exact"/>
              <w:ind w:left="0" w:right="0" w:firstLine="480" w:firstLineChars="200"/>
              <w:rPr>
                <w:rFonts w:hint="default" w:ascii="Times New Roman" w:hAnsi="Times New Roman"/>
              </w:rPr>
            </w:pPr>
            <w:r>
              <w:rPr>
                <w:rFonts w:hint="eastAsia" w:ascii="Times New Roman" w:hAnsi="Times New Roman"/>
              </w:rPr>
              <w:t>本项目组成内容见下表：</w:t>
            </w:r>
          </w:p>
          <w:p>
            <w:pPr>
              <w:pStyle w:val="33"/>
              <w:keepNext w:val="0"/>
              <w:keepLines w:val="0"/>
              <w:suppressLineNumbers w:val="0"/>
              <w:spacing w:before="120" w:beforeAutospacing="0" w:after="0" w:afterAutospacing="0"/>
              <w:ind w:left="0" w:right="0"/>
              <w:rPr>
                <w:rFonts w:hint="default" w:ascii="Times New Roman" w:hAnsi="Times New Roman"/>
              </w:rPr>
            </w:pPr>
            <w:r>
              <w:rPr>
                <w:rFonts w:hint="default" w:ascii="Times New Roman" w:hAnsi="Times New Roman"/>
                <w:b/>
                <w:bCs/>
                <w:sz w:val="21"/>
                <w:szCs w:val="21"/>
              </w:rPr>
              <w:t>表2.3-</w:t>
            </w:r>
            <w:r>
              <w:rPr>
                <w:rFonts w:hint="eastAsia" w:ascii="Times New Roman" w:hAnsi="Times New Roman"/>
                <w:b/>
                <w:bCs/>
                <w:sz w:val="21"/>
                <w:szCs w:val="21"/>
              </w:rPr>
              <w:t>3</w:t>
            </w:r>
            <w:r>
              <w:rPr>
                <w:rFonts w:hint="default" w:ascii="Times New Roman" w:hAnsi="Times New Roman"/>
                <w:b/>
                <w:bCs/>
                <w:sz w:val="21"/>
                <w:szCs w:val="21"/>
              </w:rPr>
              <w:t>项目组成内容一览表</w:t>
            </w:r>
          </w:p>
          <w:tbl>
            <w:tblPr>
              <w:tblStyle w:val="25"/>
              <w:tblW w:w="8418"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25"/>
              <w:gridCol w:w="738"/>
              <w:gridCol w:w="715"/>
              <w:gridCol w:w="624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5" w:hRule="atLeast"/>
              </w:trPr>
              <w:tc>
                <w:tcPr>
                  <w:tcW w:w="2178" w:type="dxa"/>
                  <w:gridSpan w:val="3"/>
                  <w:vAlign w:val="center"/>
                </w:tcPr>
                <w:p>
                  <w:pPr>
                    <w:keepNext w:val="0"/>
                    <w:keepLines w:val="0"/>
                    <w:widowControl/>
                    <w:suppressLineNumbers w:val="0"/>
                    <w:spacing w:before="0" w:beforeAutospacing="0" w:after="0" w:afterAutospacing="0"/>
                    <w:ind w:left="0" w:right="0"/>
                    <w:jc w:val="center"/>
                    <w:rPr>
                      <w:rFonts w:hint="default" w:ascii="Times New Roman" w:hAnsi="Times New Roman"/>
                      <w:bCs/>
                      <w:kern w:val="0"/>
                      <w:sz w:val="21"/>
                      <w:szCs w:val="21"/>
                    </w:rPr>
                  </w:pPr>
                  <w:r>
                    <w:rPr>
                      <w:rFonts w:hint="default" w:ascii="Times New Roman" w:hAnsi="Times New Roman"/>
                      <w:bCs/>
                      <w:kern w:val="0"/>
                      <w:sz w:val="21"/>
                      <w:szCs w:val="21"/>
                    </w:rPr>
                    <w:t>项  目  名  称</w:t>
                  </w:r>
                </w:p>
              </w:tc>
              <w:tc>
                <w:tcPr>
                  <w:tcW w:w="624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bCs/>
                      <w:kern w:val="0"/>
                      <w:sz w:val="21"/>
                      <w:szCs w:val="21"/>
                    </w:rPr>
                  </w:pPr>
                  <w:r>
                    <w:rPr>
                      <w:rFonts w:hint="default" w:ascii="Times New Roman" w:hAnsi="Times New Roman"/>
                      <w:bCs/>
                      <w:kern w:val="0"/>
                      <w:sz w:val="21"/>
                      <w:szCs w:val="21"/>
                    </w:rPr>
                    <w:t>建  设  规  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trPr>
              <w:tc>
                <w:tcPr>
                  <w:tcW w:w="72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主体工程</w:t>
                  </w:r>
                </w:p>
              </w:tc>
              <w:tc>
                <w:tcPr>
                  <w:tcW w:w="1453" w:type="dxa"/>
                  <w:gridSpan w:val="2"/>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pacing w:val="-1"/>
                      <w:sz w:val="21"/>
                      <w:szCs w:val="21"/>
                    </w:rPr>
                    <w:t>生产车间</w:t>
                  </w:r>
                </w:p>
              </w:tc>
              <w:tc>
                <w:tcPr>
                  <w:tcW w:w="6240" w:type="dxa"/>
                  <w:vAlign w:val="center"/>
                </w:tcPr>
                <w:p>
                  <w:pPr>
                    <w:keepNext w:val="0"/>
                    <w:keepLines w:val="0"/>
                    <w:widowControl/>
                    <w:suppressLineNumbers w:val="0"/>
                    <w:spacing w:before="0" w:beforeAutospacing="0" w:after="0" w:afterAutospacing="0"/>
                    <w:ind w:left="0" w:right="0"/>
                    <w:rPr>
                      <w:rFonts w:hint="default" w:ascii="Times New Roman" w:hAnsi="Times New Roman"/>
                      <w:color w:val="auto"/>
                      <w:kern w:val="0"/>
                      <w:sz w:val="21"/>
                      <w:szCs w:val="21"/>
                    </w:rPr>
                  </w:pPr>
                  <w:r>
                    <w:rPr>
                      <w:rFonts w:hint="eastAsia" w:ascii="Times New Roman" w:hAnsi="Times New Roman"/>
                      <w:color w:val="auto"/>
                      <w:kern w:val="0"/>
                      <w:sz w:val="21"/>
                      <w:szCs w:val="21"/>
                      <w:lang w:val="en-US" w:eastAsia="zh-CN"/>
                    </w:rPr>
                    <w:t>封闭厂房，</w:t>
                  </w:r>
                  <w:r>
                    <w:rPr>
                      <w:rFonts w:hint="eastAsia" w:ascii="Times New Roman" w:hAnsi="Times New Roman"/>
                      <w:color w:val="auto"/>
                      <w:kern w:val="0"/>
                      <w:sz w:val="21"/>
                      <w:szCs w:val="21"/>
                    </w:rPr>
                    <w:t>地面硬化，设置顶棚，</w:t>
                  </w:r>
                  <w:r>
                    <w:rPr>
                      <w:rFonts w:hint="eastAsia" w:ascii="Times New Roman" w:hAnsi="Times New Roman"/>
                      <w:color w:val="auto"/>
                      <w:kern w:val="0"/>
                      <w:sz w:val="21"/>
                      <w:szCs w:val="21"/>
                      <w:lang w:val="en-US" w:eastAsia="zh-CN"/>
                    </w:rPr>
                    <w:t>建设一条机制砂生产线，</w:t>
                  </w:r>
                  <w:r>
                    <w:rPr>
                      <w:rFonts w:hint="eastAsia" w:ascii="Times New Roman" w:hAnsi="Times New Roman"/>
                      <w:color w:val="auto"/>
                      <w:kern w:val="0"/>
                      <w:sz w:val="21"/>
                      <w:szCs w:val="21"/>
                    </w:rPr>
                    <w:t>主要设备包括破碎机、振动筛、整形机、对辊式制砂机、滚筒式洗砂机等，</w:t>
                  </w:r>
                  <w:r>
                    <w:rPr>
                      <w:rFonts w:hint="default" w:ascii="Times New Roman" w:hAnsi="Times New Roman"/>
                      <w:color w:val="auto"/>
                      <w:kern w:val="0"/>
                      <w:sz w:val="21"/>
                      <w:szCs w:val="21"/>
                    </w:rPr>
                    <w:t>占地面积约</w:t>
                  </w:r>
                  <w:r>
                    <w:rPr>
                      <w:rFonts w:hint="eastAsia" w:ascii="Times New Roman" w:hAnsi="Times New Roman"/>
                      <w:color w:val="auto"/>
                      <w:kern w:val="0"/>
                      <w:sz w:val="21"/>
                      <w:szCs w:val="21"/>
                    </w:rPr>
                    <w:t>800</w:t>
                  </w:r>
                  <w:r>
                    <w:rPr>
                      <w:rFonts w:hint="default" w:ascii="Times New Roman" w:hAnsi="Times New Roman"/>
                      <w:color w:val="auto"/>
                      <w:kern w:val="0"/>
                      <w:sz w:val="21"/>
                      <w:szCs w:val="21"/>
                    </w:rPr>
                    <w:t>m</w:t>
                  </w:r>
                  <w:r>
                    <w:rPr>
                      <w:rFonts w:hint="default" w:ascii="Times New Roman" w:hAnsi="Times New Roman"/>
                      <w:color w:val="auto"/>
                      <w:kern w:val="0"/>
                      <w:sz w:val="21"/>
                      <w:szCs w:val="21"/>
                      <w:vertAlign w:val="superscript"/>
                    </w:rPr>
                    <w:t>2</w:t>
                  </w:r>
                  <w:r>
                    <w:rPr>
                      <w:rFonts w:hint="eastAsia" w:ascii="Times New Roman" w:hAnsi="Times New Roman"/>
                      <w:color w:val="auto"/>
                      <w:kern w:val="0"/>
                      <w:sz w:val="21"/>
                      <w:szCs w:val="21"/>
                      <w:vertAlign w:val="superscript"/>
                    </w:rPr>
                    <w:t xml:space="preserve"> </w:t>
                  </w:r>
                  <w:r>
                    <w:rPr>
                      <w:rFonts w:hint="default" w:ascii="Times New Roman" w:hAnsi="Times New Roman"/>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trPr>
              <w:tc>
                <w:tcPr>
                  <w:tcW w:w="725" w:type="dxa"/>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r>
                    <w:rPr>
                      <w:rFonts w:hint="eastAsia" w:ascii="Times New Roman" w:hAnsi="Times New Roman"/>
                      <w:kern w:val="0"/>
                      <w:sz w:val="21"/>
                      <w:szCs w:val="21"/>
                    </w:rPr>
                    <w:t>储运工程</w:t>
                  </w:r>
                </w:p>
              </w:tc>
              <w:tc>
                <w:tcPr>
                  <w:tcW w:w="1453" w:type="dxa"/>
                  <w:gridSpan w:val="2"/>
                  <w:vAlign w:val="center"/>
                </w:tcPr>
                <w:p>
                  <w:pPr>
                    <w:pStyle w:val="68"/>
                    <w:keepNext w:val="0"/>
                    <w:keepLines w:val="0"/>
                    <w:suppressLineNumbers w:val="0"/>
                    <w:spacing w:before="0" w:beforeAutospacing="0" w:after="0" w:afterAutospacing="0"/>
                    <w:ind w:left="0" w:right="0"/>
                    <w:jc w:val="center"/>
                    <w:rPr>
                      <w:rFonts w:hint="default"/>
                      <w:spacing w:val="-1"/>
                      <w:sz w:val="21"/>
                      <w:szCs w:val="21"/>
                    </w:rPr>
                  </w:pPr>
                  <w:r>
                    <w:rPr>
                      <w:rFonts w:hint="eastAsia"/>
                      <w:spacing w:val="-1"/>
                      <w:sz w:val="21"/>
                      <w:szCs w:val="21"/>
                    </w:rPr>
                    <w:t>原料堆场</w:t>
                  </w:r>
                </w:p>
              </w:tc>
              <w:tc>
                <w:tcPr>
                  <w:tcW w:w="6240" w:type="dxa"/>
                  <w:vAlign w:val="center"/>
                </w:tcPr>
                <w:p>
                  <w:pPr>
                    <w:keepNext w:val="0"/>
                    <w:keepLines w:val="0"/>
                    <w:widowControl/>
                    <w:suppressLineNumbers w:val="0"/>
                    <w:spacing w:before="0" w:beforeAutospacing="0" w:after="0" w:afterAutospacing="0"/>
                    <w:ind w:left="0" w:right="0"/>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rPr>
                    <w:t>地面硬化，</w:t>
                  </w:r>
                  <w:r>
                    <w:rPr>
                      <w:rFonts w:hint="default" w:ascii="Times New Roman" w:hAnsi="Times New Roman"/>
                      <w:color w:val="auto"/>
                      <w:kern w:val="0"/>
                      <w:sz w:val="21"/>
                      <w:szCs w:val="21"/>
                    </w:rPr>
                    <w:t>占地面积约</w:t>
                  </w:r>
                  <w:r>
                    <w:rPr>
                      <w:rFonts w:hint="eastAsia" w:ascii="Times New Roman" w:hAnsi="Times New Roman"/>
                      <w:color w:val="auto"/>
                      <w:kern w:val="0"/>
                      <w:sz w:val="21"/>
                      <w:szCs w:val="21"/>
                    </w:rPr>
                    <w:t>4</w:t>
                  </w:r>
                  <w:r>
                    <w:rPr>
                      <w:rFonts w:hint="default" w:ascii="Times New Roman" w:hAnsi="Times New Roman"/>
                      <w:color w:val="auto"/>
                      <w:kern w:val="0"/>
                      <w:sz w:val="21"/>
                      <w:szCs w:val="21"/>
                    </w:rPr>
                    <w:t>00m</w:t>
                  </w:r>
                  <w:r>
                    <w:rPr>
                      <w:rFonts w:hint="default" w:ascii="Times New Roman" w:hAnsi="Times New Roman"/>
                      <w:color w:val="auto"/>
                      <w:kern w:val="0"/>
                      <w:sz w:val="21"/>
                      <w:szCs w:val="21"/>
                      <w:vertAlign w:val="superscript"/>
                    </w:rPr>
                    <w:t>2</w:t>
                  </w:r>
                  <w:r>
                    <w:rPr>
                      <w:rFonts w:hint="default" w:ascii="Times New Roman" w:hAnsi="Times New Roman"/>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trPr>
              <w:tc>
                <w:tcPr>
                  <w:tcW w:w="72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1453" w:type="dxa"/>
                  <w:gridSpan w:val="2"/>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eastAsia"/>
                      <w:spacing w:val="-1"/>
                      <w:sz w:val="21"/>
                      <w:szCs w:val="21"/>
                    </w:rPr>
                    <w:t>成品堆场</w:t>
                  </w:r>
                </w:p>
              </w:tc>
              <w:tc>
                <w:tcPr>
                  <w:tcW w:w="6240" w:type="dxa"/>
                  <w:vAlign w:val="center"/>
                </w:tcPr>
                <w:p>
                  <w:pPr>
                    <w:keepNext w:val="0"/>
                    <w:keepLines w:val="0"/>
                    <w:widowControl/>
                    <w:suppressLineNumbers w:val="0"/>
                    <w:spacing w:before="0" w:beforeAutospacing="0" w:after="0" w:afterAutospacing="0"/>
                    <w:ind w:left="0" w:right="0"/>
                    <w:rPr>
                      <w:rFonts w:hint="default" w:ascii="Times New Roman" w:hAnsi="Times New Roman"/>
                      <w:color w:val="auto"/>
                      <w:kern w:val="0"/>
                      <w:sz w:val="21"/>
                      <w:szCs w:val="21"/>
                    </w:rPr>
                  </w:pPr>
                  <w:r>
                    <w:rPr>
                      <w:rFonts w:hint="default" w:ascii="Times New Roman" w:hAnsi="Times New Roman"/>
                      <w:color w:val="auto"/>
                      <w:kern w:val="0"/>
                      <w:sz w:val="21"/>
                      <w:szCs w:val="21"/>
                    </w:rPr>
                    <w:t>2个成品堆场，</w:t>
                  </w:r>
                  <w:r>
                    <w:rPr>
                      <w:rFonts w:hint="eastAsia" w:ascii="Times New Roman" w:hAnsi="Times New Roman"/>
                      <w:color w:val="auto"/>
                      <w:kern w:val="0"/>
                      <w:sz w:val="21"/>
                      <w:szCs w:val="21"/>
                    </w:rPr>
                    <w:t>0-0.5cm细砂堆场，1-3cm碎石堆场，</w:t>
                  </w:r>
                  <w:r>
                    <w:rPr>
                      <w:rFonts w:hint="eastAsia" w:ascii="Times New Roman" w:hAnsi="Times New Roman"/>
                      <w:color w:val="auto"/>
                      <w:kern w:val="0"/>
                      <w:sz w:val="21"/>
                      <w:szCs w:val="21"/>
                      <w:lang w:val="en-US" w:eastAsia="zh-CN"/>
                    </w:rPr>
                    <w:t>设置顶棚，周边围挡，</w:t>
                  </w:r>
                  <w:r>
                    <w:rPr>
                      <w:rFonts w:hint="default" w:ascii="Times New Roman" w:hAnsi="Times New Roman"/>
                      <w:color w:val="auto"/>
                      <w:kern w:val="0"/>
                      <w:sz w:val="21"/>
                      <w:szCs w:val="21"/>
                    </w:rPr>
                    <w:t>占地面积共1000m</w:t>
                  </w:r>
                  <w:r>
                    <w:rPr>
                      <w:rFonts w:hint="default" w:ascii="Times New Roman" w:hAnsi="Times New Roman"/>
                      <w:color w:val="auto"/>
                      <w:kern w:val="0"/>
                      <w:sz w:val="21"/>
                      <w:szCs w:val="21"/>
                      <w:vertAlign w:val="superscript"/>
                    </w:rPr>
                    <w:t>2</w:t>
                  </w:r>
                  <w:r>
                    <w:rPr>
                      <w:rFonts w:hint="default" w:ascii="Times New Roman" w:hAnsi="Times New Roman"/>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725" w:type="dxa"/>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公用工程</w:t>
                  </w:r>
                </w:p>
              </w:tc>
              <w:tc>
                <w:tcPr>
                  <w:tcW w:w="1453"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供水</w:t>
                  </w:r>
                </w:p>
              </w:tc>
              <w:tc>
                <w:tcPr>
                  <w:tcW w:w="6240" w:type="dxa"/>
                  <w:vAlign w:val="center"/>
                </w:tcPr>
                <w:p>
                  <w:pPr>
                    <w:keepNext w:val="0"/>
                    <w:keepLines w:val="0"/>
                    <w:widowControl/>
                    <w:suppressLineNumbers w:val="0"/>
                    <w:spacing w:before="0" w:beforeAutospacing="0" w:after="0" w:afterAutospacing="0"/>
                    <w:ind w:left="0" w:right="0"/>
                    <w:rPr>
                      <w:rFonts w:hint="default" w:ascii="Times New Roman" w:hAnsi="Times New Roman"/>
                      <w:color w:val="auto"/>
                      <w:kern w:val="0"/>
                      <w:sz w:val="21"/>
                      <w:szCs w:val="21"/>
                    </w:rPr>
                  </w:pPr>
                  <w:r>
                    <w:rPr>
                      <w:rFonts w:hint="default" w:ascii="Times New Roman" w:hAnsi="Times New Roman"/>
                      <w:color w:val="auto"/>
                      <w:sz w:val="21"/>
                      <w:szCs w:val="21"/>
                    </w:rPr>
                    <w:t>山泉水</w:t>
                  </w:r>
                  <w:r>
                    <w:rPr>
                      <w:rFonts w:hint="eastAsia" w:ascii="Times New Roman" w:hAnsi="Times New Roman"/>
                      <w:color w:val="auto"/>
                      <w:sz w:val="21"/>
                      <w:szCs w:val="21"/>
                    </w:rPr>
                    <w:t>，用水量为</w:t>
                  </w:r>
                  <w:r>
                    <w:rPr>
                      <w:rFonts w:hint="eastAsia" w:ascii="Times New Roman" w:hAnsi="Times New Roman"/>
                      <w:color w:val="auto"/>
                      <w:sz w:val="21"/>
                      <w:szCs w:val="21"/>
                      <w:lang w:eastAsia="zh-CN"/>
                    </w:rPr>
                    <w:t>10179</w:t>
                  </w:r>
                  <w:r>
                    <w:rPr>
                      <w:rFonts w:hint="eastAsia" w:ascii="Times New Roman" w:hAnsi="Times New Roman"/>
                      <w:color w:val="auto"/>
                      <w:sz w:val="21"/>
                      <w:szCs w:val="21"/>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2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1453"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排水</w:t>
                  </w:r>
                </w:p>
              </w:tc>
              <w:tc>
                <w:tcPr>
                  <w:tcW w:w="6240" w:type="dxa"/>
                  <w:vAlign w:val="center"/>
                </w:tcPr>
                <w:p>
                  <w:pPr>
                    <w:keepNext w:val="0"/>
                    <w:keepLines w:val="0"/>
                    <w:widowControl/>
                    <w:suppressLineNumbers w:val="0"/>
                    <w:spacing w:before="0" w:beforeAutospacing="0" w:after="0" w:afterAutospacing="0"/>
                    <w:ind w:left="0" w:right="0"/>
                    <w:rPr>
                      <w:rFonts w:hint="default" w:ascii="Times New Roman" w:hAnsi="Times New Roman"/>
                      <w:color w:val="auto"/>
                      <w:sz w:val="21"/>
                      <w:szCs w:val="21"/>
                    </w:rPr>
                  </w:pPr>
                  <w:r>
                    <w:rPr>
                      <w:rFonts w:hint="default" w:ascii="Times New Roman" w:hAnsi="Times New Roman"/>
                      <w:color w:val="auto"/>
                      <w:sz w:val="21"/>
                      <w:szCs w:val="21"/>
                    </w:rPr>
                    <w:t>项目</w:t>
                  </w:r>
                  <w:r>
                    <w:rPr>
                      <w:rFonts w:hint="default" w:ascii="Times New Roman" w:hAnsi="Times New Roman"/>
                      <w:color w:val="auto"/>
                      <w:sz w:val="21"/>
                      <w:szCs w:val="21"/>
                      <w:lang w:val="en-GB"/>
                    </w:rPr>
                    <w:t>排水系统采用雨污分流制，雨水收集后直接外排</w:t>
                  </w:r>
                  <w:r>
                    <w:rPr>
                      <w:rFonts w:hint="eastAsia" w:ascii="Times New Roman" w:hAnsi="Times New Roman"/>
                      <w:color w:val="auto"/>
                      <w:sz w:val="21"/>
                      <w:szCs w:val="21"/>
                      <w:lang w:val="en-GB" w:eastAsia="zh-CN"/>
                    </w:rPr>
                    <w:t>；</w:t>
                  </w:r>
                  <w:r>
                    <w:rPr>
                      <w:rFonts w:hint="eastAsia" w:ascii="Times New Roman" w:hAnsi="Times New Roman"/>
                      <w:color w:val="auto"/>
                      <w:sz w:val="21"/>
                      <w:szCs w:val="21"/>
                      <w:lang w:val="en-US" w:eastAsia="zh-CN"/>
                    </w:rPr>
                    <w:t>初期雨水经初期雨水池收集沉淀后回用；</w:t>
                  </w:r>
                  <w:r>
                    <w:rPr>
                      <w:rFonts w:hint="default" w:ascii="Times New Roman" w:hAnsi="Times New Roman"/>
                      <w:color w:val="auto"/>
                      <w:sz w:val="21"/>
                      <w:szCs w:val="21"/>
                    </w:rPr>
                    <w:t>本项目废水主要为生产废水和职工生活污水，生产</w:t>
                  </w:r>
                  <w:r>
                    <w:rPr>
                      <w:rFonts w:hint="default" w:ascii="Times New Roman" w:hAnsi="Times New Roman"/>
                      <w:color w:val="auto"/>
                      <w:spacing w:val="1"/>
                      <w:sz w:val="21"/>
                      <w:szCs w:val="21"/>
                    </w:rPr>
                    <w:t>废水经</w:t>
                  </w:r>
                  <w:r>
                    <w:rPr>
                      <w:rFonts w:hint="eastAsia" w:ascii="Times New Roman" w:hAnsi="Times New Roman"/>
                      <w:color w:val="auto"/>
                      <w:spacing w:val="1"/>
                      <w:sz w:val="21"/>
                      <w:szCs w:val="21"/>
                    </w:rPr>
                    <w:t>沉淀罐、沉淀池</w:t>
                  </w:r>
                  <w:r>
                    <w:rPr>
                      <w:rFonts w:hint="default" w:ascii="Times New Roman" w:hAnsi="Times New Roman"/>
                      <w:color w:val="auto"/>
                      <w:spacing w:val="1"/>
                      <w:sz w:val="21"/>
                      <w:szCs w:val="21"/>
                    </w:rPr>
                    <w:t>处理后可循环使用，不外排；</w:t>
                  </w:r>
                  <w:r>
                    <w:rPr>
                      <w:rFonts w:hint="default" w:ascii="Times New Roman" w:hAnsi="Times New Roman"/>
                      <w:color w:val="auto"/>
                      <w:sz w:val="21"/>
                      <w:szCs w:val="21"/>
                      <w:lang w:val="en-GB"/>
                    </w:rPr>
                    <w:t>少量的生活污水经</w:t>
                  </w:r>
                  <w:r>
                    <w:rPr>
                      <w:rFonts w:hint="default" w:ascii="Times New Roman" w:hAnsi="Times New Roman"/>
                      <w:color w:val="auto"/>
                      <w:sz w:val="21"/>
                      <w:szCs w:val="21"/>
                    </w:rPr>
                    <w:t>地埋式生活污水处理设施处理后用于周边山林地</w:t>
                  </w:r>
                  <w:r>
                    <w:rPr>
                      <w:rFonts w:hint="eastAsia" w:ascii="Times New Roman" w:hAnsi="Times New Roman"/>
                      <w:color w:val="auto"/>
                      <w:sz w:val="21"/>
                      <w:szCs w:val="21"/>
                    </w:rPr>
                    <w:t>灌溉</w:t>
                  </w:r>
                  <w:r>
                    <w:rPr>
                      <w:rFonts w:hint="default" w:ascii="Times New Roman" w:hAnsi="Times New Roman"/>
                      <w:color w:val="auto"/>
                      <w:sz w:val="21"/>
                      <w:szCs w:val="21"/>
                      <w:lang w:val="en-GB"/>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2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1453"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供电</w:t>
                  </w:r>
                </w:p>
              </w:tc>
              <w:tc>
                <w:tcPr>
                  <w:tcW w:w="6240"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olor w:val="auto"/>
                      <w:kern w:val="0"/>
                      <w:sz w:val="21"/>
                      <w:szCs w:val="21"/>
                    </w:rPr>
                  </w:pPr>
                  <w:r>
                    <w:rPr>
                      <w:rFonts w:hint="default" w:ascii="Times New Roman" w:hAnsi="Times New Roman"/>
                      <w:color w:val="auto"/>
                      <w:kern w:val="0"/>
                      <w:sz w:val="21"/>
                      <w:szCs w:val="21"/>
                    </w:rPr>
                    <w:t>市政供电</w:t>
                  </w:r>
                  <w:r>
                    <w:rPr>
                      <w:rFonts w:hint="eastAsia" w:ascii="Times New Roman" w:hAnsi="Times New Roman"/>
                      <w:color w:val="auto"/>
                      <w:kern w:val="0"/>
                      <w:sz w:val="21"/>
                      <w:szCs w:val="21"/>
                    </w:rPr>
                    <w:t>，用电量为400万kwh/a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72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环保工程</w:t>
                  </w:r>
                </w:p>
              </w:tc>
              <w:tc>
                <w:tcPr>
                  <w:tcW w:w="73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治理</w:t>
                  </w:r>
                </w:p>
                <w:p>
                  <w:pPr>
                    <w:keepNext w:val="0"/>
                    <w:keepLines w:val="0"/>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设施</w:t>
                  </w:r>
                </w:p>
              </w:tc>
              <w:tc>
                <w:tcPr>
                  <w:tcW w:w="715" w:type="dxa"/>
                  <w:vAlign w:val="center"/>
                </w:tcPr>
                <w:p>
                  <w:pPr>
                    <w:keepNext w:val="0"/>
                    <w:keepLines w:val="0"/>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废气</w:t>
                  </w:r>
                </w:p>
              </w:tc>
              <w:tc>
                <w:tcPr>
                  <w:tcW w:w="6240" w:type="dxa"/>
                  <w:vAlign w:val="center"/>
                </w:tcPr>
                <w:p>
                  <w:pPr>
                    <w:keepNext w:val="0"/>
                    <w:keepLines w:val="0"/>
                    <w:suppressLineNumbers w:val="0"/>
                    <w:spacing w:before="0" w:beforeAutospacing="0" w:after="0" w:afterAutospacing="0"/>
                    <w:ind w:left="0" w:right="0"/>
                    <w:rPr>
                      <w:rFonts w:hint="default" w:ascii="Times New Roman" w:hAnsi="Times New Roman"/>
                      <w:color w:val="auto"/>
                      <w:sz w:val="21"/>
                      <w:szCs w:val="21"/>
                    </w:rPr>
                  </w:pPr>
                  <w:r>
                    <w:rPr>
                      <w:rFonts w:hint="default" w:ascii="Times New Roman" w:hAnsi="Times New Roman"/>
                      <w:color w:val="auto"/>
                      <w:sz w:val="21"/>
                      <w:szCs w:val="21"/>
                    </w:rPr>
                    <w:t>原料堆场喷雾抑尘；原料卸料过程采取洒水抑尘；破碎、筛分、输送过程采用水喷淋抑尘；</w:t>
                  </w:r>
                  <w:r>
                    <w:rPr>
                      <w:rFonts w:hint="eastAsia" w:ascii="Times New Roman" w:hAnsi="Times New Roman"/>
                      <w:color w:val="auto"/>
                      <w:sz w:val="21"/>
                      <w:szCs w:val="21"/>
                    </w:rPr>
                    <w:t>成品堆场设置顶棚、周边围挡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72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73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kern w:val="0"/>
                      <w:sz w:val="21"/>
                      <w:szCs w:val="21"/>
                    </w:rPr>
                  </w:pPr>
                </w:p>
              </w:tc>
              <w:tc>
                <w:tcPr>
                  <w:tcW w:w="715" w:type="dxa"/>
                  <w:vAlign w:val="center"/>
                </w:tcPr>
                <w:p>
                  <w:pPr>
                    <w:keepNext w:val="0"/>
                    <w:keepLines w:val="0"/>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废水</w:t>
                  </w:r>
                </w:p>
              </w:tc>
              <w:tc>
                <w:tcPr>
                  <w:tcW w:w="6240" w:type="dxa"/>
                  <w:vAlign w:val="center"/>
                </w:tcPr>
                <w:p>
                  <w:pPr>
                    <w:keepNext w:val="0"/>
                    <w:keepLines w:val="0"/>
                    <w:suppressLineNumbers w:val="0"/>
                    <w:spacing w:before="0" w:beforeAutospacing="0" w:after="0" w:afterAutospacing="0"/>
                    <w:ind w:left="0" w:right="0"/>
                    <w:rPr>
                      <w:rFonts w:hint="default" w:ascii="Times New Roman" w:hAnsi="Times New Roman"/>
                      <w:color w:val="auto"/>
                      <w:kern w:val="0"/>
                      <w:sz w:val="21"/>
                      <w:szCs w:val="21"/>
                    </w:rPr>
                  </w:pPr>
                  <w:r>
                    <w:rPr>
                      <w:rFonts w:hint="eastAsia" w:ascii="Times New Roman" w:hAnsi="Times New Roman"/>
                      <w:color w:val="auto"/>
                      <w:sz w:val="21"/>
                      <w:szCs w:val="21"/>
                      <w:lang w:val="en-US" w:eastAsia="zh-CN"/>
                    </w:rPr>
                    <w:t>初期雨水池，容积12m</w:t>
                  </w:r>
                  <w:r>
                    <w:rPr>
                      <w:rFonts w:hint="eastAsia" w:ascii="Times New Roman" w:hAnsi="Times New Roman"/>
                      <w:color w:val="auto"/>
                      <w:sz w:val="21"/>
                      <w:szCs w:val="21"/>
                      <w:vertAlign w:val="superscript"/>
                      <w:lang w:val="en-US" w:eastAsia="zh-CN"/>
                    </w:rPr>
                    <w:t>3</w:t>
                  </w:r>
                  <w:r>
                    <w:rPr>
                      <w:rFonts w:hint="eastAsia" w:ascii="Times New Roman" w:hAnsi="Times New Roman"/>
                      <w:color w:val="auto"/>
                      <w:sz w:val="21"/>
                      <w:szCs w:val="21"/>
                      <w:lang w:val="en-US" w:eastAsia="zh-CN"/>
                    </w:rPr>
                    <w:t>；</w:t>
                  </w:r>
                  <w:r>
                    <w:rPr>
                      <w:rFonts w:hint="eastAsia" w:ascii="Times New Roman" w:hAnsi="Times New Roman"/>
                      <w:color w:val="auto"/>
                      <w:sz w:val="21"/>
                      <w:szCs w:val="21"/>
                    </w:rPr>
                    <w:t>沉淀池</w:t>
                  </w:r>
                  <w:r>
                    <w:rPr>
                      <w:rFonts w:hint="default" w:ascii="Times New Roman" w:hAnsi="Times New Roman"/>
                      <w:color w:val="auto"/>
                      <w:sz w:val="21"/>
                      <w:szCs w:val="21"/>
                    </w:rPr>
                    <w:t>，废水处理</w:t>
                  </w:r>
                  <w:r>
                    <w:rPr>
                      <w:rFonts w:hint="eastAsia" w:ascii="Times New Roman" w:hAnsi="Times New Roman"/>
                      <w:color w:val="auto"/>
                      <w:sz w:val="21"/>
                      <w:szCs w:val="21"/>
                    </w:rPr>
                    <w:t>能力</w:t>
                  </w:r>
                  <w:r>
                    <w:rPr>
                      <w:rFonts w:hint="default" w:ascii="Times New Roman" w:hAnsi="Times New Roman"/>
                      <w:color w:val="auto"/>
                      <w:sz w:val="21"/>
                      <w:szCs w:val="21"/>
                    </w:rPr>
                    <w:t>200m</w:t>
                  </w:r>
                  <w:r>
                    <w:rPr>
                      <w:rFonts w:hint="default" w:ascii="Times New Roman" w:hAnsi="Times New Roman"/>
                      <w:color w:val="auto"/>
                      <w:sz w:val="21"/>
                      <w:szCs w:val="21"/>
                      <w:vertAlign w:val="superscript"/>
                    </w:rPr>
                    <w:t>3</w:t>
                  </w:r>
                  <w:r>
                    <w:rPr>
                      <w:rFonts w:hint="default" w:ascii="Times New Roman" w:hAnsi="Times New Roman"/>
                      <w:color w:val="auto"/>
                      <w:sz w:val="21"/>
                      <w:szCs w:val="21"/>
                    </w:rPr>
                    <w:t>/d；</w:t>
                  </w:r>
                  <w:r>
                    <w:rPr>
                      <w:rFonts w:hint="eastAsia" w:ascii="Times New Roman" w:hAnsi="Times New Roman"/>
                      <w:color w:val="auto"/>
                      <w:sz w:val="21"/>
                      <w:szCs w:val="21"/>
                    </w:rPr>
                    <w:t>沉淀罐，废水处理能力200m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/d；</w:t>
                  </w:r>
                  <w:r>
                    <w:rPr>
                      <w:rFonts w:hint="default" w:ascii="Times New Roman" w:hAnsi="Times New Roman"/>
                      <w:color w:val="auto"/>
                      <w:sz w:val="21"/>
                      <w:szCs w:val="21"/>
                    </w:rPr>
                    <w:t>清水池，容积200m</w:t>
                  </w:r>
                  <w:r>
                    <w:rPr>
                      <w:rFonts w:hint="default" w:ascii="Times New Roman" w:hAnsi="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7" w:hRule="atLeast"/>
              </w:trPr>
              <w:tc>
                <w:tcPr>
                  <w:tcW w:w="72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73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71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r>
                    <w:rPr>
                      <w:rFonts w:hint="default" w:ascii="Times New Roman" w:hAnsi="Times New Roman"/>
                      <w:kern w:val="0"/>
                      <w:sz w:val="21"/>
                      <w:szCs w:val="21"/>
                    </w:rPr>
                    <w:t>噪声</w:t>
                  </w:r>
                </w:p>
              </w:tc>
              <w:tc>
                <w:tcPr>
                  <w:tcW w:w="6240" w:type="dxa"/>
                  <w:vAlign w:val="center"/>
                </w:tcPr>
                <w:p>
                  <w:pPr>
                    <w:keepNext w:val="0"/>
                    <w:keepLines w:val="0"/>
                    <w:widowControl/>
                    <w:suppressLineNumbers w:val="0"/>
                    <w:spacing w:before="0" w:beforeAutospacing="0" w:after="0" w:afterAutospacing="0"/>
                    <w:ind w:left="0" w:right="0"/>
                    <w:rPr>
                      <w:rFonts w:hint="default" w:ascii="Times New Roman" w:hAnsi="Times New Roman"/>
                      <w:kern w:val="0"/>
                      <w:sz w:val="21"/>
                      <w:szCs w:val="21"/>
                    </w:rPr>
                  </w:pPr>
                  <w:r>
                    <w:rPr>
                      <w:rFonts w:hint="default" w:ascii="Times New Roman" w:hAnsi="Times New Roman"/>
                      <w:sz w:val="21"/>
                      <w:szCs w:val="21"/>
                    </w:rPr>
                    <w:t>选用低噪声设备，设备上隔振垫降噪等措施。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5" w:hRule="atLeast"/>
              </w:trPr>
              <w:tc>
                <w:tcPr>
                  <w:tcW w:w="72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73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715" w:type="dxa"/>
                  <w:vMerge w:val="restart"/>
                  <w:vAlign w:val="center"/>
                </w:tcPr>
                <w:p>
                  <w:pPr>
                    <w:keepNext w:val="0"/>
                    <w:keepLines w:val="0"/>
                    <w:widowControl/>
                    <w:suppressLineNumbers w:val="0"/>
                    <w:spacing w:before="0" w:beforeAutospacing="0" w:after="0" w:afterAutospacing="0"/>
                    <w:ind w:left="0" w:right="0"/>
                    <w:rPr>
                      <w:rFonts w:hint="default" w:ascii="Times New Roman" w:hAnsi="Times New Roman"/>
                      <w:sz w:val="21"/>
                      <w:szCs w:val="21"/>
                      <w:lang w:val="en-GB"/>
                    </w:rPr>
                  </w:pPr>
                  <w:r>
                    <w:rPr>
                      <w:rFonts w:hint="default" w:ascii="Times New Roman" w:hAnsi="Times New Roman"/>
                      <w:sz w:val="21"/>
                      <w:szCs w:val="21"/>
                      <w:lang w:val="en-GB"/>
                    </w:rPr>
                    <w:t>固废</w:t>
                  </w:r>
                </w:p>
              </w:tc>
              <w:tc>
                <w:tcPr>
                  <w:tcW w:w="6240" w:type="dxa"/>
                  <w:vAlign w:val="center"/>
                </w:tcPr>
                <w:p>
                  <w:pPr>
                    <w:keepNext w:val="0"/>
                    <w:keepLines w:val="0"/>
                    <w:widowControl/>
                    <w:suppressLineNumbers w:val="0"/>
                    <w:spacing w:before="0" w:beforeAutospacing="0" w:after="0" w:afterAutospacing="0"/>
                    <w:ind w:left="0" w:right="0"/>
                    <w:rPr>
                      <w:rFonts w:hint="default" w:ascii="Times New Roman" w:hAnsi="Times New Roman"/>
                      <w:sz w:val="21"/>
                      <w:szCs w:val="21"/>
                    </w:rPr>
                  </w:pPr>
                  <w:r>
                    <w:rPr>
                      <w:rFonts w:hint="eastAsia" w:ascii="Times New Roman" w:hAnsi="Times New Roman"/>
                      <w:sz w:val="21"/>
                      <w:szCs w:val="21"/>
                      <w:lang w:val="en-GB"/>
                    </w:rPr>
                    <w:t>污泥暂存池</w:t>
                  </w:r>
                  <w:r>
                    <w:rPr>
                      <w:rFonts w:hint="default" w:ascii="Times New Roman" w:hAnsi="Times New Roman"/>
                      <w:sz w:val="21"/>
                      <w:szCs w:val="21"/>
                      <w:lang w:val="en-GB"/>
                    </w:rPr>
                    <w:t>，</w:t>
                  </w:r>
                  <w:r>
                    <w:rPr>
                      <w:rFonts w:hint="eastAsia" w:ascii="Times New Roman" w:hAnsi="Times New Roman"/>
                      <w:sz w:val="21"/>
                      <w:szCs w:val="21"/>
                      <w:lang w:val="en-US" w:eastAsia="zh-CN"/>
                    </w:rPr>
                    <w:t>容积</w:t>
                  </w:r>
                  <w:r>
                    <w:rPr>
                      <w:rFonts w:hint="eastAsia" w:ascii="Times New Roman" w:hAnsi="Times New Roman"/>
                      <w:sz w:val="21"/>
                      <w:szCs w:val="21"/>
                      <w:lang w:val="en-GB"/>
                    </w:rPr>
                    <w:t>约100m</w:t>
                  </w:r>
                  <w:r>
                    <w:rPr>
                      <w:rFonts w:hint="eastAsia" w:ascii="Times New Roman" w:hAnsi="Times New Roman"/>
                      <w:sz w:val="21"/>
                      <w:szCs w:val="21"/>
                      <w:vertAlign w:val="superscript"/>
                      <w:lang w:val="en-US" w:eastAsia="zh-CN"/>
                    </w:rPr>
                    <w:t>3</w:t>
                  </w:r>
                  <w:r>
                    <w:rPr>
                      <w:rFonts w:hint="eastAsia" w:ascii="Times New Roman" w:hAnsi="Times New Roman"/>
                      <w:sz w:val="21"/>
                      <w:szCs w:val="21"/>
                      <w:lang w:val="en-GB"/>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5" w:hRule="atLeast"/>
              </w:trPr>
              <w:tc>
                <w:tcPr>
                  <w:tcW w:w="72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73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kern w:val="0"/>
                      <w:sz w:val="21"/>
                      <w:szCs w:val="21"/>
                    </w:rPr>
                  </w:pPr>
                </w:p>
              </w:tc>
              <w:tc>
                <w:tcPr>
                  <w:tcW w:w="715" w:type="dxa"/>
                  <w:vMerge w:val="continue"/>
                  <w:vAlign w:val="center"/>
                </w:tcPr>
                <w:p>
                  <w:pPr>
                    <w:keepNext w:val="0"/>
                    <w:keepLines w:val="0"/>
                    <w:widowControl/>
                    <w:suppressLineNumbers w:val="0"/>
                    <w:spacing w:before="0" w:beforeAutospacing="0" w:after="0" w:afterAutospacing="0"/>
                    <w:ind w:left="0" w:right="0"/>
                    <w:rPr>
                      <w:rFonts w:hint="default" w:ascii="Times New Roman" w:hAnsi="Times New Roman"/>
                      <w:sz w:val="21"/>
                      <w:szCs w:val="21"/>
                      <w:lang w:val="en-GB"/>
                    </w:rPr>
                  </w:pPr>
                </w:p>
              </w:tc>
              <w:tc>
                <w:tcPr>
                  <w:tcW w:w="6240" w:type="dxa"/>
                  <w:vAlign w:val="center"/>
                </w:tcPr>
                <w:p>
                  <w:pPr>
                    <w:keepNext w:val="0"/>
                    <w:keepLines w:val="0"/>
                    <w:widowControl/>
                    <w:suppressLineNumbers w:val="0"/>
                    <w:spacing w:before="0" w:beforeAutospacing="0" w:after="0" w:afterAutospacing="0"/>
                    <w:ind w:left="0" w:right="0"/>
                    <w:rPr>
                      <w:rFonts w:hint="default" w:ascii="Times New Roman" w:hAnsi="Times New Roman"/>
                      <w:sz w:val="21"/>
                      <w:szCs w:val="21"/>
                      <w:lang w:val="en-GB"/>
                    </w:rPr>
                  </w:pPr>
                  <w:r>
                    <w:rPr>
                      <w:rFonts w:hint="default" w:ascii="Times New Roman" w:hAnsi="Times New Roman"/>
                      <w:sz w:val="21"/>
                      <w:szCs w:val="21"/>
                      <w:lang w:val="en-GB"/>
                    </w:rPr>
                    <w:t>危废储存间，面积</w:t>
                  </w:r>
                  <w:r>
                    <w:rPr>
                      <w:rFonts w:hint="eastAsia" w:ascii="Times New Roman" w:hAnsi="Times New Roman"/>
                      <w:sz w:val="21"/>
                      <w:szCs w:val="21"/>
                    </w:rPr>
                    <w:t>1</w:t>
                  </w:r>
                  <w:r>
                    <w:rPr>
                      <w:rFonts w:hint="eastAsia" w:ascii="Times New Roman" w:hAnsi="Times New Roman"/>
                      <w:sz w:val="21"/>
                      <w:szCs w:val="21"/>
                      <w:lang w:val="en-US" w:eastAsia="zh-CN"/>
                    </w:rPr>
                    <w:t>5</w:t>
                  </w:r>
                  <w:r>
                    <w:rPr>
                      <w:rFonts w:hint="default" w:ascii="Times New Roman" w:hAnsi="Times New Roman"/>
                      <w:sz w:val="21"/>
                      <w:szCs w:val="21"/>
                      <w:lang w:val="en-GB"/>
                    </w:rPr>
                    <w:t>m</w:t>
                  </w:r>
                  <w:r>
                    <w:rPr>
                      <w:rFonts w:hint="default" w:ascii="Times New Roman" w:hAnsi="Times New Roman"/>
                      <w:sz w:val="21"/>
                      <w:szCs w:val="21"/>
                      <w:vertAlign w:val="superscript"/>
                      <w:lang w:val="en-GB"/>
                    </w:rPr>
                    <w:t>2</w:t>
                  </w:r>
                  <w:r>
                    <w:rPr>
                      <w:rFonts w:hint="default" w:ascii="Times New Roman" w:hAnsi="Times New Roman"/>
                      <w:sz w:val="21"/>
                      <w:szCs w:val="21"/>
                      <w:lang w:val="en-GB"/>
                    </w:rPr>
                    <w:t>，“防渗混凝土+环氧树脂地坪漆”防渗</w:t>
                  </w:r>
                </w:p>
              </w:tc>
            </w:tr>
          </w:tbl>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p>
          <w:p>
            <w:pPr>
              <w:keepNext w:val="0"/>
              <w:keepLines w:val="0"/>
              <w:suppressLineNumbers w:val="0"/>
              <w:spacing w:before="0" w:beforeAutospacing="0" w:after="0" w:afterAutospacing="0" w:line="460" w:lineRule="exact"/>
              <w:ind w:left="0" w:right="0"/>
              <w:rPr>
                <w:rFonts w:hint="default" w:ascii="Times New Roman" w:hAnsi="Times New Roman" w:eastAsia="黑体"/>
                <w:b/>
                <w:bCs/>
              </w:rPr>
            </w:pPr>
            <w:r>
              <w:rPr>
                <w:rFonts w:hint="default" w:ascii="Times New Roman" w:hAnsi="Times New Roman" w:eastAsia="黑体"/>
                <w:b/>
                <w:bCs/>
              </w:rPr>
              <w:t>2.3.</w:t>
            </w:r>
            <w:r>
              <w:rPr>
                <w:rFonts w:hint="eastAsia" w:ascii="Times New Roman" w:hAnsi="Times New Roman" w:eastAsia="黑体"/>
                <w:b/>
                <w:bCs/>
              </w:rPr>
              <w:t>5</w:t>
            </w:r>
            <w:r>
              <w:rPr>
                <w:rFonts w:hint="default" w:ascii="Times New Roman" w:hAnsi="Times New Roman" w:eastAsia="黑体"/>
                <w:b/>
                <w:bCs/>
              </w:rPr>
              <w:t>主要生产设备</w:t>
            </w:r>
          </w:p>
          <w:p>
            <w:pPr>
              <w:keepNext w:val="0"/>
              <w:keepLines w:val="0"/>
              <w:suppressLineNumbers w:val="0"/>
              <w:spacing w:before="0" w:beforeAutospacing="0" w:after="0" w:afterAutospacing="0" w:line="400" w:lineRule="exact"/>
              <w:ind w:left="0" w:right="0" w:firstLine="480" w:firstLineChars="200"/>
              <w:rPr>
                <w:rFonts w:hint="eastAsia" w:ascii="Times New Roman" w:hAnsi="Times New Roman"/>
              </w:rPr>
            </w:pPr>
            <w:r>
              <w:rPr>
                <w:rFonts w:hint="eastAsia" w:ascii="Times New Roman" w:hAnsi="Times New Roman"/>
              </w:rPr>
              <w:t>本项目主要生产设备情况如下。</w:t>
            </w:r>
          </w:p>
          <w:p>
            <w:pPr>
              <w:pStyle w:val="33"/>
              <w:keepNext w:val="0"/>
              <w:keepLines w:val="0"/>
              <w:suppressLineNumbers w:val="0"/>
              <w:spacing w:before="120" w:beforeAutospacing="0" w:after="0" w:afterAutospacing="0"/>
              <w:ind w:left="0" w:right="0"/>
              <w:rPr>
                <w:rFonts w:hint="default" w:ascii="Times New Roman" w:hAnsi="Times New Roman"/>
                <w:b/>
                <w:bCs/>
                <w:sz w:val="21"/>
                <w:szCs w:val="21"/>
              </w:rPr>
            </w:pPr>
            <w:r>
              <w:rPr>
                <w:rFonts w:hint="default" w:ascii="Times New Roman" w:hAnsi="Times New Roman"/>
                <w:b/>
                <w:bCs/>
                <w:sz w:val="21"/>
                <w:szCs w:val="21"/>
              </w:rPr>
              <w:t>表2.3-4项目主要生产设备一览表</w:t>
            </w:r>
          </w:p>
          <w:tbl>
            <w:tblPr>
              <w:tblStyle w:val="25"/>
              <w:tblW w:w="83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562"/>
              <w:gridCol w:w="1300"/>
              <w:gridCol w:w="931"/>
              <w:gridCol w:w="1034"/>
              <w:gridCol w:w="831"/>
              <w:gridCol w:w="931"/>
              <w:gridCol w:w="995"/>
              <w:gridCol w:w="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restart"/>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b/>
                      <w:bCs/>
                      <w:sz w:val="18"/>
                      <w:szCs w:val="18"/>
                    </w:rPr>
                  </w:pPr>
                  <w:r>
                    <w:rPr>
                      <w:rFonts w:hint="default" w:ascii="Times New Roman" w:hAnsi="Times New Roman" w:eastAsia="宋体"/>
                      <w:b/>
                      <w:bCs/>
                      <w:sz w:val="18"/>
                      <w:szCs w:val="18"/>
                    </w:rPr>
                    <w:t>项目</w:t>
                  </w:r>
                </w:p>
              </w:tc>
              <w:tc>
                <w:tcPr>
                  <w:tcW w:w="562" w:type="dxa"/>
                  <w:vMerge w:val="restart"/>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b/>
                      <w:bCs/>
                      <w:sz w:val="18"/>
                      <w:szCs w:val="18"/>
                    </w:rPr>
                  </w:pPr>
                  <w:r>
                    <w:rPr>
                      <w:rFonts w:hint="default" w:ascii="Times New Roman" w:hAnsi="Times New Roman" w:eastAsia="宋体"/>
                      <w:b/>
                      <w:bCs/>
                      <w:sz w:val="18"/>
                      <w:szCs w:val="18"/>
                    </w:rPr>
                    <w:t>序号</w:t>
                  </w:r>
                </w:p>
              </w:tc>
              <w:tc>
                <w:tcPr>
                  <w:tcW w:w="130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设备名称</w:t>
                  </w:r>
                </w:p>
              </w:tc>
              <w:tc>
                <w:tcPr>
                  <w:tcW w:w="1965"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型号</w:t>
                  </w:r>
                </w:p>
              </w:tc>
              <w:tc>
                <w:tcPr>
                  <w:tcW w:w="1762"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数量</w:t>
                  </w:r>
                </w:p>
              </w:tc>
              <w:tc>
                <w:tcPr>
                  <w:tcW w:w="995" w:type="dxa"/>
                  <w:vMerge w:val="restart"/>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b/>
                      <w:bCs/>
                      <w:sz w:val="18"/>
                      <w:szCs w:val="18"/>
                      <w:u w:val="single"/>
                    </w:rPr>
                  </w:pPr>
                  <w:r>
                    <w:rPr>
                      <w:rFonts w:hint="default" w:ascii="Times New Roman" w:hAnsi="Times New Roman" w:eastAsia="宋体"/>
                      <w:b/>
                      <w:bCs/>
                      <w:sz w:val="18"/>
                      <w:szCs w:val="18"/>
                      <w:u w:val="single"/>
                    </w:rPr>
                    <w:t>台时产量</w:t>
                  </w:r>
                </w:p>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default" w:ascii="Times New Roman" w:hAnsi="Times New Roman"/>
                      <w:b/>
                      <w:bCs/>
                      <w:sz w:val="18"/>
                      <w:szCs w:val="18"/>
                    </w:rPr>
                    <w:t>（t/h）</w:t>
                  </w:r>
                </w:p>
              </w:tc>
              <w:tc>
                <w:tcPr>
                  <w:tcW w:w="86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b/>
                      <w:bCs/>
                      <w:sz w:val="18"/>
                      <w:szCs w:val="18"/>
                    </w:rPr>
                  </w:pPr>
                </w:p>
              </w:tc>
              <w:tc>
                <w:tcPr>
                  <w:tcW w:w="562"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b/>
                      <w:bCs/>
                      <w:sz w:val="18"/>
                      <w:szCs w:val="18"/>
                    </w:rPr>
                  </w:pPr>
                </w:p>
              </w:tc>
              <w:tc>
                <w:tcPr>
                  <w:tcW w:w="130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迁建前</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迁建后</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迁建前</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r>
                    <w:rPr>
                      <w:rFonts w:hint="eastAsia" w:ascii="Times New Roman" w:hAnsi="Times New Roman"/>
                      <w:b/>
                      <w:bCs/>
                      <w:sz w:val="18"/>
                      <w:szCs w:val="18"/>
                    </w:rPr>
                    <w:t>迁建后</w:t>
                  </w:r>
                </w:p>
              </w:tc>
              <w:tc>
                <w:tcPr>
                  <w:tcW w:w="99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p>
              </w:tc>
              <w:tc>
                <w:tcPr>
                  <w:tcW w:w="86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restart"/>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default" w:ascii="Times New Roman" w:hAnsi="Times New Roman" w:eastAsia="宋体"/>
                      <w:sz w:val="18"/>
                      <w:szCs w:val="18"/>
                    </w:rPr>
                    <w:t>碎石、砂石破碎加工项目</w:t>
                  </w:r>
                </w:p>
              </w:tc>
              <w:tc>
                <w:tcPr>
                  <w:tcW w:w="562" w:type="dxa"/>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default" w:ascii="Times New Roman" w:hAnsi="Times New Roman" w:eastAsia="宋体"/>
                      <w:sz w:val="18"/>
                      <w:szCs w:val="18"/>
                    </w:rPr>
                    <w:t>1</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破碎机</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69</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69</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1</w:t>
                  </w:r>
                </w:p>
              </w:tc>
              <w:tc>
                <w:tcPr>
                  <w:tcW w:w="99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70-90</w:t>
                  </w:r>
                </w:p>
              </w:tc>
              <w:tc>
                <w:tcPr>
                  <w:tcW w:w="869"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p>
              </w:tc>
              <w:tc>
                <w:tcPr>
                  <w:tcW w:w="562" w:type="dxa"/>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default" w:ascii="Times New Roman" w:hAnsi="Times New Roman" w:eastAsia="宋体"/>
                      <w:sz w:val="18"/>
                      <w:szCs w:val="18"/>
                    </w:rPr>
                    <w:t>2</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圆锥破碎机</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155</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155</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1</w:t>
                  </w:r>
                </w:p>
              </w:tc>
              <w:tc>
                <w:tcPr>
                  <w:tcW w:w="99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70-90</w:t>
                  </w:r>
                </w:p>
              </w:tc>
              <w:tc>
                <w:tcPr>
                  <w:tcW w:w="869"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p>
              </w:tc>
              <w:tc>
                <w:tcPr>
                  <w:tcW w:w="562" w:type="dxa"/>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default" w:ascii="Times New Roman" w:hAnsi="Times New Roman" w:eastAsia="宋体"/>
                      <w:sz w:val="18"/>
                      <w:szCs w:val="18"/>
                    </w:rPr>
                    <w:t>3</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振动筛</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2*6</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2*6</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2</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2</w:t>
                  </w:r>
                </w:p>
              </w:tc>
              <w:tc>
                <w:tcPr>
                  <w:tcW w:w="99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70-90</w:t>
                  </w:r>
                </w:p>
              </w:tc>
              <w:tc>
                <w:tcPr>
                  <w:tcW w:w="869"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p>
              </w:tc>
              <w:tc>
                <w:tcPr>
                  <w:tcW w:w="562" w:type="dxa"/>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default" w:ascii="Times New Roman" w:hAnsi="Times New Roman" w:eastAsia="宋体"/>
                      <w:sz w:val="18"/>
                      <w:szCs w:val="18"/>
                    </w:rPr>
                    <w:t>4</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整形</w:t>
                  </w:r>
                  <w:r>
                    <w:rPr>
                      <w:rFonts w:hint="default" w:ascii="Times New Roman" w:hAnsi="Times New Roman"/>
                      <w:sz w:val="18"/>
                      <w:szCs w:val="18"/>
                    </w:rPr>
                    <w:t>机</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PF1010</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0</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1</w:t>
                  </w:r>
                </w:p>
              </w:tc>
              <w:tc>
                <w:tcPr>
                  <w:tcW w:w="99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7</w:t>
                  </w:r>
                  <w:r>
                    <w:rPr>
                      <w:rFonts w:hint="default" w:ascii="Times New Roman" w:hAnsi="Times New Roman"/>
                      <w:sz w:val="18"/>
                      <w:szCs w:val="18"/>
                    </w:rPr>
                    <w:t>0</w:t>
                  </w:r>
                  <w:r>
                    <w:rPr>
                      <w:rFonts w:hint="eastAsia" w:ascii="Times New Roman" w:hAnsi="Times New Roman"/>
                      <w:sz w:val="18"/>
                      <w:szCs w:val="18"/>
                    </w:rPr>
                    <w:t>-90</w:t>
                  </w:r>
                </w:p>
              </w:tc>
              <w:tc>
                <w:tcPr>
                  <w:tcW w:w="869"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新购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p>
              </w:tc>
              <w:tc>
                <w:tcPr>
                  <w:tcW w:w="562" w:type="dxa"/>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default" w:ascii="Times New Roman" w:hAnsi="Times New Roman" w:eastAsia="宋体"/>
                      <w:sz w:val="18"/>
                      <w:szCs w:val="18"/>
                    </w:rPr>
                    <w:t>5</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锤破碎机</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P</w:t>
                  </w:r>
                  <w:r>
                    <w:rPr>
                      <w:rFonts w:hint="default" w:ascii="Times New Roman" w:hAnsi="Times New Roman"/>
                      <w:sz w:val="18"/>
                      <w:szCs w:val="18"/>
                    </w:rPr>
                    <w:t>CZ1308</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0</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1</w:t>
                  </w:r>
                </w:p>
              </w:tc>
              <w:tc>
                <w:tcPr>
                  <w:tcW w:w="99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7</w:t>
                  </w:r>
                  <w:r>
                    <w:rPr>
                      <w:rFonts w:hint="default" w:ascii="Times New Roman" w:hAnsi="Times New Roman"/>
                      <w:sz w:val="18"/>
                      <w:szCs w:val="18"/>
                    </w:rPr>
                    <w:t>0</w:t>
                  </w:r>
                  <w:r>
                    <w:rPr>
                      <w:rFonts w:hint="eastAsia" w:ascii="Times New Roman" w:hAnsi="Times New Roman"/>
                      <w:sz w:val="18"/>
                      <w:szCs w:val="18"/>
                    </w:rPr>
                    <w:t>-80</w:t>
                  </w:r>
                </w:p>
              </w:tc>
              <w:tc>
                <w:tcPr>
                  <w:tcW w:w="869"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新购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p>
              </w:tc>
              <w:tc>
                <w:tcPr>
                  <w:tcW w:w="562" w:type="dxa"/>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eastAsia" w:ascii="Times New Roman" w:hAnsi="Times New Roman" w:eastAsia="宋体"/>
                      <w:sz w:val="18"/>
                      <w:szCs w:val="18"/>
                    </w:rPr>
                    <w:t>6</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对辊式制砂机</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2PG1560</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w:t>
                  </w:r>
                </w:p>
              </w:tc>
              <w:tc>
                <w:tcPr>
                  <w:tcW w:w="99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70-80</w:t>
                  </w:r>
                </w:p>
              </w:tc>
              <w:tc>
                <w:tcPr>
                  <w:tcW w:w="869"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新购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 w:type="dxa"/>
                  <w:vMerge w:val="continue"/>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p>
              </w:tc>
              <w:tc>
                <w:tcPr>
                  <w:tcW w:w="562" w:type="dxa"/>
                  <w:vAlign w:val="center"/>
                </w:tcPr>
                <w:p>
                  <w:pPr>
                    <w:pStyle w:val="33"/>
                    <w:keepNext w:val="0"/>
                    <w:keepLines w:val="0"/>
                    <w:suppressLineNumbers w:val="0"/>
                    <w:spacing w:before="0" w:beforeLines="0" w:beforeAutospacing="0" w:after="0" w:afterAutospacing="0"/>
                    <w:ind w:left="0" w:right="0"/>
                    <w:jc w:val="center"/>
                    <w:rPr>
                      <w:rFonts w:hint="default" w:ascii="Times New Roman" w:hAnsi="Times New Roman" w:eastAsia="宋体"/>
                      <w:sz w:val="18"/>
                      <w:szCs w:val="18"/>
                    </w:rPr>
                  </w:pPr>
                  <w:r>
                    <w:rPr>
                      <w:rFonts w:hint="default" w:ascii="Times New Roman" w:hAnsi="Times New Roman" w:eastAsia="宋体"/>
                      <w:sz w:val="18"/>
                      <w:szCs w:val="18"/>
                    </w:rPr>
                    <w:t>7</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滚筒式洗砂机</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w:t>
                  </w:r>
                </w:p>
              </w:tc>
              <w:tc>
                <w:tcPr>
                  <w:tcW w:w="1034"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GXZ1842</w:t>
                  </w:r>
                </w:p>
              </w:tc>
              <w:tc>
                <w:tcPr>
                  <w:tcW w:w="8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w:t>
                  </w:r>
                </w:p>
              </w:tc>
              <w:tc>
                <w:tcPr>
                  <w:tcW w:w="931"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1</w:t>
                  </w:r>
                </w:p>
              </w:tc>
              <w:tc>
                <w:tcPr>
                  <w:tcW w:w="995"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80-100</w:t>
                  </w:r>
                </w:p>
              </w:tc>
              <w:tc>
                <w:tcPr>
                  <w:tcW w:w="869"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新购</w:t>
                  </w:r>
                </w:p>
              </w:tc>
            </w:tr>
          </w:tbl>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（1）设备设施与产能的适配性分析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根据上表，69破碎机、圆锥破碎机、振动筛、整形机等设备的台时产量为70~90t/h，锤破碎机、对辊式制砂机等设备的台时产量为70~80t/h，滚筒式洗砂机的台时产量为80-100t/h，而整条生产线受限于最小生产能力设备的产能，因此，对应的产能为21~24万t，与</w:t>
            </w:r>
            <w:r>
              <w:rPr>
                <w:rFonts w:hint="eastAsia" w:ascii="Times New Roman" w:hAnsi="Times New Roman"/>
                <w:lang w:val="en-US" w:eastAsia="zh-CN"/>
              </w:rPr>
              <w:t>设计及</w:t>
            </w:r>
            <w:r>
              <w:rPr>
                <w:rFonts w:hint="eastAsia" w:ascii="Times New Roman" w:hAnsi="Times New Roman"/>
              </w:rPr>
              <w:t>备案规模相匹配。</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（2）设备变化分析</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相比迁建前，迁建后通过更新部分设备进行提升技改，主要包括</w:t>
            </w:r>
            <w:r>
              <w:rPr>
                <w:rFonts w:hint="default" w:ascii="Times New Roman" w:hAnsi="Times New Roman"/>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①新购先进的，自动化程度高的整形机、锤破碎机、对辊式制砂机、滚筒式洗砂机等。提升技改后，砂石破碎和打磨更加充分，砂子的级配、粒型、含粉量更加合理；能耗进一步降低。</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②配套除尘系统，压力机等环保设施，环保水平进一步优化。</w:t>
            </w:r>
          </w:p>
          <w:p>
            <w:pPr>
              <w:keepNext w:val="0"/>
              <w:keepLines w:val="0"/>
              <w:suppressLineNumbers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2.3.</w:t>
            </w:r>
            <w:r>
              <w:rPr>
                <w:rFonts w:hint="eastAsia" w:ascii="Times New Roman" w:hAnsi="Times New Roman" w:eastAsia="黑体"/>
                <w:b/>
                <w:bCs/>
              </w:rPr>
              <w:t>6物料平衡</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rPr>
            </w:pPr>
            <w:r>
              <w:rPr>
                <w:rFonts w:hint="eastAsia" w:ascii="Times New Roman" w:hAnsi="Times New Roman"/>
              </w:rPr>
              <w:t>本项目物料平衡如下：</w:t>
            </w:r>
          </w:p>
          <w:p>
            <w:pPr>
              <w:pStyle w:val="33"/>
              <w:keepNext w:val="0"/>
              <w:keepLines w:val="0"/>
              <w:suppressLineNumbers w:val="0"/>
              <w:spacing w:before="120" w:beforeAutospacing="0" w:after="0" w:afterAutospacing="0"/>
              <w:ind w:left="0" w:right="0"/>
              <w:rPr>
                <w:rFonts w:hint="eastAsia" w:ascii="Times New Roman" w:hAnsi="Times New Roman"/>
                <w:b/>
                <w:bCs/>
                <w:sz w:val="21"/>
                <w:szCs w:val="21"/>
              </w:rPr>
            </w:pPr>
            <w:r>
              <w:rPr>
                <w:rFonts w:hint="default" w:ascii="Times New Roman" w:hAnsi="Times New Roman"/>
                <w:b/>
                <w:bCs/>
                <w:sz w:val="21"/>
                <w:szCs w:val="21"/>
              </w:rPr>
              <w:t>表2.3-</w:t>
            </w:r>
            <w:r>
              <w:rPr>
                <w:rFonts w:hint="eastAsia" w:ascii="Times New Roman" w:hAnsi="Times New Roman"/>
                <w:b/>
                <w:bCs/>
                <w:sz w:val="21"/>
                <w:szCs w:val="21"/>
              </w:rPr>
              <w:t>5</w:t>
            </w:r>
            <w:r>
              <w:rPr>
                <w:rFonts w:hint="default" w:ascii="Times New Roman" w:hAnsi="Times New Roman"/>
                <w:b/>
                <w:bCs/>
                <w:sz w:val="21"/>
                <w:szCs w:val="21"/>
              </w:rPr>
              <w:t>项目</w:t>
            </w:r>
            <w:r>
              <w:rPr>
                <w:rFonts w:hint="eastAsia" w:ascii="Times New Roman" w:hAnsi="Times New Roman"/>
                <w:b/>
                <w:bCs/>
                <w:sz w:val="21"/>
                <w:szCs w:val="21"/>
              </w:rPr>
              <w:t>物料平衡表</w:t>
            </w:r>
          </w:p>
          <w:tbl>
            <w:tblPr>
              <w:tblStyle w:val="26"/>
              <w:tblW w:w="832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854"/>
              <w:gridCol w:w="806"/>
              <w:gridCol w:w="1806"/>
              <w:gridCol w:w="2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18" w:type="dxa"/>
                  <w:gridSpan w:val="2"/>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输入</w:t>
                  </w:r>
                </w:p>
              </w:tc>
              <w:tc>
                <w:tcPr>
                  <w:tcW w:w="4803" w:type="dxa"/>
                  <w:gridSpan w:val="3"/>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输出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原料种类</w:t>
                  </w:r>
                </w:p>
              </w:tc>
              <w:tc>
                <w:tcPr>
                  <w:tcW w:w="1854"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投入量（t/a）</w:t>
                  </w:r>
                </w:p>
              </w:tc>
              <w:tc>
                <w:tcPr>
                  <w:tcW w:w="2612" w:type="dxa"/>
                  <w:gridSpan w:val="2"/>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名称</w:t>
                  </w:r>
                </w:p>
              </w:tc>
              <w:tc>
                <w:tcPr>
                  <w:tcW w:w="2191" w:type="dxa"/>
                  <w:tcBorders>
                    <w:tl2br w:val="nil"/>
                    <w:tr2bl w:val="nil"/>
                  </w:tcBorders>
                </w:tcPr>
                <w:p>
                  <w:pPr>
                    <w:pStyle w:val="33"/>
                    <w:keepNext w:val="0"/>
                    <w:keepLines w:val="0"/>
                    <w:suppressLineNumbers w:val="0"/>
                    <w:spacing w:before="120" w:beforeAutospacing="0" w:after="0" w:afterAutospacing="0"/>
                    <w:ind w:left="0" w:right="0"/>
                    <w:rPr>
                      <w:rFonts w:hint="eastAsia" w:ascii="Times New Roman" w:hAnsi="Times New Roman"/>
                      <w:b/>
                      <w:bCs/>
                      <w:sz w:val="21"/>
                      <w:szCs w:val="21"/>
                      <w:vertAlign w:val="baseline"/>
                    </w:rPr>
                  </w:pPr>
                  <w:r>
                    <w:rPr>
                      <w:rFonts w:hint="default" w:ascii="Times New Roman" w:hAnsi="Times New Roman" w:eastAsia="宋体"/>
                      <w:sz w:val="18"/>
                      <w:szCs w:val="18"/>
                    </w:rPr>
                    <w:t>产出量（t/a）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restart"/>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18"/>
                      <w:szCs w:val="18"/>
                    </w:rPr>
                  </w:pPr>
                  <w:r>
                    <w:rPr>
                      <w:rFonts w:hint="eastAsia" w:ascii="Times New Roman" w:hAnsi="Times New Roman" w:eastAsia="宋体"/>
                      <w:sz w:val="18"/>
                      <w:szCs w:val="18"/>
                    </w:rPr>
                    <w:t>矿渣石料</w:t>
                  </w:r>
                </w:p>
                <w:p>
                  <w:pPr>
                    <w:pStyle w:val="33"/>
                    <w:keepNext w:val="0"/>
                    <w:keepLines w:val="0"/>
                    <w:suppressLineNumbers w:val="0"/>
                    <w:spacing w:before="0" w:beforeLines="0" w:beforeAutospacing="0" w:after="0" w:afterAutospacing="0"/>
                    <w:ind w:left="0" w:right="0"/>
                    <w:rPr>
                      <w:rFonts w:hint="eastAsia" w:ascii="Times New Roman" w:hAnsi="Times New Roman"/>
                      <w:b/>
                      <w:bCs/>
                      <w:sz w:val="21"/>
                      <w:szCs w:val="21"/>
                      <w:vertAlign w:val="baseline"/>
                    </w:rPr>
                  </w:pPr>
                  <w:r>
                    <w:rPr>
                      <w:rFonts w:hint="eastAsia" w:ascii="Times New Roman" w:hAnsi="Times New Roman" w:eastAsia="宋体"/>
                      <w:sz w:val="18"/>
                      <w:szCs w:val="18"/>
                    </w:rPr>
                    <w:t>（含水率10%）</w:t>
                  </w:r>
                </w:p>
              </w:tc>
              <w:tc>
                <w:tcPr>
                  <w:tcW w:w="1854" w:type="dxa"/>
                  <w:vMerge w:val="restart"/>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201800</w:t>
                  </w:r>
                </w:p>
                <w:p>
                  <w:pPr>
                    <w:pStyle w:val="33"/>
                    <w:keepNext w:val="0"/>
                    <w:keepLines w:val="0"/>
                    <w:suppressLineNumbers w:val="0"/>
                    <w:spacing w:before="0" w:beforeLines="0" w:beforeAutospacing="0" w:after="0" w:afterAutospacing="0"/>
                    <w:ind w:left="0" w:right="0"/>
                    <w:rPr>
                      <w:rFonts w:hint="eastAsia" w:ascii="Times New Roman" w:hAnsi="Times New Roman"/>
                      <w:b/>
                      <w:bCs/>
                      <w:sz w:val="21"/>
                      <w:szCs w:val="21"/>
                      <w:vertAlign w:val="baseline"/>
                    </w:rPr>
                  </w:pPr>
                  <w:r>
                    <w:rPr>
                      <w:rFonts w:hint="eastAsia" w:ascii="Times New Roman" w:hAnsi="Times New Roman" w:eastAsia="宋体"/>
                      <w:color w:val="000000" w:themeColor="text1"/>
                      <w:sz w:val="18"/>
                      <w:szCs w:val="18"/>
                      <w:highlight w:val="none"/>
                      <w14:textFill>
                        <w14:solidFill>
                          <w14:schemeClr w14:val="tx1"/>
                        </w14:solidFill>
                      </w14:textFill>
                    </w:rPr>
                    <w:t>（固含量：</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181620</w:t>
                  </w:r>
                  <w:r>
                    <w:rPr>
                      <w:rFonts w:hint="eastAsia" w:ascii="Times New Roman" w:hAnsi="Times New Roman" w:eastAsia="宋体"/>
                      <w:color w:val="000000" w:themeColor="text1"/>
                      <w:sz w:val="18"/>
                      <w:szCs w:val="18"/>
                      <w:highlight w:val="none"/>
                      <w14:textFill>
                        <w14:solidFill>
                          <w14:schemeClr w14:val="tx1"/>
                        </w14:solidFill>
                      </w14:textFill>
                    </w:rPr>
                    <w:t>）</w:t>
                  </w:r>
                </w:p>
              </w:tc>
              <w:tc>
                <w:tcPr>
                  <w:tcW w:w="806" w:type="dxa"/>
                  <w:vMerge w:val="restart"/>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产品</w:t>
                  </w:r>
                </w:p>
              </w:tc>
              <w:tc>
                <w:tcPr>
                  <w:tcW w:w="1806"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olor w:val="auto"/>
                      <w:sz w:val="18"/>
                      <w:szCs w:val="18"/>
                    </w:rPr>
                  </w:pPr>
                  <w:r>
                    <w:rPr>
                      <w:rFonts w:hint="eastAsia" w:ascii="Times New Roman" w:hAnsi="Times New Roman" w:eastAsia="宋体"/>
                      <w:color w:val="auto"/>
                      <w:sz w:val="18"/>
                      <w:szCs w:val="18"/>
                    </w:rPr>
                    <w:t>碎石</w:t>
                  </w:r>
                </w:p>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olor w:val="auto"/>
                      <w:sz w:val="18"/>
                      <w:szCs w:val="18"/>
                    </w:rPr>
                    <w:t>（含水率</w:t>
                  </w:r>
                  <w:r>
                    <w:rPr>
                      <w:rFonts w:hint="eastAsia" w:ascii="Times New Roman" w:hAnsi="Times New Roman" w:eastAsia="宋体"/>
                      <w:color w:val="auto"/>
                      <w:sz w:val="18"/>
                      <w:szCs w:val="18"/>
                      <w:lang w:val="en-US" w:eastAsia="zh-CN"/>
                    </w:rPr>
                    <w:t>10</w:t>
                  </w:r>
                  <w:r>
                    <w:rPr>
                      <w:rFonts w:hint="eastAsia" w:ascii="Times New Roman" w:hAnsi="Times New Roman" w:eastAsia="宋体"/>
                      <w:color w:val="auto"/>
                      <w:sz w:val="18"/>
                      <w:szCs w:val="18"/>
                    </w:rPr>
                    <w:t>%）</w:t>
                  </w:r>
                </w:p>
              </w:tc>
              <w:tc>
                <w:tcPr>
                  <w:tcW w:w="2191"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olor w:val="auto"/>
                      <w:sz w:val="18"/>
                      <w:szCs w:val="18"/>
                    </w:rPr>
                  </w:pPr>
                  <w:r>
                    <w:rPr>
                      <w:rFonts w:hint="eastAsia" w:ascii="Times New Roman" w:hAnsi="Times New Roman" w:eastAsia="宋体"/>
                      <w:color w:val="auto"/>
                      <w:sz w:val="18"/>
                      <w:szCs w:val="18"/>
                    </w:rPr>
                    <w:t>100000</w:t>
                  </w:r>
                </w:p>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olor w:val="auto"/>
                      <w:sz w:val="18"/>
                      <w:szCs w:val="18"/>
                    </w:rPr>
                    <w:t>（固含量：</w:t>
                  </w:r>
                  <w:r>
                    <w:rPr>
                      <w:rFonts w:hint="eastAsia" w:ascii="Times New Roman" w:hAnsi="Times New Roman" w:eastAsia="宋体"/>
                      <w:color w:val="auto"/>
                      <w:sz w:val="18"/>
                      <w:szCs w:val="18"/>
                      <w:lang w:val="en-US" w:eastAsia="zh-CN"/>
                    </w:rPr>
                    <w:t>90000</w:t>
                  </w:r>
                  <w:r>
                    <w:rPr>
                      <w:rFonts w:hint="eastAsia" w:ascii="Times New Roman" w:hAnsi="Times New Roman" w:eastAsia="宋体"/>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tcPr>
                <w:p>
                  <w:pPr>
                    <w:pStyle w:val="33"/>
                    <w:keepNext w:val="0"/>
                    <w:keepLines w:val="0"/>
                    <w:suppressLineNumbers w:val="0"/>
                    <w:spacing w:before="120" w:beforeAutospacing="0" w:after="0" w:afterAutospacing="0"/>
                    <w:ind w:left="0" w:right="0"/>
                    <w:rPr>
                      <w:rFonts w:hint="eastAsia" w:ascii="Times New Roman" w:hAnsi="Times New Roman"/>
                      <w:b/>
                      <w:bCs/>
                      <w:sz w:val="21"/>
                      <w:szCs w:val="21"/>
                      <w:vertAlign w:val="baseline"/>
                    </w:rPr>
                  </w:pPr>
                </w:p>
              </w:tc>
              <w:tc>
                <w:tcPr>
                  <w:tcW w:w="1854" w:type="dxa"/>
                  <w:vMerge w:val="continue"/>
                  <w:tcBorders>
                    <w:tl2br w:val="nil"/>
                    <w:tr2bl w:val="nil"/>
                  </w:tcBorders>
                </w:tcPr>
                <w:p>
                  <w:pPr>
                    <w:pStyle w:val="33"/>
                    <w:keepNext w:val="0"/>
                    <w:keepLines w:val="0"/>
                    <w:suppressLineNumbers w:val="0"/>
                    <w:spacing w:before="120" w:beforeAutospacing="0" w:after="0" w:afterAutospacing="0"/>
                    <w:ind w:left="0" w:right="0"/>
                    <w:rPr>
                      <w:rFonts w:hint="eastAsia" w:ascii="Times New Roman" w:hAnsi="Times New Roman"/>
                      <w:b/>
                      <w:bCs/>
                      <w:sz w:val="21"/>
                      <w:szCs w:val="21"/>
                      <w:vertAlign w:val="baseline"/>
                    </w:rPr>
                  </w:pPr>
                </w:p>
              </w:tc>
              <w:tc>
                <w:tcPr>
                  <w:tcW w:w="806" w:type="dxa"/>
                  <w:vMerge w:val="continue"/>
                  <w:tcBorders>
                    <w:tl2br w:val="nil"/>
                    <w:tr2bl w:val="nil"/>
                  </w:tcBorders>
                </w:tcPr>
                <w:p>
                  <w:pPr>
                    <w:pStyle w:val="33"/>
                    <w:keepNext w:val="0"/>
                    <w:keepLines w:val="0"/>
                    <w:suppressLineNumbers w:val="0"/>
                    <w:spacing w:before="120" w:beforeAutospacing="0" w:after="0" w:afterAutospacing="0"/>
                    <w:ind w:left="0" w:right="0"/>
                    <w:rPr>
                      <w:rFonts w:hint="eastAsia" w:ascii="Times New Roman" w:hAnsi="Times New Roman"/>
                      <w:b/>
                      <w:bCs/>
                      <w:sz w:val="21"/>
                      <w:szCs w:val="21"/>
                      <w:vertAlign w:val="baseline"/>
                    </w:rPr>
                  </w:pPr>
                </w:p>
              </w:tc>
              <w:tc>
                <w:tcPr>
                  <w:tcW w:w="1806"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olor w:val="auto"/>
                      <w:sz w:val="18"/>
                      <w:szCs w:val="18"/>
                    </w:rPr>
                  </w:pPr>
                  <w:r>
                    <w:rPr>
                      <w:rFonts w:hint="eastAsia" w:ascii="Times New Roman" w:hAnsi="Times New Roman" w:eastAsia="宋体"/>
                      <w:color w:val="auto"/>
                      <w:sz w:val="18"/>
                      <w:szCs w:val="18"/>
                    </w:rPr>
                    <w:t>细砂</w:t>
                  </w:r>
                </w:p>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olor w:val="auto"/>
                      <w:sz w:val="18"/>
                      <w:szCs w:val="18"/>
                    </w:rPr>
                    <w:t>（含水率</w:t>
                  </w:r>
                  <w:r>
                    <w:rPr>
                      <w:rFonts w:hint="eastAsia" w:ascii="Times New Roman" w:hAnsi="Times New Roman" w:eastAsia="宋体"/>
                      <w:color w:val="auto"/>
                      <w:sz w:val="18"/>
                      <w:szCs w:val="18"/>
                      <w:lang w:val="en-US" w:eastAsia="zh-CN"/>
                    </w:rPr>
                    <w:t>10%</w:t>
                  </w:r>
                  <w:r>
                    <w:rPr>
                      <w:rFonts w:hint="eastAsia" w:ascii="Times New Roman" w:hAnsi="Times New Roman" w:eastAsia="宋体"/>
                      <w:color w:val="auto"/>
                      <w:sz w:val="18"/>
                      <w:szCs w:val="18"/>
                    </w:rPr>
                    <w:t>）</w:t>
                  </w:r>
                </w:p>
              </w:tc>
              <w:tc>
                <w:tcPr>
                  <w:tcW w:w="2191"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olor w:val="auto"/>
                      <w:sz w:val="18"/>
                      <w:szCs w:val="18"/>
                    </w:rPr>
                  </w:pPr>
                  <w:r>
                    <w:rPr>
                      <w:rFonts w:hint="eastAsia" w:ascii="Times New Roman" w:hAnsi="Times New Roman" w:eastAsia="宋体"/>
                      <w:color w:val="auto"/>
                      <w:sz w:val="18"/>
                      <w:szCs w:val="18"/>
                    </w:rPr>
                    <w:t>100000</w:t>
                  </w:r>
                </w:p>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olor w:val="auto"/>
                      <w:sz w:val="18"/>
                      <w:szCs w:val="18"/>
                    </w:rPr>
                    <w:t>（固含量：</w:t>
                  </w:r>
                  <w:r>
                    <w:rPr>
                      <w:rFonts w:hint="eastAsia" w:ascii="Times New Roman" w:hAnsi="Times New Roman" w:eastAsia="宋体"/>
                      <w:color w:val="auto"/>
                      <w:sz w:val="18"/>
                      <w:szCs w:val="18"/>
                      <w:lang w:val="en-US" w:eastAsia="zh-CN"/>
                    </w:rPr>
                    <w:t>90000</w:t>
                  </w:r>
                  <w:r>
                    <w:rPr>
                      <w:rFonts w:hint="eastAsia" w:ascii="Times New Roman" w:hAnsi="Times New Roman" w:eastAsia="宋体"/>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restart"/>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水（含初期雨水）</w:t>
                  </w:r>
                </w:p>
              </w:tc>
              <w:tc>
                <w:tcPr>
                  <w:tcW w:w="1854" w:type="dxa"/>
                  <w:vMerge w:val="restart"/>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10431</w:t>
                  </w:r>
                </w:p>
                <w:p>
                  <w:pPr>
                    <w:pStyle w:val="33"/>
                    <w:keepNext w:val="0"/>
                    <w:keepLines w:val="0"/>
                    <w:suppressLineNumbers w:val="0"/>
                    <w:spacing w:before="0" w:beforeLines="0" w:beforeAutospacing="0" w:after="0" w:afterAutospacing="0"/>
                    <w:ind w:left="0" w:right="0"/>
                    <w:rPr>
                      <w:rFonts w:hint="default" w:ascii="Times New Roman" w:hAnsi="Times New Roman" w:eastAsia="宋体"/>
                      <w:sz w:val="18"/>
                      <w:szCs w:val="18"/>
                      <w:lang w:val="en-US" w:eastAsia="zh-CN"/>
                    </w:rPr>
                  </w:pP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（新鲜水9231，初期雨水1200）</w:t>
                  </w:r>
                </w:p>
              </w:tc>
              <w:tc>
                <w:tcPr>
                  <w:tcW w:w="806"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sz w:val="18"/>
                      <w:szCs w:val="18"/>
                    </w:rPr>
                    <w:t>废气</w:t>
                  </w:r>
                </w:p>
              </w:tc>
              <w:tc>
                <w:tcPr>
                  <w:tcW w:w="1806"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eastAsia="宋体"/>
                      <w:color w:val="auto"/>
                      <w:sz w:val="18"/>
                      <w:szCs w:val="18"/>
                    </w:rPr>
                    <w:t>颗粒物</w:t>
                  </w:r>
                  <w:r>
                    <w:rPr>
                      <w:rFonts w:hint="eastAsia" w:ascii="Times New Roman" w:hAnsi="Times New Roman" w:eastAsia="宋体"/>
                      <w:color w:val="auto"/>
                      <w:sz w:val="18"/>
                      <w:szCs w:val="18"/>
                    </w:rPr>
                    <w:t xml:space="preserve"> </w:t>
                  </w:r>
                </w:p>
              </w:tc>
              <w:tc>
                <w:tcPr>
                  <w:tcW w:w="2191"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olor w:val="auto"/>
                      <w:sz w:val="18"/>
                      <w:szCs w:val="18"/>
                      <w:lang w:eastAsia="zh-CN"/>
                    </w:rPr>
                    <w:t>4.86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tcPr>
                <w:p>
                  <w:pPr>
                    <w:pStyle w:val="33"/>
                    <w:keepNext w:val="0"/>
                    <w:keepLines w:val="0"/>
                    <w:suppressLineNumbers w:val="0"/>
                    <w:spacing w:before="120" w:beforeAutospacing="0" w:after="0" w:afterAutospacing="0"/>
                    <w:ind w:left="0" w:right="0"/>
                    <w:rPr>
                      <w:rFonts w:hint="eastAsia" w:ascii="Times New Roman" w:hAnsi="Times New Roman"/>
                      <w:b/>
                      <w:bCs/>
                      <w:sz w:val="21"/>
                      <w:szCs w:val="21"/>
                      <w:vertAlign w:val="baseline"/>
                    </w:rPr>
                  </w:pPr>
                </w:p>
              </w:tc>
              <w:tc>
                <w:tcPr>
                  <w:tcW w:w="1854" w:type="dxa"/>
                  <w:vMerge w:val="continue"/>
                  <w:tcBorders>
                    <w:tl2br w:val="nil"/>
                    <w:tr2bl w:val="nil"/>
                  </w:tcBorders>
                </w:tcPr>
                <w:p>
                  <w:pPr>
                    <w:pStyle w:val="33"/>
                    <w:keepNext w:val="0"/>
                    <w:keepLines w:val="0"/>
                    <w:suppressLineNumbers w:val="0"/>
                    <w:spacing w:before="0" w:beforeLines="0" w:beforeAutospacing="0" w:after="0" w:afterAutospacing="0"/>
                    <w:ind w:left="0" w:right="0"/>
                    <w:rPr>
                      <w:rFonts w:hint="eastAsia" w:ascii="Times New Roman" w:hAnsi="Times New Roman" w:eastAsia="宋体"/>
                      <w:sz w:val="18"/>
                      <w:szCs w:val="18"/>
                    </w:rPr>
                  </w:pPr>
                </w:p>
              </w:tc>
              <w:tc>
                <w:tcPr>
                  <w:tcW w:w="806"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固废</w:t>
                  </w:r>
                </w:p>
              </w:tc>
              <w:tc>
                <w:tcPr>
                  <w:tcW w:w="1806"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olor w:val="auto"/>
                      <w:sz w:val="18"/>
                      <w:szCs w:val="18"/>
                    </w:rPr>
                  </w:pPr>
                  <w:r>
                    <w:rPr>
                      <w:rFonts w:hint="default" w:ascii="Times New Roman" w:hAnsi="Times New Roman" w:eastAsia="宋体"/>
                      <w:color w:val="auto"/>
                      <w:sz w:val="18"/>
                      <w:szCs w:val="18"/>
                    </w:rPr>
                    <w:t>污泥</w:t>
                  </w:r>
                </w:p>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olor w:val="auto"/>
                      <w:sz w:val="18"/>
                      <w:szCs w:val="18"/>
                    </w:rPr>
                    <w:t>（含水率</w:t>
                  </w:r>
                  <w:r>
                    <w:rPr>
                      <w:rFonts w:hint="eastAsia" w:ascii="Times New Roman" w:hAnsi="Times New Roman" w:eastAsia="宋体"/>
                      <w:color w:val="auto"/>
                      <w:sz w:val="18"/>
                      <w:szCs w:val="18"/>
                      <w:lang w:val="en-US" w:eastAsia="zh-CN"/>
                    </w:rPr>
                    <w:t>约</w:t>
                  </w:r>
                  <w:r>
                    <w:rPr>
                      <w:rFonts w:hint="eastAsia" w:ascii="Times New Roman" w:hAnsi="Times New Roman" w:eastAsia="宋体"/>
                      <w:color w:val="auto"/>
                      <w:sz w:val="18"/>
                      <w:szCs w:val="18"/>
                    </w:rPr>
                    <w:t>20%）</w:t>
                  </w:r>
                </w:p>
              </w:tc>
              <w:tc>
                <w:tcPr>
                  <w:tcW w:w="2191"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olor w:val="auto"/>
                      <w:sz w:val="18"/>
                      <w:szCs w:val="18"/>
                    </w:rPr>
                  </w:pPr>
                  <w:r>
                    <w:rPr>
                      <w:rFonts w:hint="eastAsia" w:ascii="Times New Roman" w:hAnsi="Times New Roman" w:eastAsia="宋体"/>
                      <w:color w:val="auto"/>
                      <w:sz w:val="18"/>
                      <w:szCs w:val="18"/>
                    </w:rPr>
                    <w:t>2000</w:t>
                  </w:r>
                </w:p>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olor w:val="auto"/>
                      <w:sz w:val="18"/>
                      <w:szCs w:val="18"/>
                    </w:rPr>
                    <w:t>（固含量16</w:t>
                  </w:r>
                  <w:r>
                    <w:rPr>
                      <w:rFonts w:hint="eastAsia" w:ascii="Times New Roman" w:hAnsi="Times New Roman" w:eastAsia="宋体"/>
                      <w:color w:val="auto"/>
                      <w:sz w:val="18"/>
                      <w:szCs w:val="18"/>
                      <w:lang w:val="en-US" w:eastAsia="zh-CN"/>
                    </w:rPr>
                    <w:t>15.14</w:t>
                  </w:r>
                  <w:r>
                    <w:rPr>
                      <w:rFonts w:hint="eastAsia" w:ascii="Times New Roman" w:hAnsi="Times New Roman" w:eastAsia="宋体"/>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vMerge w:val="continue"/>
                  <w:tcBorders>
                    <w:tl2br w:val="nil"/>
                    <w:tr2bl w:val="nil"/>
                  </w:tcBorders>
                </w:tcPr>
                <w:p>
                  <w:pPr>
                    <w:pStyle w:val="33"/>
                    <w:keepNext w:val="0"/>
                    <w:keepLines w:val="0"/>
                    <w:suppressLineNumbers w:val="0"/>
                    <w:spacing w:before="120" w:beforeAutospacing="0" w:after="0" w:afterAutospacing="0"/>
                    <w:ind w:left="0" w:right="0"/>
                    <w:rPr>
                      <w:rFonts w:hint="eastAsia" w:ascii="Times New Roman" w:hAnsi="Times New Roman"/>
                      <w:b/>
                      <w:bCs/>
                      <w:sz w:val="21"/>
                      <w:szCs w:val="21"/>
                      <w:vertAlign w:val="baseline"/>
                    </w:rPr>
                  </w:pPr>
                </w:p>
              </w:tc>
              <w:tc>
                <w:tcPr>
                  <w:tcW w:w="1854" w:type="dxa"/>
                  <w:vMerge w:val="continue"/>
                  <w:tcBorders>
                    <w:tl2br w:val="nil"/>
                    <w:tr2bl w:val="nil"/>
                  </w:tcBorders>
                </w:tcPr>
                <w:p>
                  <w:pPr>
                    <w:pStyle w:val="33"/>
                    <w:keepNext w:val="0"/>
                    <w:keepLines w:val="0"/>
                    <w:suppressLineNumbers w:val="0"/>
                    <w:spacing w:before="0" w:beforeLines="0" w:beforeAutospacing="0" w:after="0" w:afterAutospacing="0"/>
                    <w:ind w:left="0" w:right="0"/>
                    <w:rPr>
                      <w:rFonts w:hint="eastAsia" w:ascii="Times New Roman" w:hAnsi="Times New Roman" w:eastAsia="宋体"/>
                      <w:sz w:val="18"/>
                      <w:szCs w:val="18"/>
                    </w:rPr>
                  </w:pPr>
                </w:p>
              </w:tc>
              <w:tc>
                <w:tcPr>
                  <w:tcW w:w="2612" w:type="dxa"/>
                  <w:gridSpan w:val="2"/>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sz w:val="18"/>
                      <w:szCs w:val="18"/>
                    </w:rPr>
                    <w:t>水蒸发损耗</w:t>
                  </w:r>
                </w:p>
              </w:tc>
              <w:tc>
                <w:tcPr>
                  <w:tcW w:w="2191"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cs="Times New Roman"/>
                      <w:kern w:val="0"/>
                      <w:sz w:val="18"/>
                      <w:szCs w:val="18"/>
                      <w:lang w:val="en-US" w:eastAsia="zh-CN" w:bidi="ar-SA"/>
                    </w:rPr>
                  </w:pPr>
                  <w:r>
                    <w:rPr>
                      <w:rFonts w:hint="eastAsia" w:ascii="Times New Roman" w:hAnsi="Times New Roman" w:eastAsia="宋体"/>
                      <w:sz w:val="18"/>
                      <w:szCs w:val="18"/>
                      <w:lang w:val="en-US" w:eastAsia="zh-CN"/>
                    </w:rPr>
                    <w:t>10226.14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4"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合计</w:t>
                  </w:r>
                  <w:r>
                    <w:rPr>
                      <w:rFonts w:hint="eastAsia" w:ascii="Times New Roman" w:hAnsi="Times New Roman" w:eastAsia="宋体"/>
                      <w:sz w:val="18"/>
                      <w:szCs w:val="18"/>
                    </w:rPr>
                    <w:t>（固含量）</w:t>
                  </w:r>
                </w:p>
              </w:tc>
              <w:tc>
                <w:tcPr>
                  <w:tcW w:w="1854"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212231</w:t>
                  </w:r>
                </w:p>
                <w:p>
                  <w:pPr>
                    <w:pStyle w:val="33"/>
                    <w:keepNext w:val="0"/>
                    <w:keepLines w:val="0"/>
                    <w:suppressLineNumbers w:val="0"/>
                    <w:spacing w:before="0" w:beforeLines="0" w:beforeAutospacing="0" w:after="0" w:afterAutospacing="0"/>
                    <w:ind w:left="0" w:right="0"/>
                    <w:rPr>
                      <w:rFonts w:hint="eastAsia" w:ascii="Times New Roman" w:hAnsi="Times New Roman" w:eastAsia="宋体"/>
                      <w:sz w:val="18"/>
                      <w:szCs w:val="18"/>
                      <w:lang w:val="en-US" w:eastAsia="zh-CN"/>
                    </w:rPr>
                  </w:pPr>
                  <w:r>
                    <w:rPr>
                      <w:rFonts w:hint="eastAsia" w:ascii="Times New Roman" w:hAnsi="Times New Roman" w:eastAsia="宋体"/>
                      <w:sz w:val="18"/>
                      <w:szCs w:val="18"/>
                    </w:rPr>
                    <w:t>（固含量：</w:t>
                  </w:r>
                  <w:r>
                    <w:rPr>
                      <w:rFonts w:hint="eastAsia" w:ascii="Times New Roman" w:hAnsi="Times New Roman" w:eastAsia="宋体"/>
                      <w:sz w:val="18"/>
                      <w:szCs w:val="18"/>
                      <w:lang w:val="en-US" w:eastAsia="zh-CN"/>
                    </w:rPr>
                    <w:t>181620</w:t>
                  </w:r>
                  <w:r>
                    <w:rPr>
                      <w:rFonts w:hint="eastAsia" w:ascii="Times New Roman" w:hAnsi="Times New Roman" w:eastAsia="宋体"/>
                      <w:sz w:val="18"/>
                      <w:szCs w:val="18"/>
                    </w:rPr>
                    <w:t>）</w:t>
                  </w:r>
                </w:p>
              </w:tc>
              <w:tc>
                <w:tcPr>
                  <w:tcW w:w="2612" w:type="dxa"/>
                  <w:gridSpan w:val="2"/>
                  <w:tcBorders>
                    <w:tl2br w:val="nil"/>
                    <w:tr2bl w:val="nil"/>
                  </w:tcBorders>
                  <w:vAlign w:val="center"/>
                </w:tcPr>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sz w:val="18"/>
                      <w:szCs w:val="18"/>
                    </w:rPr>
                    <w:t>合计</w:t>
                  </w:r>
                  <w:r>
                    <w:rPr>
                      <w:rFonts w:hint="eastAsia" w:ascii="Times New Roman" w:hAnsi="Times New Roman" w:eastAsia="宋体"/>
                      <w:sz w:val="18"/>
                      <w:szCs w:val="18"/>
                    </w:rPr>
                    <w:t>（固含量）</w:t>
                  </w:r>
                </w:p>
              </w:tc>
              <w:tc>
                <w:tcPr>
                  <w:tcW w:w="2191" w:type="dxa"/>
                  <w:tcBorders>
                    <w:tl2br w:val="nil"/>
                    <w:tr2bl w:val="nil"/>
                  </w:tcBorders>
                  <w:vAlign w:val="center"/>
                </w:tcPr>
                <w:p>
                  <w:pPr>
                    <w:pStyle w:val="33"/>
                    <w:keepNext w:val="0"/>
                    <w:keepLines w:val="0"/>
                    <w:suppressLineNumbers w:val="0"/>
                    <w:spacing w:before="0" w:beforeLines="0" w:beforeAutospacing="0" w:after="0" w:afterAutospacing="0"/>
                    <w:ind w:left="0" w:right="0"/>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212231</w:t>
                  </w:r>
                </w:p>
                <w:p>
                  <w:pPr>
                    <w:pStyle w:val="33"/>
                    <w:keepNext w:val="0"/>
                    <w:keepLines w:val="0"/>
                    <w:suppressLineNumbers w:val="0"/>
                    <w:spacing w:before="0" w:beforeLines="0" w:beforeAutospacing="0" w:after="0" w:afterAutospacing="0"/>
                    <w:ind w:left="0" w:right="0"/>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sz w:val="18"/>
                      <w:szCs w:val="18"/>
                    </w:rPr>
                    <w:t>（固含量</w:t>
                  </w:r>
                  <w:r>
                    <w:rPr>
                      <w:rFonts w:hint="eastAsia" w:ascii="Times New Roman" w:hAnsi="Times New Roman" w:eastAsia="宋体"/>
                      <w:sz w:val="18"/>
                      <w:szCs w:val="18"/>
                      <w:lang w:eastAsia="zh-CN"/>
                    </w:rPr>
                    <w:t>：</w:t>
                  </w:r>
                  <w:r>
                    <w:rPr>
                      <w:rFonts w:hint="eastAsia" w:ascii="Times New Roman" w:hAnsi="Times New Roman" w:eastAsia="宋体"/>
                      <w:sz w:val="18"/>
                      <w:szCs w:val="18"/>
                      <w:lang w:val="en-US" w:eastAsia="zh-CN"/>
                    </w:rPr>
                    <w:t>181620</w:t>
                  </w:r>
                  <w:r>
                    <w:rPr>
                      <w:rFonts w:hint="eastAsia" w:ascii="Times New Roman" w:hAnsi="Times New Roman" w:eastAsia="宋体"/>
                      <w:sz w:val="18"/>
                      <w:szCs w:val="18"/>
                    </w:rPr>
                    <w:t>）</w:t>
                  </w:r>
                </w:p>
              </w:tc>
            </w:tr>
          </w:tbl>
          <w:p>
            <w:pPr>
              <w:keepNext w:val="0"/>
              <w:keepLines w:val="0"/>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eastAsia="黑体"/>
                <w:b/>
                <w:bCs/>
              </w:rPr>
              <w:t>2.3.</w:t>
            </w:r>
            <w:r>
              <w:rPr>
                <w:rFonts w:hint="eastAsia" w:ascii="Times New Roman" w:hAnsi="Times New Roman" w:eastAsia="黑体"/>
                <w:b/>
                <w:bCs/>
              </w:rPr>
              <w:t>7</w:t>
            </w:r>
            <w:r>
              <w:rPr>
                <w:rFonts w:hint="default" w:ascii="Times New Roman" w:hAnsi="Times New Roman"/>
                <w:b/>
                <w:bCs/>
              </w:rPr>
              <w:t>供排水工程</w:t>
            </w:r>
          </w:p>
          <w:p>
            <w:pPr>
              <w:keepNext w:val="0"/>
              <w:keepLines w:val="0"/>
              <w:suppressLineNumbers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2.3.</w:t>
            </w:r>
            <w:r>
              <w:rPr>
                <w:rFonts w:hint="eastAsia" w:ascii="Times New Roman" w:hAnsi="Times New Roman" w:eastAsia="黑体"/>
                <w:b/>
                <w:bCs/>
              </w:rPr>
              <w:t>7</w:t>
            </w:r>
            <w:r>
              <w:rPr>
                <w:rFonts w:hint="default" w:ascii="Times New Roman" w:hAnsi="Times New Roman" w:eastAsia="黑体"/>
                <w:b/>
                <w:bCs/>
              </w:rPr>
              <w:t>.1供水系统</w:t>
            </w:r>
          </w:p>
          <w:p>
            <w:pPr>
              <w:pStyle w:val="3"/>
              <w:keepNext w:val="0"/>
              <w:keepLines w:val="0"/>
              <w:suppressLineNumbers w:val="0"/>
              <w:spacing w:beforeAutospacing="0" w:afterAutospacing="0" w:line="440" w:lineRule="exact"/>
              <w:ind w:left="0" w:firstLine="480" w:firstLineChars="200"/>
              <w:jc w:val="left"/>
              <w:rPr>
                <w:rFonts w:hint="default" w:ascii="Times New Roman" w:hAnsi="Times New Roman"/>
              </w:rPr>
            </w:pPr>
            <w:r>
              <w:rPr>
                <w:rFonts w:hint="default" w:ascii="Times New Roman" w:hAnsi="Times New Roman"/>
              </w:rPr>
              <w:t>项目</w:t>
            </w:r>
            <w:r>
              <w:rPr>
                <w:rFonts w:hint="eastAsia" w:ascii="Times New Roman" w:hAnsi="Times New Roman"/>
              </w:rPr>
              <w:t>全厂新鲜</w:t>
            </w:r>
            <w:r>
              <w:rPr>
                <w:rFonts w:hint="default" w:ascii="Times New Roman" w:hAnsi="Times New Roman"/>
              </w:rPr>
              <w:t>用水量为</w:t>
            </w:r>
            <w:r>
              <w:rPr>
                <w:rFonts w:hint="eastAsia" w:ascii="Times New Roman" w:hAnsi="Times New Roman"/>
                <w:lang w:eastAsia="zh-CN"/>
              </w:rPr>
              <w:t>10179</w:t>
            </w:r>
            <w:r>
              <w:rPr>
                <w:rFonts w:hint="eastAsia" w:ascii="Times New Roman" w:hAnsi="Times New Roman"/>
              </w:rPr>
              <w:t>m</w:t>
            </w:r>
            <w:r>
              <w:rPr>
                <w:rFonts w:hint="eastAsia" w:ascii="Times New Roman" w:hAnsi="Times New Roman"/>
                <w:vertAlign w:val="superscript"/>
              </w:rPr>
              <w:t>3</w:t>
            </w:r>
            <w:r>
              <w:rPr>
                <w:rFonts w:hint="default" w:ascii="Times New Roman" w:hAnsi="Times New Roman"/>
              </w:rPr>
              <w:t>/</w:t>
            </w:r>
            <w:r>
              <w:rPr>
                <w:rFonts w:hint="eastAsia" w:ascii="Times New Roman" w:hAnsi="Times New Roman"/>
              </w:rPr>
              <w:t>a</w:t>
            </w:r>
            <w:r>
              <w:rPr>
                <w:rFonts w:hint="default" w:ascii="Times New Roman" w:hAnsi="Times New Roman"/>
              </w:rPr>
              <w:t>，就地引用山泉水。</w:t>
            </w:r>
            <w:r>
              <w:rPr>
                <w:rFonts w:hint="eastAsia" w:ascii="Times New Roman" w:hAnsi="Times New Roman"/>
              </w:rPr>
              <w:t>山泉水通过管道引至蓄水池储存后，通过抽水泵及抽水管用于本项目。项目迁建前未对当地居民的生活用水产生不利影响，迁建后用水不会对当地农业、工业、生态及环境用水等造成影响。</w:t>
            </w:r>
          </w:p>
          <w:p>
            <w:pPr>
              <w:keepNext w:val="0"/>
              <w:keepLines w:val="0"/>
              <w:suppressLineNumbers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2.3.</w:t>
            </w:r>
            <w:r>
              <w:rPr>
                <w:rFonts w:hint="eastAsia" w:ascii="Times New Roman" w:hAnsi="Times New Roman" w:eastAsia="黑体"/>
                <w:b/>
                <w:bCs/>
              </w:rPr>
              <w:t>7</w:t>
            </w:r>
            <w:r>
              <w:rPr>
                <w:rFonts w:hint="default" w:ascii="Times New Roman" w:hAnsi="Times New Roman" w:eastAsia="黑体"/>
                <w:b/>
                <w:bCs/>
              </w:rPr>
              <w:t>.2排水系统</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项目洗砂废水，运输车辆冲洗水，初期雨水经</w:t>
            </w:r>
            <w:r>
              <w:rPr>
                <w:rFonts w:hint="eastAsia" w:ascii="Times New Roman" w:hAnsi="Times New Roman"/>
              </w:rPr>
              <w:t>处理后</w:t>
            </w:r>
            <w:r>
              <w:rPr>
                <w:rFonts w:hint="default" w:ascii="Times New Roman" w:hAnsi="Times New Roman"/>
              </w:rPr>
              <w:t>循环使用，不外排</w:t>
            </w:r>
            <w:r>
              <w:rPr>
                <w:rFonts w:hint="eastAsia" w:ascii="Times New Roman" w:hAnsi="Times New Roman"/>
              </w:rPr>
              <w:t>；道路抑尘水全部蒸发；</w:t>
            </w:r>
            <w:r>
              <w:rPr>
                <w:rFonts w:hint="default" w:ascii="Times New Roman" w:hAnsi="Times New Roman"/>
              </w:rPr>
              <w:t>生活污水经地埋式生活污水处理设施处理后用于周边山林地</w:t>
            </w:r>
            <w:r>
              <w:rPr>
                <w:rFonts w:hint="eastAsia" w:ascii="Times New Roman" w:hAnsi="Times New Roman"/>
              </w:rPr>
              <w:t>灌溉</w:t>
            </w:r>
            <w:r>
              <w:rPr>
                <w:rFonts w:hint="default" w:ascii="Times New Roman" w:hAnsi="Times New Roman"/>
              </w:rPr>
              <w:t>。</w:t>
            </w:r>
          </w:p>
          <w:p>
            <w:pPr>
              <w:keepNext w:val="0"/>
              <w:keepLines w:val="0"/>
              <w:suppressLineNumbers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2.3.</w:t>
            </w:r>
            <w:r>
              <w:rPr>
                <w:rFonts w:hint="eastAsia" w:ascii="Times New Roman" w:hAnsi="Times New Roman" w:eastAsia="黑体"/>
                <w:b/>
                <w:bCs/>
              </w:rPr>
              <w:t>7</w:t>
            </w:r>
            <w:r>
              <w:rPr>
                <w:rFonts w:hint="default" w:ascii="Times New Roman" w:hAnsi="Times New Roman" w:eastAsia="黑体"/>
                <w:b/>
                <w:bCs/>
              </w:rPr>
              <w:t>.3供排</w:t>
            </w:r>
            <w:r>
              <w:rPr>
                <w:rFonts w:hint="eastAsia" w:ascii="Times New Roman" w:hAnsi="Times New Roman" w:eastAsia="黑体"/>
                <w:b/>
                <w:bCs/>
              </w:rPr>
              <w:t>水平衡</w:t>
            </w:r>
          </w:p>
          <w:p>
            <w:pPr>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本项目</w:t>
            </w:r>
            <w:r>
              <w:rPr>
                <w:rFonts w:hint="eastAsia" w:ascii="Times New Roman" w:hAnsi="Times New Roman"/>
              </w:rPr>
              <w:t>全厂</w:t>
            </w:r>
            <w:r>
              <w:rPr>
                <w:rFonts w:hint="default" w:ascii="Times New Roman" w:hAnsi="Times New Roman"/>
              </w:rPr>
              <w:t>新鲜水平均用水量约为</w:t>
            </w:r>
            <w:r>
              <w:rPr>
                <w:rFonts w:hint="eastAsia" w:ascii="Times New Roman" w:hAnsi="Times New Roman"/>
                <w:lang w:eastAsia="zh-CN"/>
              </w:rPr>
              <w:t>33.93</w:t>
            </w:r>
            <w:r>
              <w:rPr>
                <w:rFonts w:hint="eastAsia" w:ascii="Times New Roman" w:hAnsi="Times New Roman"/>
              </w:rPr>
              <w:t>m</w:t>
            </w:r>
            <w:r>
              <w:rPr>
                <w:rFonts w:hint="eastAsia" w:ascii="Times New Roman" w:hAnsi="Times New Roman"/>
                <w:vertAlign w:val="superscript"/>
              </w:rPr>
              <w:t>3</w:t>
            </w:r>
            <w:r>
              <w:rPr>
                <w:rFonts w:hint="default" w:ascii="Times New Roman" w:hAnsi="Times New Roman"/>
              </w:rPr>
              <w:t>/d，主要为生产用水</w:t>
            </w:r>
            <w:r>
              <w:rPr>
                <w:rFonts w:hint="eastAsia" w:ascii="Times New Roman" w:hAnsi="Times New Roman"/>
              </w:rPr>
              <w:t>、道路抑尘水、生活用水等</w:t>
            </w:r>
            <w:r>
              <w:rPr>
                <w:rFonts w:hint="default" w:ascii="Times New Roman" w:hAnsi="Times New Roman"/>
              </w:rPr>
              <w:t>。项目厂内给排水情况如下：</w:t>
            </w:r>
          </w:p>
          <w:p>
            <w:pPr>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（1）生产用水</w:t>
            </w:r>
          </w:p>
          <w:p>
            <w:pPr>
              <w:pStyle w:val="69"/>
              <w:keepNext w:val="0"/>
              <w:keepLines w:val="0"/>
              <w:suppressLineNumbers w:val="0"/>
              <w:spacing w:beforeAutospacing="0" w:afterAutospacing="0"/>
              <w:ind w:left="0"/>
              <w:rPr>
                <w:rFonts w:hint="default"/>
                <w:sz w:val="24"/>
              </w:rPr>
            </w:pPr>
            <w:r>
              <w:rPr>
                <w:rFonts w:hint="eastAsia"/>
                <w:sz w:val="24"/>
              </w:rPr>
              <w:t>①物料带入及带走水量</w:t>
            </w:r>
          </w:p>
          <w:p>
            <w:pPr>
              <w:pStyle w:val="69"/>
              <w:keepNext w:val="0"/>
              <w:keepLines w:val="0"/>
              <w:suppressLineNumbers w:val="0"/>
              <w:spacing w:beforeAutospacing="0" w:afterAutospacing="0"/>
              <w:ind w:left="0"/>
              <w:rPr>
                <w:rFonts w:hint="default"/>
                <w:sz w:val="24"/>
              </w:rPr>
            </w:pPr>
            <w:r>
              <w:rPr>
                <w:rFonts w:hint="eastAsia"/>
                <w:sz w:val="24"/>
              </w:rPr>
              <w:t>矿渣石料的含水率为10%，部分经过破碎、筛分、整形等工序制为粒径较大的碎石，未经过水洗工序，含水率基本不变；部分经过破碎、筛分、水洗等工序制为粒径较小的细砂，细砂在成品堆场堆存后表面水挥发损耗，最终成品细砂含水率基本不变。根据物料平衡，物料带入及带走水量如下：</w:t>
            </w:r>
          </w:p>
          <w:p>
            <w:pPr>
              <w:pStyle w:val="33"/>
              <w:keepNext w:val="0"/>
              <w:keepLines w:val="0"/>
              <w:suppressLineNumbers w:val="0"/>
              <w:spacing w:before="120" w:beforeAutospacing="0" w:after="0" w:afterAutospacing="0"/>
              <w:ind w:left="0" w:right="0"/>
              <w:rPr>
                <w:rFonts w:hint="default" w:cs="宋体"/>
              </w:rPr>
            </w:pPr>
            <w:r>
              <w:rPr>
                <w:rFonts w:hint="default" w:ascii="Times New Roman" w:hAnsi="Times New Roman"/>
                <w:b/>
                <w:bCs/>
                <w:sz w:val="21"/>
                <w:szCs w:val="21"/>
              </w:rPr>
              <w:t>表2.3-</w:t>
            </w:r>
            <w:r>
              <w:rPr>
                <w:rFonts w:hint="eastAsia" w:ascii="Times New Roman" w:hAnsi="Times New Roman"/>
                <w:b/>
                <w:bCs/>
                <w:sz w:val="21"/>
                <w:szCs w:val="21"/>
              </w:rPr>
              <w:t>6物料带入水量</w:t>
            </w:r>
          </w:p>
          <w:tbl>
            <w:tblPr>
              <w:tblStyle w:val="26"/>
              <w:tblW w:w="84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1941"/>
              <w:gridCol w:w="2192"/>
              <w:gridCol w:w="22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原料</w:t>
                  </w:r>
                </w:p>
              </w:tc>
              <w:tc>
                <w:tcPr>
                  <w:tcW w:w="19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ascii="Times New Roman" w:hAnsi="Times New Roman"/>
                      <w:sz w:val="18"/>
                      <w:szCs w:val="18"/>
                    </w:rPr>
                    <w:t>物料量</w:t>
                  </w:r>
                  <w:r>
                    <w:rPr>
                      <w:rFonts w:hint="eastAsia"/>
                      <w:sz w:val="18"/>
                      <w:szCs w:val="18"/>
                    </w:rPr>
                    <w:t>（t/d）</w:t>
                  </w:r>
                </w:p>
              </w:tc>
              <w:tc>
                <w:tcPr>
                  <w:tcW w:w="21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物料含水率（%）</w:t>
                  </w:r>
                </w:p>
              </w:tc>
              <w:tc>
                <w:tcPr>
                  <w:tcW w:w="2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带入水（m</w:t>
                  </w:r>
                  <w:r>
                    <w:rPr>
                      <w:rFonts w:hint="eastAsia" w:ascii="Times New Roman" w:hAnsi="Times New Roman"/>
                      <w:color w:val="000000" w:themeColor="text1"/>
                      <w:sz w:val="18"/>
                      <w:szCs w:val="18"/>
                      <w:highlight w:val="none"/>
                      <w:vertAlign w:val="superscript"/>
                      <w14:textFill>
                        <w14:solidFill>
                          <w14:schemeClr w14:val="tx1"/>
                        </w14:solidFill>
                      </w14:textFill>
                    </w:rPr>
                    <w:t>3</w:t>
                  </w:r>
                  <w:r>
                    <w:rPr>
                      <w:rFonts w:hint="eastAsia" w:ascii="Times New Roman" w:hAnsi="Times New Roman"/>
                      <w:color w:val="000000" w:themeColor="text1"/>
                      <w:sz w:val="18"/>
                      <w:szCs w:val="18"/>
                      <w:highlight w:val="none"/>
                      <w14:textFill>
                        <w14:solidFill>
                          <w14:schemeClr w14:val="tx1"/>
                        </w14:solidFill>
                      </w14:textFill>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矿渣石料</w:t>
                  </w:r>
                </w:p>
              </w:tc>
              <w:tc>
                <w:tcPr>
                  <w:tcW w:w="19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672.67</w:t>
                  </w:r>
                </w:p>
              </w:tc>
              <w:tc>
                <w:tcPr>
                  <w:tcW w:w="21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10</w:t>
                  </w:r>
                </w:p>
              </w:tc>
              <w:tc>
                <w:tcPr>
                  <w:tcW w:w="2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18"/>
                      <w:szCs w:val="18"/>
                      <w:highlight w:val="none"/>
                      <w:lang w:val="en-US" w:eastAsia="zh-CN"/>
                      <w14:textFill>
                        <w14:solidFill>
                          <w14:schemeClr w14:val="tx1"/>
                        </w14:solidFill>
                      </w14:textFill>
                    </w:rPr>
                  </w:pPr>
                  <w:r>
                    <w:rPr>
                      <w:rFonts w:hint="eastAsia" w:ascii="Times New Roman" w:hAnsi="Times New Roman"/>
                      <w:color w:val="000000" w:themeColor="text1"/>
                      <w:sz w:val="18"/>
                      <w:szCs w:val="18"/>
                      <w:highlight w:val="none"/>
                      <w:lang w:val="en-US" w:eastAsia="zh-CN"/>
                      <w14:textFill>
                        <w14:solidFill>
                          <w14:schemeClr w14:val="tx1"/>
                        </w14:solidFill>
                      </w14:textFill>
                    </w:rPr>
                    <w:t>67.26</w:t>
                  </w:r>
                </w:p>
              </w:tc>
            </w:tr>
          </w:tbl>
          <w:p>
            <w:pPr>
              <w:pStyle w:val="33"/>
              <w:keepNext w:val="0"/>
              <w:keepLines w:val="0"/>
              <w:suppressLineNumbers w:val="0"/>
              <w:spacing w:before="120" w:beforeAutospacing="0" w:after="0" w:afterAutospacing="0"/>
              <w:ind w:left="0" w:right="0"/>
              <w:rPr>
                <w:rFonts w:hint="default" w:ascii="Times New Roman" w:hAnsi="Times New Roman"/>
                <w:b/>
                <w:bCs/>
                <w:sz w:val="21"/>
                <w:szCs w:val="21"/>
              </w:rPr>
            </w:pPr>
            <w:r>
              <w:rPr>
                <w:rFonts w:hint="default" w:ascii="Times New Roman" w:hAnsi="Times New Roman"/>
                <w:b/>
                <w:bCs/>
                <w:sz w:val="21"/>
                <w:szCs w:val="21"/>
              </w:rPr>
              <w:t>表2.3-</w:t>
            </w:r>
            <w:r>
              <w:rPr>
                <w:rFonts w:hint="eastAsia" w:ascii="Times New Roman" w:hAnsi="Times New Roman"/>
                <w:b/>
                <w:bCs/>
                <w:sz w:val="21"/>
                <w:szCs w:val="21"/>
              </w:rPr>
              <w:t>7</w:t>
            </w:r>
            <w:r>
              <w:rPr>
                <w:rFonts w:hint="eastAsia" w:ascii="Times New Roman" w:hAnsi="Times New Roman"/>
                <w:b/>
                <w:bCs/>
                <w:sz w:val="21"/>
                <w:szCs w:val="21"/>
                <w:lang w:val="en-US" w:eastAsia="zh-CN"/>
              </w:rPr>
              <w:t>产品及污泥</w:t>
            </w:r>
            <w:r>
              <w:rPr>
                <w:rFonts w:hint="eastAsia" w:ascii="Times New Roman" w:hAnsi="Times New Roman"/>
                <w:b/>
                <w:bCs/>
                <w:sz w:val="21"/>
                <w:szCs w:val="21"/>
              </w:rPr>
              <w:t>带走水量</w:t>
            </w:r>
          </w:p>
          <w:tbl>
            <w:tblPr>
              <w:tblStyle w:val="26"/>
              <w:tblW w:w="84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1939"/>
              <w:gridCol w:w="2146"/>
              <w:gridCol w:w="2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产品</w:t>
                  </w:r>
                </w:p>
              </w:tc>
              <w:tc>
                <w:tcPr>
                  <w:tcW w:w="19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ascii="Times New Roman" w:hAnsi="Times New Roman"/>
                      <w:sz w:val="18"/>
                      <w:szCs w:val="18"/>
                    </w:rPr>
                    <w:t>产量</w:t>
                  </w:r>
                  <w:r>
                    <w:rPr>
                      <w:rFonts w:hint="eastAsia"/>
                      <w:sz w:val="18"/>
                      <w:szCs w:val="18"/>
                    </w:rPr>
                    <w:t>（t/d）</w:t>
                  </w:r>
                </w:p>
              </w:tc>
              <w:tc>
                <w:tcPr>
                  <w:tcW w:w="21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物料含水率（%）</w:t>
                  </w:r>
                </w:p>
              </w:tc>
              <w:tc>
                <w:tcPr>
                  <w:tcW w:w="22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带走水（m</w:t>
                  </w:r>
                  <w:r>
                    <w:rPr>
                      <w:rFonts w:hint="eastAsia" w:ascii="Times New Roman" w:hAnsi="Times New Roman"/>
                      <w:sz w:val="18"/>
                      <w:szCs w:val="18"/>
                      <w:vertAlign w:val="superscript"/>
                    </w:rPr>
                    <w:t>3</w:t>
                  </w:r>
                  <w:r>
                    <w:rPr>
                      <w:rFonts w:hint="eastAsia" w:ascii="Times New Roman" w:hAnsi="Times New Roman"/>
                      <w:sz w:val="18"/>
                      <w:szCs w:val="18"/>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碎石</w:t>
                  </w:r>
                </w:p>
              </w:tc>
              <w:tc>
                <w:tcPr>
                  <w:tcW w:w="19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333.33</w:t>
                  </w:r>
                </w:p>
              </w:tc>
              <w:tc>
                <w:tcPr>
                  <w:tcW w:w="21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eastAsia" w:ascii="Times New Roman" w:hAnsi="Times New Roman"/>
                      <w:sz w:val="18"/>
                      <w:szCs w:val="18"/>
                    </w:rPr>
                    <w:t>10</w:t>
                  </w:r>
                </w:p>
              </w:tc>
              <w:tc>
                <w:tcPr>
                  <w:tcW w:w="22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33.33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18"/>
                      <w:szCs w:val="18"/>
                    </w:rPr>
                  </w:pPr>
                  <w:r>
                    <w:rPr>
                      <w:rFonts w:hint="eastAsia" w:ascii="Times New Roman" w:hAnsi="Times New Roman"/>
                      <w:color w:val="auto"/>
                      <w:sz w:val="18"/>
                      <w:szCs w:val="18"/>
                    </w:rPr>
                    <w:t>细砂</w:t>
                  </w:r>
                </w:p>
              </w:tc>
              <w:tc>
                <w:tcPr>
                  <w:tcW w:w="19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18"/>
                      <w:szCs w:val="18"/>
                    </w:rPr>
                  </w:pPr>
                  <w:r>
                    <w:rPr>
                      <w:rFonts w:hint="eastAsia" w:ascii="Times New Roman" w:hAnsi="Times New Roman"/>
                      <w:color w:val="auto"/>
                      <w:sz w:val="18"/>
                      <w:szCs w:val="18"/>
                    </w:rPr>
                    <w:t>333.33</w:t>
                  </w:r>
                </w:p>
              </w:tc>
              <w:tc>
                <w:tcPr>
                  <w:tcW w:w="21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18"/>
                      <w:szCs w:val="18"/>
                    </w:rPr>
                  </w:pPr>
                  <w:r>
                    <w:rPr>
                      <w:rFonts w:hint="eastAsia" w:ascii="Times New Roman" w:hAnsi="Times New Roman"/>
                      <w:color w:val="auto"/>
                      <w:sz w:val="18"/>
                      <w:szCs w:val="18"/>
                    </w:rPr>
                    <w:t>10</w:t>
                  </w:r>
                </w:p>
              </w:tc>
              <w:tc>
                <w:tcPr>
                  <w:tcW w:w="22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18"/>
                      <w:szCs w:val="18"/>
                    </w:rPr>
                  </w:pPr>
                  <w:r>
                    <w:rPr>
                      <w:rFonts w:hint="eastAsia" w:ascii="Times New Roman" w:hAnsi="Times New Roman"/>
                      <w:color w:val="auto"/>
                      <w:sz w:val="18"/>
                      <w:szCs w:val="18"/>
                    </w:rPr>
                    <w:t>33.33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污泥</w:t>
                  </w:r>
                </w:p>
              </w:tc>
              <w:tc>
                <w:tcPr>
                  <w:tcW w:w="19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6.67</w:t>
                  </w:r>
                </w:p>
              </w:tc>
              <w:tc>
                <w:tcPr>
                  <w:tcW w:w="21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约20</w:t>
                  </w:r>
                </w:p>
              </w:tc>
              <w:tc>
                <w:tcPr>
                  <w:tcW w:w="22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18"/>
                      <w:szCs w:val="18"/>
                    </w:rPr>
                  </w:pPr>
                  <w:r>
                    <w:rPr>
                      <w:rFonts w:hint="eastAsia" w:ascii="Times New Roman" w:hAnsi="Times New Roman"/>
                      <w:color w:val="auto"/>
                      <w:sz w:val="18"/>
                      <w:szCs w:val="18"/>
                    </w:rPr>
                    <w:t>合计</w:t>
                  </w:r>
                </w:p>
              </w:tc>
              <w:tc>
                <w:tcPr>
                  <w:tcW w:w="19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673.33</w:t>
                  </w:r>
                </w:p>
              </w:tc>
              <w:tc>
                <w:tcPr>
                  <w:tcW w:w="21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22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67.94</w:t>
                  </w:r>
                </w:p>
              </w:tc>
            </w:tr>
          </w:tbl>
          <w:p>
            <w:pPr>
              <w:pStyle w:val="69"/>
              <w:keepNext w:val="0"/>
              <w:keepLines w:val="0"/>
              <w:suppressLineNumbers w:val="0"/>
              <w:spacing w:beforeAutospacing="0" w:afterAutospacing="0"/>
              <w:ind w:left="480" w:leftChars="200" w:right="-120" w:firstLine="0" w:firstLineChars="0"/>
              <w:rPr>
                <w:rFonts w:hint="default"/>
                <w:color w:val="auto"/>
                <w:sz w:val="24"/>
              </w:rPr>
            </w:pPr>
            <w:r>
              <w:rPr>
                <w:rFonts w:hint="eastAsia"/>
                <w:color w:val="auto"/>
                <w:sz w:val="24"/>
              </w:rPr>
              <w:t>②</w:t>
            </w:r>
            <w:r>
              <w:rPr>
                <w:rFonts w:hint="default"/>
                <w:color w:val="auto"/>
                <w:sz w:val="24"/>
              </w:rPr>
              <w:t>原料堆场</w:t>
            </w:r>
          </w:p>
          <w:p>
            <w:pPr>
              <w:pStyle w:val="69"/>
              <w:keepNext w:val="0"/>
              <w:keepLines w:val="0"/>
              <w:suppressLineNumbers w:val="0"/>
              <w:spacing w:beforeAutospacing="0" w:afterAutospacing="0"/>
              <w:ind w:left="0" w:right="-120"/>
              <w:rPr>
                <w:rFonts w:hint="default"/>
                <w:color w:val="auto"/>
                <w:sz w:val="24"/>
              </w:rPr>
            </w:pPr>
            <w:r>
              <w:rPr>
                <w:rFonts w:hint="default"/>
                <w:color w:val="auto"/>
                <w:sz w:val="24"/>
              </w:rPr>
              <w:t>原料堆场采用喷雾装置抑尘，在堆场四周设置10个喷嘴，确保喷雾可以覆盖整个原料堆场。抑尘用水见下表。</w:t>
            </w:r>
          </w:p>
          <w:p>
            <w:pPr>
              <w:pStyle w:val="33"/>
              <w:keepNext w:val="0"/>
              <w:keepLines w:val="0"/>
              <w:suppressLineNumbers w:val="0"/>
              <w:spacing w:before="120" w:beforeAutospacing="0" w:after="0" w:afterAutospacing="0"/>
              <w:ind w:left="0" w:right="0" w:firstLine="422"/>
              <w:rPr>
                <w:rFonts w:hint="default" w:ascii="Times New Roman" w:hAnsi="Times New Roman"/>
              </w:rPr>
            </w:pPr>
            <w:r>
              <w:rPr>
                <w:rFonts w:hint="default" w:ascii="Times New Roman" w:hAnsi="Times New Roman"/>
                <w:b/>
                <w:bCs/>
                <w:sz w:val="21"/>
                <w:szCs w:val="21"/>
              </w:rPr>
              <w:t>表2.2-</w:t>
            </w:r>
            <w:r>
              <w:rPr>
                <w:rFonts w:hint="eastAsia" w:ascii="Times New Roman" w:hAnsi="Times New Roman"/>
                <w:b/>
                <w:bCs/>
                <w:sz w:val="21"/>
                <w:szCs w:val="21"/>
              </w:rPr>
              <w:t>8</w:t>
            </w:r>
            <w:r>
              <w:rPr>
                <w:rFonts w:hint="default" w:ascii="Times New Roman" w:hAnsi="Times New Roman"/>
                <w:b/>
                <w:bCs/>
                <w:sz w:val="21"/>
                <w:szCs w:val="21"/>
              </w:rPr>
              <w:t>原料堆场抑尘用水</w:t>
            </w:r>
          </w:p>
          <w:tbl>
            <w:tblPr>
              <w:tblStyle w:val="26"/>
              <w:tblW w:w="83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587"/>
              <w:gridCol w:w="1956"/>
              <w:gridCol w:w="1612"/>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产尘点</w:t>
                  </w:r>
                </w:p>
              </w:tc>
              <w:tc>
                <w:tcPr>
                  <w:tcW w:w="15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抑尘方式</w:t>
                  </w:r>
                </w:p>
              </w:tc>
              <w:tc>
                <w:tcPr>
                  <w:tcW w:w="195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喷水强度</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（L/min</w:t>
                  </w:r>
                  <w:r>
                    <w:rPr>
                      <w:rFonts w:hint="eastAsia" w:ascii="Times New Roman" w:hAnsi="Times New Roman"/>
                      <w:sz w:val="21"/>
                      <w:szCs w:val="21"/>
                    </w:rPr>
                    <w:t>·</w:t>
                  </w:r>
                  <w:r>
                    <w:rPr>
                      <w:rFonts w:hint="default" w:ascii="Times New Roman" w:hAnsi="Times New Roman"/>
                      <w:sz w:val="21"/>
                      <w:szCs w:val="21"/>
                    </w:rPr>
                    <w:t>个）</w:t>
                  </w:r>
                </w:p>
              </w:tc>
              <w:tc>
                <w:tcPr>
                  <w:tcW w:w="16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喷水时间</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（h/d）</w:t>
                  </w:r>
                </w:p>
              </w:tc>
              <w:tc>
                <w:tcPr>
                  <w:tcW w:w="163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喷水量</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（m</w:t>
                  </w:r>
                  <w:r>
                    <w:rPr>
                      <w:rFonts w:hint="default" w:ascii="Times New Roman" w:hAnsi="Times New Roman"/>
                      <w:sz w:val="21"/>
                      <w:szCs w:val="21"/>
                      <w:vertAlign w:val="superscript"/>
                    </w:rPr>
                    <w:t>3</w:t>
                  </w:r>
                  <w:r>
                    <w:rPr>
                      <w:rFonts w:hint="default" w:ascii="Times New Roman" w:hAnsi="Times New Roman"/>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原料堆场</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（卸料点）</w:t>
                  </w:r>
                </w:p>
              </w:tc>
              <w:tc>
                <w:tcPr>
                  <w:tcW w:w="15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干雾喷嘴</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（10个）</w:t>
                  </w:r>
                </w:p>
              </w:tc>
              <w:tc>
                <w:tcPr>
                  <w:tcW w:w="195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0.5L/min</w:t>
                  </w:r>
                  <w:r>
                    <w:rPr>
                      <w:rFonts w:hint="eastAsia" w:ascii="Times New Roman" w:hAnsi="Times New Roman"/>
                      <w:sz w:val="21"/>
                      <w:szCs w:val="21"/>
                    </w:rPr>
                    <w:t>·</w:t>
                  </w:r>
                  <w:r>
                    <w:rPr>
                      <w:rFonts w:hint="default" w:ascii="Times New Roman" w:hAnsi="Times New Roman"/>
                      <w:sz w:val="21"/>
                      <w:szCs w:val="21"/>
                    </w:rPr>
                    <w:t>个</w:t>
                  </w:r>
                </w:p>
              </w:tc>
              <w:tc>
                <w:tcPr>
                  <w:tcW w:w="16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10</w:t>
                  </w:r>
                </w:p>
              </w:tc>
              <w:tc>
                <w:tcPr>
                  <w:tcW w:w="163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3</w:t>
                  </w:r>
                </w:p>
              </w:tc>
            </w:tr>
          </w:tbl>
          <w:p>
            <w:pPr>
              <w:pStyle w:val="69"/>
              <w:keepNext w:val="0"/>
              <w:keepLines w:val="0"/>
              <w:suppressLineNumbers w:val="0"/>
              <w:spacing w:beforeAutospacing="0" w:afterAutospacing="0"/>
              <w:ind w:left="0" w:right="-120"/>
              <w:rPr>
                <w:rFonts w:hint="default"/>
                <w:color w:val="auto"/>
                <w:sz w:val="24"/>
              </w:rPr>
            </w:pPr>
            <w:r>
              <w:rPr>
                <w:rFonts w:hint="default"/>
                <w:color w:val="auto"/>
                <w:sz w:val="24"/>
              </w:rPr>
              <w:t>由上表可知，项目用于原料堆场抑尘的用水量为3m</w:t>
            </w:r>
            <w:r>
              <w:rPr>
                <w:rFonts w:hint="default"/>
                <w:color w:val="auto"/>
                <w:sz w:val="24"/>
                <w:vertAlign w:val="superscript"/>
              </w:rPr>
              <w:t>3</w:t>
            </w:r>
            <w:r>
              <w:rPr>
                <w:rFonts w:hint="default"/>
                <w:color w:val="auto"/>
                <w:sz w:val="24"/>
              </w:rPr>
              <w:t>/d，其中损耗量按10%计，即损耗0.3m</w:t>
            </w:r>
            <w:r>
              <w:rPr>
                <w:rFonts w:hint="default"/>
                <w:color w:val="auto"/>
                <w:sz w:val="24"/>
                <w:vertAlign w:val="superscript"/>
              </w:rPr>
              <w:t>3</w:t>
            </w:r>
            <w:r>
              <w:rPr>
                <w:rFonts w:hint="default"/>
                <w:color w:val="auto"/>
                <w:sz w:val="24"/>
              </w:rPr>
              <w:t>/d。</w:t>
            </w:r>
          </w:p>
          <w:p>
            <w:pPr>
              <w:pStyle w:val="69"/>
              <w:keepNext w:val="0"/>
              <w:keepLines w:val="0"/>
              <w:suppressLineNumbers w:val="0"/>
              <w:spacing w:beforeAutospacing="0" w:afterAutospacing="0"/>
              <w:ind w:left="0"/>
              <w:rPr>
                <w:rFonts w:hint="default"/>
                <w:sz w:val="24"/>
              </w:rPr>
            </w:pPr>
            <w:r>
              <w:rPr>
                <w:rFonts w:hint="eastAsia" w:ascii="宋体" w:hAnsi="宋体" w:cs="宋体"/>
                <w:sz w:val="24"/>
              </w:rPr>
              <w:t>③</w:t>
            </w:r>
            <w:r>
              <w:rPr>
                <w:rFonts w:hint="default"/>
                <w:sz w:val="24"/>
              </w:rPr>
              <w:t>破碎、筛分</w:t>
            </w:r>
          </w:p>
          <w:p>
            <w:pPr>
              <w:pStyle w:val="69"/>
              <w:keepNext w:val="0"/>
              <w:keepLines w:val="0"/>
              <w:suppressLineNumbers w:val="0"/>
              <w:spacing w:beforeAutospacing="0" w:afterAutospacing="0"/>
              <w:ind w:left="0" w:right="-120"/>
              <w:rPr>
                <w:rFonts w:hint="default"/>
                <w:color w:val="auto"/>
                <w:sz w:val="24"/>
              </w:rPr>
            </w:pPr>
            <w:r>
              <w:rPr>
                <w:rFonts w:hint="default"/>
                <w:color w:val="auto"/>
                <w:sz w:val="24"/>
              </w:rPr>
              <w:t>本项目在破碎、筛分工序采用喷水抑尘，在破碎机进料口上方、设备内</w:t>
            </w:r>
            <w:r>
              <w:rPr>
                <w:rFonts w:hint="eastAsia"/>
                <w:color w:val="auto"/>
                <w:sz w:val="24"/>
              </w:rPr>
              <w:t>、</w:t>
            </w:r>
            <w:r>
              <w:rPr>
                <w:rFonts w:hint="default"/>
                <w:color w:val="auto"/>
                <w:sz w:val="24"/>
              </w:rPr>
              <w:t>振动筛</w:t>
            </w:r>
            <w:r>
              <w:rPr>
                <w:rFonts w:hint="eastAsia"/>
                <w:color w:val="auto"/>
                <w:sz w:val="24"/>
              </w:rPr>
              <w:t>、整形机</w:t>
            </w:r>
            <w:r>
              <w:rPr>
                <w:rFonts w:hint="default"/>
                <w:color w:val="auto"/>
                <w:sz w:val="24"/>
              </w:rPr>
              <w:t>上方分别设置喷淋水管。</w:t>
            </w:r>
          </w:p>
          <w:p>
            <w:pPr>
              <w:pStyle w:val="69"/>
              <w:keepNext w:val="0"/>
              <w:keepLines w:val="0"/>
              <w:suppressLineNumbers w:val="0"/>
              <w:spacing w:beforeAutospacing="0" w:afterAutospacing="0"/>
              <w:ind w:left="0" w:right="-120"/>
              <w:rPr>
                <w:rFonts w:hint="default"/>
                <w:color w:val="auto"/>
                <w:sz w:val="24"/>
              </w:rPr>
            </w:pPr>
            <w:r>
              <w:rPr>
                <w:rFonts w:hint="default"/>
                <w:color w:val="auto"/>
                <w:sz w:val="24"/>
              </w:rPr>
              <w:t>参考《逸散性工业粉尘控制技术》第十八章粒料加工控制技术，</w:t>
            </w:r>
            <w:r>
              <w:rPr>
                <w:rFonts w:hint="eastAsia"/>
                <w:color w:val="auto"/>
                <w:sz w:val="24"/>
              </w:rPr>
              <w:t>成套湿抑尘系统用水及润湿剂量约为每吨生产粒料0.00626m</w:t>
            </w:r>
            <w:r>
              <w:rPr>
                <w:rFonts w:hint="eastAsia"/>
                <w:color w:val="auto"/>
                <w:sz w:val="24"/>
                <w:vertAlign w:val="superscript"/>
              </w:rPr>
              <w:t>3</w:t>
            </w:r>
            <w:r>
              <w:rPr>
                <w:rFonts w:hint="eastAsia"/>
                <w:color w:val="auto"/>
                <w:sz w:val="24"/>
              </w:rPr>
              <w:t>，未使用润湿剂时抑尘用水量增加3-4倍。本项目破碎、筛分过程喷水抑尘，未使用润湿剂，为保证喷淋抑尘效率，破碎、筛分喷淋</w:t>
            </w:r>
            <w:r>
              <w:rPr>
                <w:rFonts w:hint="default"/>
                <w:color w:val="auto"/>
                <w:sz w:val="24"/>
              </w:rPr>
              <w:t>用水量</w:t>
            </w:r>
            <w:r>
              <w:rPr>
                <w:rFonts w:hint="eastAsia"/>
                <w:color w:val="auto"/>
                <w:sz w:val="24"/>
              </w:rPr>
              <w:t>取</w:t>
            </w:r>
            <w:r>
              <w:rPr>
                <w:rFonts w:hint="default"/>
                <w:color w:val="auto"/>
                <w:sz w:val="24"/>
              </w:rPr>
              <w:t>0.0</w:t>
            </w:r>
            <w:r>
              <w:rPr>
                <w:rFonts w:hint="eastAsia"/>
                <w:color w:val="auto"/>
                <w:sz w:val="24"/>
              </w:rPr>
              <w:t>3</w:t>
            </w:r>
            <w:r>
              <w:rPr>
                <w:rFonts w:hint="default"/>
                <w:color w:val="auto"/>
                <w:sz w:val="24"/>
              </w:rPr>
              <w:t>m</w:t>
            </w:r>
            <w:r>
              <w:rPr>
                <w:rFonts w:hint="default"/>
                <w:color w:val="auto"/>
                <w:sz w:val="24"/>
                <w:vertAlign w:val="superscript"/>
              </w:rPr>
              <w:t>3</w:t>
            </w:r>
            <w:r>
              <w:rPr>
                <w:rFonts w:hint="default"/>
                <w:color w:val="auto"/>
                <w:sz w:val="24"/>
              </w:rPr>
              <w:t>/t物料</w:t>
            </w:r>
            <w:r>
              <w:rPr>
                <w:rFonts w:hint="eastAsia"/>
                <w:color w:val="auto"/>
                <w:sz w:val="24"/>
              </w:rPr>
              <w:t>。本项目进入破碎、筛分系统的物料量为</w:t>
            </w:r>
            <w:r>
              <w:rPr>
                <w:rFonts w:hint="eastAsia"/>
                <w:color w:val="auto"/>
                <w:sz w:val="24"/>
                <w:lang w:eastAsia="zh-CN"/>
              </w:rPr>
              <w:t>20.18</w:t>
            </w:r>
            <w:r>
              <w:rPr>
                <w:rFonts w:hint="eastAsia"/>
                <w:color w:val="auto"/>
                <w:sz w:val="24"/>
              </w:rPr>
              <w:t>万t/a，则</w:t>
            </w:r>
            <w:r>
              <w:rPr>
                <w:rFonts w:hint="default"/>
                <w:color w:val="auto"/>
                <w:sz w:val="24"/>
              </w:rPr>
              <w:t>喷淋用水量合计为</w:t>
            </w:r>
            <w:r>
              <w:rPr>
                <w:rFonts w:hint="eastAsia"/>
                <w:color w:val="auto"/>
                <w:sz w:val="24"/>
              </w:rPr>
              <w:t>60</w:t>
            </w:r>
            <w:r>
              <w:rPr>
                <w:rFonts w:hint="eastAsia"/>
                <w:color w:val="auto"/>
                <w:sz w:val="24"/>
                <w:lang w:val="en-US" w:eastAsia="zh-CN"/>
              </w:rPr>
              <w:t>54</w:t>
            </w:r>
            <w:r>
              <w:rPr>
                <w:rFonts w:hint="default"/>
                <w:color w:val="auto"/>
                <w:sz w:val="24"/>
              </w:rPr>
              <w:t>m</w:t>
            </w:r>
            <w:r>
              <w:rPr>
                <w:rFonts w:hint="default"/>
                <w:color w:val="auto"/>
                <w:sz w:val="24"/>
                <w:vertAlign w:val="superscript"/>
              </w:rPr>
              <w:t>3</w:t>
            </w:r>
            <w:r>
              <w:rPr>
                <w:rFonts w:hint="default"/>
                <w:color w:val="auto"/>
                <w:sz w:val="24"/>
              </w:rPr>
              <w:t>/a（</w:t>
            </w:r>
            <w:r>
              <w:rPr>
                <w:rFonts w:hint="eastAsia"/>
                <w:color w:val="auto"/>
                <w:sz w:val="24"/>
                <w:lang w:eastAsia="zh-CN"/>
              </w:rPr>
              <w:t>20.18</w:t>
            </w:r>
            <w:r>
              <w:rPr>
                <w:rFonts w:hint="default"/>
                <w:color w:val="auto"/>
                <w:sz w:val="24"/>
              </w:rPr>
              <w:t>m</w:t>
            </w:r>
            <w:r>
              <w:rPr>
                <w:rFonts w:hint="default"/>
                <w:color w:val="auto"/>
                <w:sz w:val="24"/>
                <w:vertAlign w:val="superscript"/>
              </w:rPr>
              <w:t>3</w:t>
            </w:r>
            <w:r>
              <w:rPr>
                <w:rFonts w:hint="default"/>
                <w:color w:val="auto"/>
                <w:sz w:val="24"/>
              </w:rPr>
              <w:t>/d）</w:t>
            </w:r>
            <w:r>
              <w:rPr>
                <w:rFonts w:hint="eastAsia"/>
                <w:color w:val="auto"/>
                <w:sz w:val="24"/>
              </w:rPr>
              <w:t>。</w:t>
            </w:r>
          </w:p>
          <w:p>
            <w:pPr>
              <w:pStyle w:val="69"/>
              <w:keepNext w:val="0"/>
              <w:keepLines w:val="0"/>
              <w:suppressLineNumbers w:val="0"/>
              <w:spacing w:beforeAutospacing="0" w:afterAutospacing="0"/>
              <w:ind w:left="0" w:right="-120"/>
              <w:rPr>
                <w:rFonts w:hint="default"/>
                <w:color w:val="auto"/>
                <w:sz w:val="24"/>
              </w:rPr>
            </w:pPr>
            <w:r>
              <w:rPr>
                <w:rFonts w:hint="default"/>
                <w:color w:val="auto"/>
                <w:sz w:val="24"/>
              </w:rPr>
              <w:t>破碎筛分总用水量为</w:t>
            </w:r>
            <w:r>
              <w:rPr>
                <w:rFonts w:hint="eastAsia"/>
                <w:color w:val="auto"/>
                <w:sz w:val="24"/>
                <w:lang w:val="en-US" w:eastAsia="zh-CN"/>
              </w:rPr>
              <w:t>90.14</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default"/>
                <w:color w:val="auto"/>
                <w:sz w:val="24"/>
              </w:rPr>
              <w:t>（</w:t>
            </w:r>
            <w:r>
              <w:rPr>
                <w:rFonts w:hint="default" w:ascii="Times New Roman" w:hAnsi="Times New Roman" w:eastAsia="宋体" w:cs="Times New Roman"/>
                <w:color w:val="auto"/>
                <w:kern w:val="2"/>
                <w:sz w:val="24"/>
                <w:szCs w:val="24"/>
                <w:lang w:val="en-US" w:eastAsia="zh-CN" w:bidi="ar-SA"/>
              </w:rPr>
              <w:t>原料带入水</w:t>
            </w:r>
            <w:r>
              <w:rPr>
                <w:rFonts w:hint="eastAsia" w:ascii="Times New Roman" w:hAnsi="Times New Roman" w:eastAsia="宋体" w:cs="Times New Roman"/>
                <w:color w:val="auto"/>
                <w:kern w:val="2"/>
                <w:sz w:val="24"/>
                <w:szCs w:val="24"/>
                <w:lang w:val="en-US" w:eastAsia="zh-CN" w:bidi="ar-SA"/>
              </w:rPr>
              <w:t>67.26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d、堆场喷淋带入2.7</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，破碎</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筛分喷淋用水</w:t>
            </w:r>
            <w:r>
              <w:rPr>
                <w:rFonts w:hint="eastAsia" w:ascii="Times New Roman" w:hAnsi="Times New Roman" w:eastAsia="宋体" w:cs="Times New Roman"/>
                <w:color w:val="auto"/>
                <w:kern w:val="2"/>
                <w:sz w:val="24"/>
                <w:szCs w:val="24"/>
                <w:lang w:val="en-US" w:eastAsia="zh-CN" w:bidi="ar-SA"/>
              </w:rPr>
              <w:t>20.18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color w:val="auto"/>
                <w:sz w:val="24"/>
              </w:rPr>
              <w:t>），用水量部分损耗，部分进入</w:t>
            </w:r>
            <w:r>
              <w:rPr>
                <w:rFonts w:hint="eastAsia"/>
                <w:color w:val="auto"/>
                <w:sz w:val="24"/>
              </w:rPr>
              <w:t>成品碎石、部分进入半成品细砂。</w:t>
            </w:r>
            <w:r>
              <w:rPr>
                <w:rFonts w:hint="default"/>
                <w:color w:val="auto"/>
                <w:sz w:val="24"/>
              </w:rPr>
              <w:t>损耗量按水量的</w:t>
            </w:r>
            <w:r>
              <w:rPr>
                <w:rFonts w:hint="eastAsia"/>
                <w:color w:val="auto"/>
                <w:sz w:val="24"/>
              </w:rPr>
              <w:t>10</w:t>
            </w:r>
            <w:r>
              <w:rPr>
                <w:rFonts w:hint="default"/>
                <w:color w:val="auto"/>
                <w:sz w:val="24"/>
              </w:rPr>
              <w:t>%计算，则破碎、筛分用水损耗量</w:t>
            </w:r>
            <w:r>
              <w:rPr>
                <w:rFonts w:hint="eastAsia"/>
                <w:color w:val="auto"/>
                <w:sz w:val="24"/>
              </w:rPr>
              <w:t>约</w:t>
            </w:r>
            <w:r>
              <w:rPr>
                <w:rFonts w:hint="default"/>
                <w:color w:val="auto"/>
                <w:sz w:val="24"/>
              </w:rPr>
              <w:t>为</w:t>
            </w:r>
            <w:r>
              <w:rPr>
                <w:rFonts w:hint="eastAsia"/>
                <w:color w:val="auto"/>
                <w:sz w:val="24"/>
                <w:lang w:val="en-US" w:eastAsia="zh-CN"/>
              </w:rPr>
              <w:t>9</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d，成品碎石带走水量为33.</w:t>
            </w:r>
            <w:r>
              <w:rPr>
                <w:rFonts w:hint="eastAsia"/>
                <w:color w:val="auto"/>
                <w:sz w:val="24"/>
                <w:lang w:val="en-US" w:eastAsia="zh-CN"/>
              </w:rPr>
              <w:t>33</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default"/>
                <w:color w:val="auto"/>
                <w:sz w:val="24"/>
              </w:rPr>
              <w:t>其余</w:t>
            </w:r>
            <w:r>
              <w:rPr>
                <w:rFonts w:hint="eastAsia"/>
                <w:color w:val="auto"/>
                <w:sz w:val="24"/>
                <w:lang w:val="en-US" w:eastAsia="zh-CN"/>
              </w:rPr>
              <w:t>47.81</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default"/>
                <w:color w:val="auto"/>
                <w:sz w:val="24"/>
              </w:rPr>
              <w:t>随物料进入后续生产工序。</w:t>
            </w:r>
          </w:p>
          <w:p>
            <w:pPr>
              <w:pStyle w:val="69"/>
              <w:keepNext w:val="0"/>
              <w:keepLines w:val="0"/>
              <w:suppressLineNumbers w:val="0"/>
              <w:spacing w:beforeAutospacing="0" w:afterAutospacing="0"/>
              <w:ind w:left="0"/>
              <w:rPr>
                <w:rFonts w:hint="default"/>
                <w:sz w:val="24"/>
              </w:rPr>
            </w:pPr>
            <w:r>
              <w:rPr>
                <w:rFonts w:hint="eastAsia"/>
                <w:sz w:val="24"/>
              </w:rPr>
              <w:t>④洗砂石用水</w:t>
            </w:r>
          </w:p>
          <w:p>
            <w:pPr>
              <w:pStyle w:val="69"/>
              <w:keepNext w:val="0"/>
              <w:keepLines w:val="0"/>
              <w:suppressLineNumbers w:val="0"/>
              <w:spacing w:beforeAutospacing="0" w:afterAutospacing="0"/>
              <w:ind w:left="0"/>
              <w:rPr>
                <w:rFonts w:hint="default"/>
                <w:sz w:val="24"/>
              </w:rPr>
            </w:pPr>
            <w:r>
              <w:rPr>
                <w:rFonts w:hint="default"/>
                <w:sz w:val="24"/>
              </w:rPr>
              <w:t>根据企业原环评及搬迁前的实际生产情况，洗砂</w:t>
            </w:r>
            <w:r>
              <w:rPr>
                <w:rFonts w:hint="eastAsia"/>
                <w:sz w:val="24"/>
              </w:rPr>
              <w:t>石</w:t>
            </w:r>
            <w:r>
              <w:rPr>
                <w:rFonts w:hint="default"/>
                <w:sz w:val="24"/>
              </w:rPr>
              <w:t>用水系数为0.2</w:t>
            </w:r>
            <w:r>
              <w:rPr>
                <w:rFonts w:hint="eastAsia"/>
                <w:sz w:val="24"/>
              </w:rPr>
              <w:t>m</w:t>
            </w:r>
            <w:r>
              <w:rPr>
                <w:rFonts w:hint="eastAsia"/>
                <w:sz w:val="24"/>
                <w:vertAlign w:val="superscript"/>
              </w:rPr>
              <w:t>3</w:t>
            </w:r>
            <w:r>
              <w:rPr>
                <w:rFonts w:hint="default"/>
                <w:sz w:val="24"/>
              </w:rPr>
              <w:t>/t细砂，项目年产10万吨细砂，项目</w:t>
            </w:r>
            <w:r>
              <w:rPr>
                <w:rFonts w:hint="eastAsia"/>
                <w:sz w:val="24"/>
              </w:rPr>
              <w:t>洗砂石用水</w:t>
            </w:r>
            <w:r>
              <w:rPr>
                <w:rFonts w:hint="default"/>
                <w:sz w:val="24"/>
              </w:rPr>
              <w:t>量约为20000t</w:t>
            </w:r>
            <w:r>
              <w:rPr>
                <w:rFonts w:hint="eastAsia"/>
                <w:sz w:val="24"/>
              </w:rPr>
              <w:t>（66.67</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eastAsia"/>
                <w:sz w:val="24"/>
              </w:rPr>
              <w:t>包括新鲜水及回用水）。</w:t>
            </w:r>
          </w:p>
          <w:p>
            <w:pPr>
              <w:pStyle w:val="69"/>
              <w:keepNext w:val="0"/>
              <w:keepLines w:val="0"/>
              <w:suppressLineNumbers w:val="0"/>
              <w:spacing w:beforeAutospacing="0" w:afterAutospacing="0"/>
              <w:ind w:left="0"/>
              <w:rPr>
                <w:rFonts w:hint="default"/>
                <w:sz w:val="24"/>
              </w:rPr>
            </w:pPr>
            <w:r>
              <w:rPr>
                <w:rFonts w:hint="eastAsia"/>
                <w:sz w:val="24"/>
              </w:rPr>
              <w:t>洗砂石总用水量为</w:t>
            </w:r>
            <w:r>
              <w:rPr>
                <w:rFonts w:hint="eastAsia"/>
                <w:sz w:val="24"/>
                <w:lang w:val="en-US" w:eastAsia="zh-CN"/>
              </w:rPr>
              <w:t>114.48</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eastAsia"/>
                <w:sz w:val="24"/>
              </w:rPr>
              <w:t>（</w:t>
            </w:r>
            <w:r>
              <w:rPr>
                <w:rFonts w:hint="eastAsia"/>
                <w:sz w:val="24"/>
                <w:lang w:val="en-US" w:eastAsia="zh-CN"/>
              </w:rPr>
              <w:t>破碎、筛分工序物料</w:t>
            </w:r>
            <w:r>
              <w:rPr>
                <w:rFonts w:hint="eastAsia"/>
                <w:sz w:val="24"/>
              </w:rPr>
              <w:t>带入水</w:t>
            </w:r>
            <w:r>
              <w:rPr>
                <w:rFonts w:hint="eastAsia"/>
                <w:sz w:val="24"/>
                <w:lang w:eastAsia="zh-CN"/>
              </w:rPr>
              <w:t>47.8</w:t>
            </w:r>
            <w:r>
              <w:rPr>
                <w:rFonts w:hint="eastAsia"/>
                <w:sz w:val="24"/>
                <w:lang w:val="en-US" w:eastAsia="zh-CN"/>
              </w:rPr>
              <w:t>1</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d，洗砂用水66.67</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eastAsia"/>
                <w:sz w:val="24"/>
              </w:rPr>
              <w:t>），</w:t>
            </w:r>
            <w:r>
              <w:rPr>
                <w:rFonts w:hint="default"/>
                <w:sz w:val="24"/>
              </w:rPr>
              <w:t>损耗量约占</w:t>
            </w:r>
            <w:r>
              <w:rPr>
                <w:rFonts w:hint="eastAsia"/>
                <w:sz w:val="24"/>
              </w:rPr>
              <w:t>总</w:t>
            </w:r>
            <w:r>
              <w:rPr>
                <w:rFonts w:hint="default"/>
                <w:sz w:val="24"/>
              </w:rPr>
              <w:t>用水量的</w:t>
            </w:r>
            <w:r>
              <w:rPr>
                <w:rFonts w:hint="eastAsia"/>
                <w:sz w:val="24"/>
              </w:rPr>
              <w:t>10</w:t>
            </w:r>
            <w:r>
              <w:rPr>
                <w:rFonts w:hint="default"/>
                <w:sz w:val="24"/>
              </w:rPr>
              <w:t>%，损耗水量约为</w:t>
            </w:r>
            <w:r>
              <w:rPr>
                <w:rFonts w:hint="eastAsia"/>
                <w:sz w:val="24"/>
              </w:rPr>
              <w:t>11.</w:t>
            </w:r>
            <w:r>
              <w:rPr>
                <w:rFonts w:hint="eastAsia"/>
                <w:sz w:val="24"/>
                <w:lang w:val="en-US" w:eastAsia="zh-CN"/>
              </w:rPr>
              <w:t>45</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eastAsia"/>
                <w:sz w:val="24"/>
              </w:rPr>
              <w:t>。清洗后的细砂含水率约为14%，细砂带走水量为46.67</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d，细砂暂存于成品堆场自然堆干后外售，最终成品细砂含水率为10%，则堆存过程中损耗水量为13.34</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d，成品细砂带走水量为33.33</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d。剩余</w:t>
            </w:r>
            <w:r>
              <w:rPr>
                <w:rFonts w:hint="eastAsia"/>
                <w:color w:val="auto"/>
                <w:sz w:val="24"/>
                <w:lang w:val="en-US" w:eastAsia="zh-CN"/>
              </w:rPr>
              <w:t>56.36</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d</w:t>
            </w:r>
            <w:r>
              <w:rPr>
                <w:rFonts w:hint="default"/>
                <w:sz w:val="24"/>
              </w:rPr>
              <w:t>洗砂水通过管道排入</w:t>
            </w:r>
            <w:r>
              <w:rPr>
                <w:rFonts w:hint="eastAsia"/>
                <w:sz w:val="24"/>
              </w:rPr>
              <w:t>沉淀罐，后续进入沉淀池沉淀</w:t>
            </w:r>
            <w:r>
              <w:rPr>
                <w:rFonts w:hint="default"/>
                <w:sz w:val="24"/>
              </w:rPr>
              <w:t>处理</w:t>
            </w:r>
            <w:r>
              <w:rPr>
                <w:rFonts w:hint="eastAsia"/>
                <w:sz w:val="24"/>
              </w:rPr>
              <w:t>，沉淀池产生的上清液全部回用不外排。</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⑤初期雨水</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rPr>
            </w:pPr>
            <w:r>
              <w:rPr>
                <w:rFonts w:hint="default" w:ascii="Times New Roman" w:hAnsi="Times New Roman"/>
                <w:bCs/>
              </w:rPr>
              <w:t>初期雨水是在旱季后的首次降雨过程，经雨水冲洗的含有少量污染物的地面排水。</w:t>
            </w:r>
            <w:r>
              <w:rPr>
                <w:rFonts w:hint="default" w:ascii="Times New Roman" w:hAnsi="Times New Roman"/>
              </w:rPr>
              <w:t>参考《化学工业污水处理与回用设计规范》（GB50684—2011），初期雨污水的核算方式采用降雨深度与污染区面积的乘积法，污染雨水量按降水量10mm~30mm与污染区面积的乘积来计算原料堆场</w:t>
            </w:r>
            <w:r>
              <w:rPr>
                <w:rFonts w:hint="eastAsia" w:ascii="Times New Roman" w:hAnsi="Times New Roman"/>
              </w:rPr>
              <w:t>。</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rPr>
            </w:pPr>
            <w:r>
              <w:rPr>
                <w:rFonts w:hint="eastAsia" w:ascii="Times New Roman" w:hAnsi="Times New Roman"/>
              </w:rPr>
              <w:t>项目厂区生产区域（破碎筛分、洗砂等区域）、成品堆场均设置顶棚，顶棚设置雨水管道，屋面雨水通过管道直接排入厂区</w:t>
            </w:r>
            <w:r>
              <w:rPr>
                <w:rFonts w:hint="eastAsia" w:ascii="Times New Roman" w:hAnsi="Times New Roman"/>
                <w:lang w:val="en-US" w:eastAsia="zh-CN"/>
              </w:rPr>
              <w:t>北</w:t>
            </w:r>
            <w:r>
              <w:rPr>
                <w:rFonts w:hint="eastAsia" w:ascii="Times New Roman" w:hAnsi="Times New Roman"/>
              </w:rPr>
              <w:t>侧的雨水沟，后续排入均溪支流。初期雨水汇水区域为原料堆场及厂区内道路等无顶棚搭盖的区域，汇水面积约为</w:t>
            </w:r>
            <w:r>
              <w:rPr>
                <w:rFonts w:hint="eastAsia" w:ascii="Times New Roman" w:hAnsi="Times New Roman"/>
                <w:lang w:val="en-US" w:eastAsia="zh-CN"/>
              </w:rPr>
              <w:t>1200</w:t>
            </w:r>
            <w:r>
              <w:rPr>
                <w:rFonts w:hint="eastAsia" w:ascii="Times New Roman" w:hAnsi="Times New Roman"/>
              </w:rPr>
              <w:t>m</w:t>
            </w:r>
            <w:r>
              <w:rPr>
                <w:rFonts w:hint="eastAsia" w:ascii="Times New Roman" w:hAnsi="Times New Roman"/>
                <w:vertAlign w:val="superscript"/>
              </w:rPr>
              <w:t>2</w:t>
            </w:r>
            <w:r>
              <w:rPr>
                <w:rFonts w:hint="eastAsia" w:ascii="Times New Roman" w:hAnsi="Times New Roman"/>
              </w:rPr>
              <w:t>。</w:t>
            </w:r>
            <w:r>
              <w:rPr>
                <w:rFonts w:hint="default" w:ascii="Times New Roman" w:hAnsi="Times New Roman"/>
              </w:rPr>
              <w:t>降雨初期产生污染雨水量按降水量10mm与污染区面积的乘积来计算。经计算，</w:t>
            </w:r>
            <w:r>
              <w:rPr>
                <w:rFonts w:hint="eastAsia" w:ascii="Times New Roman" w:hAnsi="Times New Roman"/>
              </w:rPr>
              <w:t>单次</w:t>
            </w:r>
            <w:r>
              <w:rPr>
                <w:rFonts w:hint="default" w:ascii="Times New Roman" w:hAnsi="Times New Roman"/>
              </w:rPr>
              <w:t>初期雨水产生量约为</w:t>
            </w:r>
            <w:r>
              <w:rPr>
                <w:rFonts w:hint="eastAsia" w:ascii="Times New Roman" w:hAnsi="Times New Roman"/>
                <w:lang w:val="en-US" w:eastAsia="zh-CN"/>
              </w:rPr>
              <w:t>12</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rPr>
            </w:pPr>
            <w:r>
              <w:rPr>
                <w:rFonts w:hint="default" w:ascii="Times New Roman" w:hAnsi="Times New Roman"/>
                <w:bCs/>
              </w:rPr>
              <w:t>根据大田县近几年的气象数据，平均降雨天数取100d，则初期雨水产生量约为</w:t>
            </w:r>
            <w:r>
              <w:rPr>
                <w:rFonts w:hint="eastAsia" w:ascii="Times New Roman" w:hAnsi="Times New Roman"/>
                <w:bCs/>
                <w:lang w:val="en-US" w:eastAsia="zh-CN"/>
              </w:rPr>
              <w:t>1200</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r>
              <w:rPr>
                <w:rFonts w:hint="eastAsia"/>
              </w:rPr>
              <w:t>a（折算平均</w:t>
            </w:r>
            <w:r>
              <w:rPr>
                <w:rFonts w:hint="eastAsia"/>
                <w:lang w:val="en-US" w:eastAsia="zh-CN"/>
              </w:rPr>
              <w:t>4</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r>
              <w:rPr>
                <w:rFonts w:hint="eastAsia" w:ascii="Times New Roman" w:hAnsi="Times New Roman"/>
              </w:rPr>
              <w:t>d</w:t>
            </w:r>
            <w:r>
              <w:rPr>
                <w:rFonts w:hint="eastAsia"/>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根据厂区地形地势，要求企业在厂区</w:t>
            </w:r>
            <w:r>
              <w:rPr>
                <w:rFonts w:hint="eastAsia" w:ascii="Times New Roman" w:hAnsi="Times New Roman"/>
              </w:rPr>
              <w:t>北侧</w:t>
            </w:r>
            <w:r>
              <w:rPr>
                <w:rFonts w:hint="default" w:ascii="Times New Roman" w:hAnsi="Times New Roman"/>
              </w:rPr>
              <w:t>大门口设置一个容积不小于</w:t>
            </w:r>
            <w:r>
              <w:rPr>
                <w:rFonts w:hint="eastAsia" w:ascii="Times New Roman" w:hAnsi="Times New Roman"/>
              </w:rPr>
              <w:t>1</w:t>
            </w:r>
            <w:r>
              <w:rPr>
                <w:rFonts w:hint="eastAsia" w:ascii="Times New Roman" w:hAnsi="Times New Roman"/>
                <w:lang w:val="en-US" w:eastAsia="zh-CN"/>
              </w:rPr>
              <w:t>2</w:t>
            </w:r>
            <w:r>
              <w:rPr>
                <w:rFonts w:hint="default" w:ascii="Times New Roman" w:hAnsi="Times New Roman"/>
                <w:bCs/>
              </w:rPr>
              <w:t>m</w:t>
            </w:r>
            <w:r>
              <w:rPr>
                <w:rFonts w:hint="default" w:ascii="Times New Roman" w:hAnsi="Times New Roman"/>
                <w:bCs/>
                <w:vertAlign w:val="superscript"/>
              </w:rPr>
              <w:t>3</w:t>
            </w:r>
            <w:r>
              <w:rPr>
                <w:rFonts w:hint="default" w:ascii="Times New Roman" w:hAnsi="Times New Roman"/>
              </w:rPr>
              <w:t>的</w:t>
            </w:r>
            <w:r>
              <w:rPr>
                <w:rFonts w:hint="eastAsia" w:ascii="Times New Roman" w:hAnsi="Times New Roman"/>
                <w:lang w:eastAsia="zh-CN"/>
              </w:rPr>
              <w:t>初期雨水池</w:t>
            </w:r>
            <w:r>
              <w:rPr>
                <w:rFonts w:hint="default" w:ascii="Times New Roman" w:hAnsi="Times New Roman"/>
              </w:rPr>
              <w:t>。初期雨水经沉淀处理后作为生产用水回用，回用于</w:t>
            </w:r>
            <w:r>
              <w:rPr>
                <w:rFonts w:hint="eastAsia" w:ascii="Times New Roman" w:hAnsi="Times New Roman"/>
              </w:rPr>
              <w:t>洗砂工序</w:t>
            </w:r>
            <w:r>
              <w:rPr>
                <w:rFonts w:hint="default" w:ascii="Times New Roman" w:hAnsi="Times New Roman"/>
              </w:rPr>
              <w:t>，不外排。</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（2）</w:t>
            </w:r>
            <w:r>
              <w:rPr>
                <w:rFonts w:hint="default" w:ascii="Times New Roman" w:hAnsi="Times New Roman"/>
              </w:rPr>
              <w:t>运输车辆冲洗水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项目拟在厂区出入口设置一个运输车辆轮胎清洗点，由专人负责对卸料后运输车轮胎进行冲洗，冲洗水收集后进入</w:t>
            </w:r>
            <w:r>
              <w:rPr>
                <w:rFonts w:hint="eastAsia" w:ascii="Times New Roman" w:hAnsi="Times New Roman"/>
              </w:rPr>
              <w:t>洗车池沉淀处理后回用</w:t>
            </w:r>
            <w:r>
              <w:rPr>
                <w:rFonts w:hint="default" w:ascii="Times New Roman" w:hAnsi="Times New Roman"/>
              </w:rPr>
              <w:t>。洗车平台的尺寸为长度×宽度×高度：5m×2m×0.6m，池子容量为6m</w:t>
            </w:r>
            <w:r>
              <w:rPr>
                <w:rFonts w:hint="default" w:ascii="Times New Roman" w:hAnsi="Times New Roman"/>
                <w:vertAlign w:val="superscript"/>
              </w:rPr>
              <w:t>3</w:t>
            </w:r>
            <w:r>
              <w:rPr>
                <w:rFonts w:hint="default" w:ascii="Times New Roman" w:hAnsi="Times New Roman"/>
              </w:rPr>
              <w:t>，洗车时池子的水量占池子的80%，即4.8m</w:t>
            </w:r>
            <w:r>
              <w:rPr>
                <w:rFonts w:hint="default" w:ascii="Times New Roman" w:hAnsi="Times New Roman"/>
                <w:vertAlign w:val="superscript"/>
              </w:rPr>
              <w:t>3</w:t>
            </w:r>
            <w:r>
              <w:rPr>
                <w:rFonts w:hint="default" w:ascii="Times New Roman" w:hAnsi="Times New Roman"/>
              </w:rPr>
              <w:t>，则废水产生量为</w:t>
            </w:r>
            <w:r>
              <w:rPr>
                <w:rFonts w:hint="eastAsia" w:ascii="Times New Roman" w:hAnsi="Times New Roman"/>
              </w:rPr>
              <w:t>4.8</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r>
              <w:rPr>
                <w:rFonts w:hint="eastAsia" w:ascii="Times New Roman" w:hAnsi="Times New Roman"/>
              </w:rPr>
              <w:t>d，</w:t>
            </w:r>
            <w:r>
              <w:rPr>
                <w:rFonts w:hint="default" w:ascii="Times New Roman" w:hAnsi="Times New Roman"/>
              </w:rPr>
              <w:t>冲洗水部分被车轮带走，部分蒸发，损耗量按废水量20%计算，</w:t>
            </w:r>
            <w:r>
              <w:rPr>
                <w:rFonts w:hint="eastAsia" w:ascii="Times New Roman" w:hAnsi="Times New Roman"/>
              </w:rPr>
              <w:t>则损耗量为0.96</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r>
              <w:rPr>
                <w:rFonts w:hint="eastAsia" w:ascii="Times New Roman" w:hAnsi="Times New Roman"/>
              </w:rPr>
              <w:t>d，蒸发部分使用新鲜水补充，其余3.84</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r>
              <w:rPr>
                <w:rFonts w:hint="eastAsia" w:ascii="Times New Roman" w:hAnsi="Times New Roman"/>
              </w:rPr>
              <w:t>d经洗车平台沉淀后回用于洗车。</w:t>
            </w:r>
          </w:p>
          <w:p>
            <w:pPr>
              <w:pStyle w:val="69"/>
              <w:keepNext w:val="0"/>
              <w:keepLines w:val="0"/>
              <w:suppressLineNumbers w:val="0"/>
              <w:spacing w:beforeAutospacing="0" w:afterAutospacing="0"/>
              <w:ind w:left="480" w:leftChars="200" w:right="-120" w:firstLine="0" w:firstLineChars="0"/>
              <w:rPr>
                <w:rFonts w:hint="default"/>
                <w:color w:val="auto"/>
                <w:sz w:val="24"/>
              </w:rPr>
            </w:pPr>
            <w:r>
              <w:rPr>
                <w:rFonts w:hint="default"/>
                <w:color w:val="auto"/>
                <w:sz w:val="24"/>
              </w:rPr>
              <w:t>（</w:t>
            </w:r>
            <w:r>
              <w:rPr>
                <w:rFonts w:hint="eastAsia"/>
                <w:color w:val="auto"/>
                <w:sz w:val="24"/>
              </w:rPr>
              <w:t>3</w:t>
            </w:r>
            <w:r>
              <w:rPr>
                <w:rFonts w:hint="default"/>
                <w:color w:val="auto"/>
                <w:sz w:val="24"/>
              </w:rPr>
              <w:t>）道路抑尘浇洒</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原料及产品</w:t>
            </w:r>
            <w:r>
              <w:rPr>
                <w:rFonts w:hint="default" w:ascii="Times New Roman" w:hAnsi="Times New Roman"/>
              </w:rPr>
              <w:t>运输车辆要经过厂区道路，厂内道路长度约</w:t>
            </w:r>
            <w:r>
              <w:rPr>
                <w:rFonts w:hint="eastAsia" w:ascii="Times New Roman" w:hAnsi="Times New Roman"/>
              </w:rPr>
              <w:t>20</w:t>
            </w:r>
            <w:r>
              <w:rPr>
                <w:rFonts w:hint="default" w:ascii="Times New Roman" w:hAnsi="Times New Roman"/>
              </w:rPr>
              <w:t>0m，宽度约2m，道路采取洒水抑尘，用水量约为</w:t>
            </w:r>
            <w:r>
              <w:rPr>
                <w:rFonts w:hint="eastAsia" w:ascii="Times New Roman" w:hAnsi="Times New Roman"/>
              </w:rPr>
              <w:t>1.8</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/d</w:t>
            </w:r>
            <w:r>
              <w:rPr>
                <w:rFonts w:hint="eastAsia" w:ascii="Times New Roman" w:hAnsi="Times New Roman"/>
              </w:rPr>
              <w:t>（540</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r>
              <w:rPr>
                <w:rFonts w:hint="eastAsia"/>
              </w:rPr>
              <w:t>a</w:t>
            </w:r>
            <w:r>
              <w:rPr>
                <w:rFonts w:hint="eastAsia" w:ascii="Times New Roman" w:hAnsi="Times New Roman"/>
              </w:rPr>
              <w:t>）</w:t>
            </w:r>
            <w:r>
              <w:rPr>
                <w:rFonts w:hint="default" w:ascii="Times New Roman" w:hAnsi="Times New Roman"/>
              </w:rPr>
              <w:t>，具体分析见下表：</w:t>
            </w:r>
          </w:p>
          <w:p>
            <w:pPr>
              <w:pStyle w:val="33"/>
              <w:keepNext w:val="0"/>
              <w:keepLines w:val="0"/>
              <w:suppressLineNumbers w:val="0"/>
              <w:spacing w:before="120" w:beforeAutospacing="0" w:after="0" w:afterAutospacing="0"/>
              <w:ind w:left="0" w:right="0" w:firstLine="422"/>
              <w:rPr>
                <w:rFonts w:hint="default" w:ascii="Times New Roman" w:hAnsi="Times New Roman"/>
              </w:rPr>
            </w:pPr>
            <w:r>
              <w:rPr>
                <w:rFonts w:hint="default" w:ascii="Times New Roman" w:hAnsi="Times New Roman"/>
                <w:b/>
                <w:bCs/>
                <w:sz w:val="21"/>
                <w:szCs w:val="21"/>
              </w:rPr>
              <w:t>表2.</w:t>
            </w:r>
            <w:r>
              <w:rPr>
                <w:rFonts w:hint="eastAsia" w:ascii="Times New Roman" w:hAnsi="Times New Roman"/>
                <w:b/>
                <w:bCs/>
                <w:sz w:val="21"/>
                <w:szCs w:val="21"/>
              </w:rPr>
              <w:t>3</w:t>
            </w:r>
            <w:r>
              <w:rPr>
                <w:rFonts w:hint="default" w:ascii="Times New Roman" w:hAnsi="Times New Roman"/>
                <w:b/>
                <w:bCs/>
                <w:sz w:val="21"/>
                <w:szCs w:val="21"/>
              </w:rPr>
              <w:t>-</w:t>
            </w:r>
            <w:r>
              <w:rPr>
                <w:rFonts w:hint="eastAsia" w:ascii="Times New Roman" w:hAnsi="Times New Roman"/>
                <w:b/>
                <w:bCs/>
                <w:sz w:val="21"/>
                <w:szCs w:val="21"/>
              </w:rPr>
              <w:t>9</w:t>
            </w:r>
            <w:r>
              <w:rPr>
                <w:rFonts w:hint="default" w:ascii="Times New Roman" w:hAnsi="Times New Roman"/>
                <w:b/>
                <w:bCs/>
                <w:sz w:val="21"/>
                <w:szCs w:val="21"/>
              </w:rPr>
              <w:t>厂区道路抑尘用水</w:t>
            </w:r>
          </w:p>
          <w:tbl>
            <w:tblPr>
              <w:tblStyle w:val="26"/>
              <w:tblW w:w="83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426"/>
              <w:gridCol w:w="2443"/>
              <w:gridCol w:w="1712"/>
              <w:gridCol w:w="13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产尘点</w:t>
                  </w:r>
                </w:p>
              </w:tc>
              <w:tc>
                <w:tcPr>
                  <w:tcW w:w="14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抑尘方式</w:t>
                  </w:r>
                </w:p>
              </w:tc>
              <w:tc>
                <w:tcPr>
                  <w:tcW w:w="24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数量（面积）</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单位用水量</w:t>
                  </w:r>
                </w:p>
              </w:tc>
              <w:tc>
                <w:tcPr>
                  <w:tcW w:w="13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用水量</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（m</w:t>
                  </w:r>
                  <w:r>
                    <w:rPr>
                      <w:rFonts w:hint="default" w:ascii="Times New Roman" w:hAnsi="Times New Roman"/>
                      <w:sz w:val="21"/>
                      <w:szCs w:val="21"/>
                      <w:vertAlign w:val="superscript"/>
                    </w:rPr>
                    <w:t>3</w:t>
                  </w:r>
                  <w:r>
                    <w:rPr>
                      <w:rFonts w:hint="default" w:ascii="Times New Roman" w:hAnsi="Times New Roman"/>
                      <w:sz w:val="21"/>
                      <w:szCs w:val="21"/>
                    </w:rPr>
                    <w:t>/</w:t>
                  </w:r>
                  <w:r>
                    <w:rPr>
                      <w:rFonts w:hint="eastAsia" w:ascii="Times New Roman" w:hAnsi="Times New Roman"/>
                      <w:sz w:val="21"/>
                      <w:szCs w:val="21"/>
                    </w:rPr>
                    <w:t>d</w:t>
                  </w:r>
                  <w:r>
                    <w:rPr>
                      <w:rFonts w:hint="default"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厂区道路</w:t>
                  </w:r>
                </w:p>
              </w:tc>
              <w:tc>
                <w:tcPr>
                  <w:tcW w:w="14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洒水抑尘</w:t>
                  </w:r>
                </w:p>
              </w:tc>
              <w:tc>
                <w:tcPr>
                  <w:tcW w:w="24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3次</w:t>
                  </w:r>
                  <w:r>
                    <w:rPr>
                      <w:rFonts w:hint="eastAsia" w:ascii="Times New Roman" w:hAnsi="Times New Roman"/>
                      <w:sz w:val="21"/>
                      <w:szCs w:val="21"/>
                    </w:rPr>
                    <w:t>/天</w:t>
                  </w:r>
                  <w:r>
                    <w:rPr>
                      <w:rFonts w:hint="default" w:ascii="Times New Roman" w:hAnsi="Times New Roman"/>
                      <w:sz w:val="21"/>
                      <w:szCs w:val="21"/>
                    </w:rPr>
                    <w:t>（</w:t>
                  </w:r>
                  <w:r>
                    <w:rPr>
                      <w:rFonts w:hint="eastAsia" w:ascii="Times New Roman" w:hAnsi="Times New Roman"/>
                      <w:sz w:val="21"/>
                      <w:szCs w:val="21"/>
                    </w:rPr>
                    <w:t>4</w:t>
                  </w:r>
                  <w:r>
                    <w:rPr>
                      <w:rFonts w:hint="default" w:ascii="Times New Roman" w:hAnsi="Times New Roman"/>
                      <w:sz w:val="21"/>
                      <w:szCs w:val="21"/>
                    </w:rPr>
                    <w:t>00m</w:t>
                  </w:r>
                  <w:r>
                    <w:rPr>
                      <w:rFonts w:hint="default" w:ascii="Times New Roman" w:hAnsi="Times New Roman"/>
                      <w:sz w:val="21"/>
                      <w:szCs w:val="21"/>
                      <w:vertAlign w:val="superscript"/>
                    </w:rPr>
                    <w:t>2</w:t>
                  </w:r>
                  <w:r>
                    <w:rPr>
                      <w:rFonts w:hint="default" w:ascii="Times New Roman" w:hAnsi="Times New Roman"/>
                      <w:sz w:val="21"/>
                      <w:szCs w:val="21"/>
                    </w:rPr>
                    <w:t>）</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1.5L/m</w:t>
                  </w:r>
                  <w:r>
                    <w:rPr>
                      <w:rFonts w:hint="default" w:ascii="Times New Roman" w:hAnsi="Times New Roman"/>
                      <w:sz w:val="21"/>
                      <w:szCs w:val="21"/>
                      <w:vertAlign w:val="superscript"/>
                    </w:rPr>
                    <w:t>2</w:t>
                  </w:r>
                  <w:r>
                    <w:rPr>
                      <w:rFonts w:hint="default" w:ascii="Times New Roman" w:hAnsi="Times New Roman"/>
                      <w:sz w:val="21"/>
                      <w:szCs w:val="21"/>
                    </w:rPr>
                    <w:t>·次</w:t>
                  </w:r>
                </w:p>
              </w:tc>
              <w:tc>
                <w:tcPr>
                  <w:tcW w:w="13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1.8</w:t>
                  </w:r>
                </w:p>
              </w:tc>
            </w:tr>
          </w:tbl>
          <w:p>
            <w:pPr>
              <w:pStyle w:val="69"/>
              <w:keepNext w:val="0"/>
              <w:keepLines w:val="0"/>
              <w:suppressLineNumbers w:val="0"/>
              <w:spacing w:beforeAutospacing="0" w:afterAutospacing="0"/>
              <w:ind w:left="480" w:leftChars="200" w:right="-120" w:firstLine="0" w:firstLineChars="0"/>
              <w:rPr>
                <w:rFonts w:hint="default"/>
                <w:color w:val="auto"/>
                <w:sz w:val="24"/>
              </w:rPr>
            </w:pPr>
            <w:r>
              <w:rPr>
                <w:rFonts w:hint="eastAsia"/>
                <w:color w:val="auto"/>
                <w:sz w:val="24"/>
              </w:rPr>
              <w:t>（4）</w:t>
            </w:r>
            <w:r>
              <w:rPr>
                <w:rFonts w:hint="default"/>
                <w:color w:val="auto"/>
                <w:sz w:val="24"/>
              </w:rPr>
              <w:t>生活污水</w:t>
            </w:r>
          </w:p>
          <w:p>
            <w:pPr>
              <w:keepNext w:val="0"/>
              <w:keepLines w:val="0"/>
              <w:suppressLineNumbers w:val="0"/>
              <w:spacing w:before="0" w:beforeAutospacing="0" w:after="0" w:afterAutospacing="0" w:line="440" w:lineRule="exact"/>
              <w:ind w:left="0" w:right="0" w:firstLine="480" w:firstLineChars="200"/>
              <w:rPr>
                <w:rFonts w:hint="default"/>
              </w:rPr>
            </w:pPr>
            <w:r>
              <w:rPr>
                <w:rFonts w:hint="default" w:ascii="Times New Roman" w:hAnsi="Times New Roman"/>
              </w:rPr>
              <w:t>项目职工定员8人，均不住厂，根据GB50015-2010《建筑给水排水设计规范》，不住厂职工生活用水量取50L/d·人，那么项目生活用水量约为0.4 m</w:t>
            </w:r>
            <w:r>
              <w:rPr>
                <w:rFonts w:hint="default" w:ascii="Times New Roman" w:hAnsi="Times New Roman"/>
                <w:vertAlign w:val="superscript"/>
              </w:rPr>
              <w:t>3</w:t>
            </w:r>
            <w:r>
              <w:rPr>
                <w:rFonts w:hint="default" w:ascii="Times New Roman" w:hAnsi="Times New Roman"/>
              </w:rPr>
              <w:t>/d，按年工作300天计，则生活用水量为120m</w:t>
            </w:r>
            <w:r>
              <w:rPr>
                <w:rFonts w:hint="default" w:ascii="Times New Roman" w:hAnsi="Times New Roman"/>
                <w:vertAlign w:val="superscript"/>
              </w:rPr>
              <w:t>3</w:t>
            </w:r>
            <w:r>
              <w:rPr>
                <w:rFonts w:hint="default" w:ascii="Times New Roman" w:hAnsi="Times New Roman"/>
              </w:rPr>
              <w:t>/a。排污系数取0.9，则项目生活污水排放量约为108m</w:t>
            </w:r>
            <w:r>
              <w:rPr>
                <w:rFonts w:hint="default" w:ascii="Times New Roman" w:hAnsi="Times New Roman"/>
                <w:vertAlign w:val="superscript"/>
              </w:rPr>
              <w:t>3</w:t>
            </w:r>
            <w:r>
              <w:rPr>
                <w:rFonts w:hint="default" w:ascii="Times New Roman" w:hAnsi="Times New Roman"/>
              </w:rPr>
              <w:t>/a（0.36m</w:t>
            </w:r>
            <w:r>
              <w:rPr>
                <w:rFonts w:hint="default" w:ascii="Times New Roman" w:hAnsi="Times New Roman"/>
                <w:vertAlign w:val="superscript"/>
              </w:rPr>
              <w:t>3</w:t>
            </w:r>
            <w:r>
              <w:rPr>
                <w:rFonts w:hint="default" w:ascii="Times New Roman" w:hAnsi="Times New Roman"/>
              </w:rPr>
              <w:t>/d）。</w:t>
            </w:r>
          </w:p>
          <w:p>
            <w:pPr>
              <w:pStyle w:val="69"/>
              <w:keepNext w:val="0"/>
              <w:keepLines w:val="0"/>
              <w:suppressLineNumbers w:val="0"/>
              <w:spacing w:beforeAutospacing="0" w:afterAutospacing="0"/>
              <w:ind w:left="480" w:leftChars="200" w:right="-120" w:firstLine="0" w:firstLineChars="0"/>
              <w:rPr>
                <w:rFonts w:hint="default"/>
                <w:color w:val="auto"/>
                <w:sz w:val="24"/>
              </w:rPr>
            </w:pPr>
            <w:r>
              <w:rPr>
                <w:rFonts w:hint="eastAsia"/>
                <w:color w:val="auto"/>
                <w:sz w:val="24"/>
              </w:rPr>
              <w:t>（5）小结</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w:t>
            </w:r>
            <w:r>
              <w:rPr>
                <w:rFonts w:hint="eastAsia" w:ascii="Times New Roman" w:hAnsi="Times New Roman"/>
              </w:rPr>
              <w:t>用水包括生产用水（堆场抑尘用水、破碎、筛分抑尘用水、洗砂用水、等）、车辆冲洗用水、道路抑尘用水、生活用水。其中生产用水量为</w:t>
            </w:r>
            <w:r>
              <w:rPr>
                <w:rFonts w:hint="eastAsia" w:ascii="Times New Roman" w:hAnsi="Times New Roman"/>
                <w:lang w:val="en-US" w:eastAsia="zh-CN"/>
              </w:rPr>
              <w:t>157.11</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，其中原料带入水</w:t>
            </w:r>
            <w:r>
              <w:rPr>
                <w:rFonts w:hint="eastAsia" w:ascii="Times New Roman" w:hAnsi="Times New Roman"/>
                <w:lang w:val="en-US" w:eastAsia="zh-CN"/>
              </w:rPr>
              <w:t>67.26</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，回用水</w:t>
            </w:r>
            <w:r>
              <w:rPr>
                <w:rFonts w:hint="eastAsia" w:ascii="Times New Roman" w:hAnsi="Times New Roman"/>
                <w:lang w:val="en-US" w:eastAsia="zh-CN"/>
              </w:rPr>
              <w:t>59.08</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（含初期雨水折算为</w:t>
            </w:r>
            <w:r>
              <w:rPr>
                <w:rFonts w:hint="eastAsia" w:ascii="Times New Roman" w:hAnsi="Times New Roman"/>
                <w:lang w:val="en-US" w:eastAsia="zh-CN"/>
              </w:rPr>
              <w:t>4</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），新鲜水</w:t>
            </w:r>
            <w:r>
              <w:rPr>
                <w:rFonts w:hint="eastAsia" w:ascii="Times New Roman" w:hAnsi="Times New Roman"/>
                <w:lang w:val="en-US" w:eastAsia="zh-CN"/>
              </w:rPr>
              <w:t>30.77</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，产品、污泥带走</w:t>
            </w:r>
            <w:r>
              <w:rPr>
                <w:rFonts w:hint="eastAsia" w:ascii="Times New Roman" w:hAnsi="Times New Roman"/>
                <w:lang w:val="en-US" w:eastAsia="zh-CN"/>
              </w:rPr>
              <w:t>67.94</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，损耗</w:t>
            </w:r>
            <w:r>
              <w:rPr>
                <w:rFonts w:hint="eastAsia" w:ascii="Times New Roman" w:hAnsi="Times New Roman"/>
                <w:lang w:eastAsia="zh-CN"/>
              </w:rPr>
              <w:t>3</w:t>
            </w:r>
            <w:r>
              <w:rPr>
                <w:rFonts w:hint="eastAsia" w:ascii="Times New Roman" w:hAnsi="Times New Roman"/>
                <w:lang w:val="en-US" w:eastAsia="zh-CN"/>
              </w:rPr>
              <w:t>0</w:t>
            </w:r>
            <w:r>
              <w:rPr>
                <w:rFonts w:hint="eastAsia" w:ascii="Times New Roman" w:hAnsi="Times New Roman"/>
                <w:lang w:eastAsia="zh-CN"/>
              </w:rPr>
              <w:t>.09</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，废水产生量</w:t>
            </w:r>
            <w:r>
              <w:rPr>
                <w:rFonts w:hint="eastAsia" w:ascii="Times New Roman" w:hAnsi="Times New Roman"/>
                <w:lang w:val="en-US" w:eastAsia="zh-CN"/>
              </w:rPr>
              <w:t>56.36</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，生产废水经处理后全部回用；车辆冲洗水用水量</w:t>
            </w:r>
            <w:r>
              <w:rPr>
                <w:rFonts w:hint="eastAsia" w:ascii="Times New Roman" w:hAnsi="Times New Roman"/>
                <w:lang w:val="en-US" w:eastAsia="zh-CN"/>
              </w:rPr>
              <w:t>0.96</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color w:val="000000" w:themeColor="text1"/>
                <w:lang w:val="en-US" w:eastAsia="zh-CN"/>
                <w14:textFill>
                  <w14:solidFill>
                    <w14:schemeClr w14:val="tx1"/>
                  </w14:solidFill>
                </w14:textFill>
              </w:rPr>
              <w:t>全部</w:t>
            </w:r>
            <w:r>
              <w:rPr>
                <w:rFonts w:hint="eastAsia" w:ascii="Times New Roman" w:hAnsi="Times New Roman"/>
                <w:color w:val="000000" w:themeColor="text1"/>
                <w14:textFill>
                  <w14:solidFill>
                    <w14:schemeClr w14:val="tx1"/>
                  </w14:solidFill>
                </w14:textFill>
              </w:rPr>
              <w:t>蒸发损耗，</w:t>
            </w:r>
            <w:r>
              <w:rPr>
                <w:rFonts w:hint="eastAsia" w:ascii="Times New Roman" w:hAnsi="Times New Roman"/>
                <w:color w:val="000000" w:themeColor="text1"/>
                <w:lang w:val="en-US" w:eastAsia="zh-CN"/>
                <w14:textFill>
                  <w14:solidFill>
                    <w14:schemeClr w14:val="tx1"/>
                  </w14:solidFill>
                </w14:textFill>
              </w:rPr>
              <w:t>损耗水使用新鲜水补充</w:t>
            </w:r>
            <w:r>
              <w:rPr>
                <w:rFonts w:hint="eastAsia" w:ascii="Times New Roman" w:hAnsi="Times New Roman"/>
                <w:color w:val="000000" w:themeColor="text1"/>
                <w14:textFill>
                  <w14:solidFill>
                    <w14:schemeClr w14:val="tx1"/>
                  </w14:solidFill>
                </w14:textFill>
              </w:rPr>
              <w:t>；</w:t>
            </w:r>
            <w:r>
              <w:rPr>
                <w:rFonts w:hint="eastAsia" w:ascii="Times New Roman" w:hAnsi="Times New Roman"/>
              </w:rPr>
              <w:t>道路抑尘用水量为1.8</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d，全部蒸发损耗；</w:t>
            </w:r>
            <w:r>
              <w:rPr>
                <w:rFonts w:hint="default" w:ascii="Times New Roman" w:hAnsi="Times New Roman"/>
                <w:color w:val="000000" w:themeColor="text1"/>
                <w14:textFill>
                  <w14:solidFill>
                    <w14:schemeClr w14:val="tx1"/>
                  </w14:solidFill>
                </w14:textFill>
              </w:rPr>
              <w:t>生活用水量</w:t>
            </w:r>
            <w:r>
              <w:rPr>
                <w:rFonts w:hint="eastAsia" w:ascii="Times New Roman" w:hAnsi="Times New Roman"/>
                <w:color w:val="000000" w:themeColor="text1"/>
                <w14:textFill>
                  <w14:solidFill>
                    <w14:schemeClr w14:val="tx1"/>
                  </w14:solidFill>
                </w14:textFill>
              </w:rPr>
              <w:t>0.4</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default" w:ascii="Times New Roman" w:hAnsi="Times New Roman"/>
                <w:color w:val="000000" w:themeColor="text1"/>
                <w14:textFill>
                  <w14:solidFill>
                    <w14:schemeClr w14:val="tx1"/>
                  </w14:solidFill>
                </w14:textFill>
              </w:rPr>
              <w:t>，生活污水产生量</w:t>
            </w:r>
            <w:r>
              <w:rPr>
                <w:rFonts w:hint="eastAsia" w:ascii="Times New Roman" w:hAnsi="Times New Roman"/>
                <w:color w:val="000000" w:themeColor="text1"/>
                <w14:textFill>
                  <w14:solidFill>
                    <w14:schemeClr w14:val="tx1"/>
                  </w14:solidFill>
                </w14:textFill>
              </w:rPr>
              <w:t>0.04</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0.36</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default" w:ascii="Times New Roman" w:hAnsi="Times New Roman"/>
                <w:color w:val="000000" w:themeColor="text1"/>
                <w14:textFill>
                  <w14:solidFill>
                    <w14:schemeClr w14:val="tx1"/>
                  </w14:solidFill>
                </w14:textFill>
              </w:rPr>
              <w:t>用于周边山林地灌溉。</w:t>
            </w:r>
            <w:r>
              <w:rPr>
                <w:rFonts w:hint="eastAsia" w:ascii="Times New Roman" w:hAnsi="Times New Roman"/>
                <w:color w:val="000000" w:themeColor="text1"/>
                <w14:textFill>
                  <w14:solidFill>
                    <w14:schemeClr w14:val="tx1"/>
                  </w14:solidFill>
                </w14:textFill>
              </w:rPr>
              <w:t>全厂新鲜水用水量</w:t>
            </w:r>
            <w:r>
              <w:rPr>
                <w:rFonts w:hint="eastAsia" w:ascii="Times New Roman" w:hAnsi="Times New Roman"/>
                <w:color w:val="000000" w:themeColor="text1"/>
                <w:lang w:eastAsia="zh-CN"/>
                <w14:textFill>
                  <w14:solidFill>
                    <w14:schemeClr w14:val="tx1"/>
                  </w14:solidFill>
                </w14:textFill>
              </w:rPr>
              <w:t>33.93</w:t>
            </w:r>
            <w:r>
              <w:rPr>
                <w:rFonts w:hint="default" w:ascii="Times New Roman" w:hAnsi="Times New Roman"/>
                <w:color w:val="000000" w:themeColor="text1"/>
                <w14:textFill>
                  <w14:solidFill>
                    <w14:schemeClr w14:val="tx1"/>
                  </w14:solidFill>
                </w14:textFill>
              </w:rPr>
              <w:t>m</w:t>
            </w:r>
            <w:r>
              <w:rPr>
                <w:rFonts w:hint="default" w:ascii="Times New Roman" w:hAnsi="Times New Roman"/>
                <w:color w:val="000000" w:themeColor="text1"/>
                <w:vertAlign w:val="superscript"/>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hint="eastAsia" w:ascii="Times New Roman" w:hAnsi="Times New Roman"/>
              </w:rPr>
              <w:t>具体见下表。</w:t>
            </w:r>
          </w:p>
          <w:p>
            <w:pPr>
              <w:pStyle w:val="33"/>
              <w:keepNext w:val="0"/>
              <w:keepLines w:val="0"/>
              <w:suppressLineNumbers w:val="0"/>
              <w:spacing w:before="120" w:beforeAutospacing="0" w:after="0" w:afterAutospacing="0"/>
              <w:ind w:left="0" w:right="0" w:firstLine="422"/>
              <w:rPr>
                <w:rFonts w:hint="default"/>
              </w:rPr>
            </w:pPr>
            <w:r>
              <w:rPr>
                <w:rFonts w:hint="default" w:ascii="Times New Roman" w:hAnsi="Times New Roman"/>
                <w:b/>
                <w:bCs/>
                <w:sz w:val="21"/>
                <w:szCs w:val="21"/>
              </w:rPr>
              <w:t>表2.</w:t>
            </w:r>
            <w:r>
              <w:rPr>
                <w:rFonts w:hint="eastAsia" w:ascii="Times New Roman" w:hAnsi="Times New Roman"/>
                <w:b/>
                <w:bCs/>
                <w:sz w:val="21"/>
                <w:szCs w:val="21"/>
              </w:rPr>
              <w:t>3</w:t>
            </w:r>
            <w:r>
              <w:rPr>
                <w:rFonts w:hint="default" w:ascii="Times New Roman" w:hAnsi="Times New Roman"/>
                <w:b/>
                <w:bCs/>
                <w:sz w:val="21"/>
                <w:szCs w:val="21"/>
              </w:rPr>
              <w:t>-</w:t>
            </w:r>
            <w:r>
              <w:rPr>
                <w:rFonts w:hint="eastAsia" w:ascii="Times New Roman" w:hAnsi="Times New Roman"/>
                <w:b/>
                <w:bCs/>
                <w:sz w:val="21"/>
                <w:szCs w:val="21"/>
              </w:rPr>
              <w:t>10</w:t>
            </w:r>
            <w:r>
              <w:rPr>
                <w:rFonts w:hint="default" w:ascii="Times New Roman" w:hAnsi="Times New Roman"/>
                <w:b/>
                <w:bCs/>
                <w:sz w:val="21"/>
                <w:szCs w:val="21"/>
              </w:rPr>
              <w:t xml:space="preserve">  项目用水情况汇总表（m</w:t>
            </w:r>
            <w:r>
              <w:rPr>
                <w:rFonts w:hint="default" w:ascii="Times New Roman" w:hAnsi="Times New Roman"/>
                <w:b/>
                <w:bCs/>
                <w:sz w:val="21"/>
                <w:szCs w:val="21"/>
                <w:vertAlign w:val="superscript"/>
              </w:rPr>
              <w:t>3</w:t>
            </w:r>
            <w:r>
              <w:rPr>
                <w:rFonts w:hint="default" w:ascii="Times New Roman" w:hAnsi="Times New Roman"/>
                <w:b/>
                <w:bCs/>
                <w:sz w:val="21"/>
                <w:szCs w:val="21"/>
              </w:rPr>
              <w:t>/</w:t>
            </w:r>
            <w:r>
              <w:rPr>
                <w:rFonts w:hint="eastAsia" w:ascii="Times New Roman" w:hAnsi="Times New Roman"/>
                <w:b/>
                <w:bCs/>
                <w:sz w:val="21"/>
                <w:szCs w:val="21"/>
              </w:rPr>
              <w:t>d</w:t>
            </w:r>
            <w:r>
              <w:rPr>
                <w:rFonts w:hint="default" w:ascii="Times New Roman" w:hAnsi="Times New Roman"/>
                <w:b/>
                <w:bCs/>
                <w:sz w:val="21"/>
                <w:szCs w:val="21"/>
              </w:rPr>
              <w:t>）</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1117"/>
              <w:gridCol w:w="806"/>
              <w:gridCol w:w="860"/>
              <w:gridCol w:w="1061"/>
              <w:gridCol w:w="712"/>
              <w:gridCol w:w="1461"/>
              <w:gridCol w:w="999"/>
              <w:gridCol w:w="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序号</w:t>
                  </w:r>
                </w:p>
              </w:tc>
              <w:tc>
                <w:tcPr>
                  <w:tcW w:w="665" w:type="pct"/>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用水单元</w:t>
                  </w:r>
                </w:p>
              </w:tc>
              <w:tc>
                <w:tcPr>
                  <w:tcW w:w="992" w:type="pct"/>
                  <w:gridSpan w:val="2"/>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color w:val="auto"/>
                      <w:sz w:val="15"/>
                      <w:szCs w:val="15"/>
                    </w:rPr>
                  </w:pPr>
                  <w:r>
                    <w:rPr>
                      <w:rFonts w:hint="eastAsia" w:ascii="Times New Roman" w:hAnsi="Times New Roman"/>
                      <w:color w:val="auto"/>
                      <w:sz w:val="15"/>
                      <w:szCs w:val="15"/>
                    </w:rPr>
                    <w:t>用水量</w:t>
                  </w:r>
                </w:p>
              </w:tc>
              <w:tc>
                <w:tcPr>
                  <w:tcW w:w="632" w:type="pct"/>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color w:val="auto"/>
                      <w:sz w:val="15"/>
                      <w:szCs w:val="15"/>
                    </w:rPr>
                  </w:pPr>
                  <w:r>
                    <w:rPr>
                      <w:rFonts w:hint="eastAsia" w:ascii="Times New Roman" w:hAnsi="Times New Roman"/>
                      <w:color w:val="auto"/>
                      <w:sz w:val="15"/>
                      <w:szCs w:val="15"/>
                    </w:rPr>
                    <w:t>回用</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水</w:t>
                  </w:r>
                  <w:r>
                    <w:rPr>
                      <w:rFonts w:hint="eastAsia" w:ascii="Times New Roman" w:hAnsi="Times New Roman"/>
                      <w:color w:val="auto"/>
                      <w:sz w:val="15"/>
                      <w:szCs w:val="15"/>
                      <w:lang w:val="en-US" w:eastAsia="zh-CN"/>
                    </w:rPr>
                    <w:t>量</w:t>
                  </w:r>
                </w:p>
              </w:tc>
              <w:tc>
                <w:tcPr>
                  <w:tcW w:w="424" w:type="pct"/>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color w:val="auto"/>
                      <w:sz w:val="15"/>
                      <w:szCs w:val="15"/>
                    </w:rPr>
                  </w:pPr>
                  <w:r>
                    <w:rPr>
                      <w:rFonts w:hint="eastAsia" w:ascii="Times New Roman" w:hAnsi="Times New Roman"/>
                      <w:color w:val="auto"/>
                      <w:sz w:val="15"/>
                      <w:szCs w:val="15"/>
                    </w:rPr>
                    <w:t>废水</w:t>
                  </w:r>
                </w:p>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产生量</w:t>
                  </w:r>
                </w:p>
              </w:tc>
              <w:tc>
                <w:tcPr>
                  <w:tcW w:w="1465" w:type="pct"/>
                  <w:gridSpan w:val="2"/>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eastAsia="zh-CN"/>
                    </w:rPr>
                  </w:pPr>
                  <w:r>
                    <w:rPr>
                      <w:rFonts w:hint="eastAsia" w:ascii="Times New Roman" w:hAnsi="Times New Roman"/>
                      <w:color w:val="auto"/>
                      <w:sz w:val="15"/>
                      <w:szCs w:val="15"/>
                      <w:lang w:val="en-US" w:eastAsia="zh-CN"/>
                    </w:rPr>
                    <w:t>损耗</w:t>
                  </w:r>
                </w:p>
              </w:tc>
              <w:tc>
                <w:tcPr>
                  <w:tcW w:w="581" w:type="pct"/>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val="en-US" w:eastAsia="zh-CN"/>
                    </w:rPr>
                  </w:pPr>
                  <w:r>
                    <w:rPr>
                      <w:rFonts w:hint="eastAsia" w:ascii="Times New Roman" w:hAnsi="Times New Roman"/>
                      <w:color w:val="auto"/>
                      <w:sz w:val="15"/>
                      <w:szCs w:val="15"/>
                    </w:rPr>
                    <w:t>废水</w:t>
                  </w:r>
                  <w:r>
                    <w:rPr>
                      <w:rFonts w:hint="eastAsia" w:ascii="Times New Roman" w:hAnsi="Times New Roman"/>
                      <w:color w:val="auto"/>
                      <w:sz w:val="15"/>
                      <w:szCs w:val="15"/>
                      <w:lang w:val="en-US" w:eastAsia="zh-CN"/>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665" w:type="pct"/>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8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新鲜水</w:t>
                  </w:r>
                </w:p>
              </w:tc>
              <w:tc>
                <w:tcPr>
                  <w:tcW w:w="51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原料带入</w:t>
                  </w:r>
                </w:p>
              </w:tc>
              <w:tc>
                <w:tcPr>
                  <w:tcW w:w="632" w:type="pct"/>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24" w:type="pct"/>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87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产品</w:t>
                  </w:r>
                  <w:r>
                    <w:rPr>
                      <w:rFonts w:hint="eastAsia" w:ascii="Times New Roman" w:hAnsi="Times New Roman"/>
                      <w:color w:val="auto"/>
                      <w:sz w:val="15"/>
                      <w:szCs w:val="15"/>
                      <w:lang w:eastAsia="zh-CN"/>
                    </w:rPr>
                    <w:t>（</w:t>
                  </w:r>
                  <w:r>
                    <w:rPr>
                      <w:rFonts w:hint="eastAsia" w:ascii="Times New Roman" w:hAnsi="Times New Roman"/>
                      <w:color w:val="auto"/>
                      <w:sz w:val="15"/>
                      <w:szCs w:val="15"/>
                      <w:lang w:val="en-US" w:eastAsia="zh-CN"/>
                    </w:rPr>
                    <w:t>污泥</w:t>
                  </w:r>
                  <w:r>
                    <w:rPr>
                      <w:rFonts w:hint="eastAsia" w:ascii="Times New Roman" w:hAnsi="Times New Roman"/>
                      <w:color w:val="auto"/>
                      <w:sz w:val="15"/>
                      <w:szCs w:val="15"/>
                      <w:lang w:eastAsia="zh-CN"/>
                    </w:rPr>
                    <w:t>）</w:t>
                  </w:r>
                  <w:r>
                    <w:rPr>
                      <w:rFonts w:hint="eastAsia" w:ascii="Times New Roman" w:hAnsi="Times New Roman"/>
                      <w:color w:val="auto"/>
                      <w:sz w:val="15"/>
                      <w:szCs w:val="15"/>
                    </w:rPr>
                    <w:t>带走</w:t>
                  </w:r>
                </w:p>
              </w:tc>
              <w:tc>
                <w:tcPr>
                  <w:tcW w:w="59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挥发等损耗</w:t>
                  </w:r>
                </w:p>
              </w:tc>
              <w:tc>
                <w:tcPr>
                  <w:tcW w:w="581" w:type="pct"/>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1</w:t>
                  </w:r>
                </w:p>
              </w:tc>
              <w:tc>
                <w:tcPr>
                  <w:tcW w:w="66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生产用水</w:t>
                  </w:r>
                </w:p>
              </w:tc>
              <w:tc>
                <w:tcPr>
                  <w:tcW w:w="48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30.77</w:t>
                  </w:r>
                </w:p>
              </w:tc>
              <w:tc>
                <w:tcPr>
                  <w:tcW w:w="51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67.26</w:t>
                  </w:r>
                </w:p>
              </w:tc>
              <w:tc>
                <w:tcPr>
                  <w:tcW w:w="63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highlight w:val="none"/>
                    </w:rPr>
                  </w:pPr>
                  <w:r>
                    <w:rPr>
                      <w:rFonts w:hint="eastAsia" w:ascii="Times New Roman" w:hAnsi="Times New Roman"/>
                      <w:color w:val="auto"/>
                      <w:sz w:val="15"/>
                      <w:szCs w:val="15"/>
                      <w:highlight w:val="none"/>
                      <w:lang w:val="en-US" w:eastAsia="zh-CN"/>
                    </w:rPr>
                    <w:t>59.08</w:t>
                  </w:r>
                  <w:r>
                    <w:rPr>
                      <w:rFonts w:hint="eastAsia" w:ascii="Times New Roman" w:hAnsi="Times New Roman"/>
                      <w:color w:val="auto"/>
                      <w:sz w:val="15"/>
                      <w:szCs w:val="15"/>
                      <w:highlight w:val="none"/>
                    </w:rPr>
                    <w:t>（含初期雨水</w:t>
                  </w:r>
                  <w:r>
                    <w:rPr>
                      <w:rFonts w:hint="eastAsia" w:ascii="Times New Roman" w:hAnsi="Times New Roman"/>
                      <w:color w:val="auto"/>
                      <w:sz w:val="15"/>
                      <w:szCs w:val="15"/>
                      <w:highlight w:val="none"/>
                      <w:lang w:val="en-US" w:eastAsia="zh-CN"/>
                    </w:rPr>
                    <w:t>4</w:t>
                  </w:r>
                  <w:r>
                    <w:rPr>
                      <w:rFonts w:hint="eastAsia" w:ascii="Times New Roman" w:hAnsi="Times New Roman"/>
                      <w:color w:val="auto"/>
                      <w:sz w:val="15"/>
                      <w:szCs w:val="15"/>
                      <w:highlight w:val="none"/>
                    </w:rPr>
                    <w:t>）</w:t>
                  </w:r>
                </w:p>
              </w:tc>
              <w:tc>
                <w:tcPr>
                  <w:tcW w:w="424"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highlight w:val="none"/>
                      <w:lang w:val="en-US" w:eastAsia="zh-CN"/>
                    </w:rPr>
                  </w:pPr>
                  <w:r>
                    <w:rPr>
                      <w:rFonts w:hint="eastAsia" w:ascii="Times New Roman" w:hAnsi="Times New Roman"/>
                      <w:color w:val="auto"/>
                      <w:sz w:val="15"/>
                      <w:szCs w:val="15"/>
                      <w:highlight w:val="none"/>
                      <w:lang w:val="en-US" w:eastAsia="zh-CN"/>
                    </w:rPr>
                    <w:t>56.36</w:t>
                  </w:r>
                </w:p>
              </w:tc>
              <w:tc>
                <w:tcPr>
                  <w:tcW w:w="87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highlight w:val="none"/>
                      <w:lang w:val="en-US" w:eastAsia="zh-CN"/>
                    </w:rPr>
                  </w:pPr>
                  <w:r>
                    <w:rPr>
                      <w:rFonts w:hint="eastAsia" w:ascii="Times New Roman" w:hAnsi="Times New Roman"/>
                      <w:color w:val="auto"/>
                      <w:sz w:val="15"/>
                      <w:szCs w:val="15"/>
                      <w:highlight w:val="none"/>
                      <w:lang w:val="en-US" w:eastAsia="zh-CN"/>
                    </w:rPr>
                    <w:t>67.94</w:t>
                  </w:r>
                </w:p>
              </w:tc>
              <w:tc>
                <w:tcPr>
                  <w:tcW w:w="59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highlight w:val="none"/>
                      <w:lang w:eastAsia="zh-CN"/>
                    </w:rPr>
                  </w:pPr>
                  <w:r>
                    <w:rPr>
                      <w:rFonts w:hint="eastAsia" w:ascii="Times New Roman" w:hAnsi="Times New Roman"/>
                      <w:color w:val="auto"/>
                      <w:sz w:val="15"/>
                      <w:szCs w:val="15"/>
                      <w:highlight w:val="none"/>
                      <w:lang w:eastAsia="zh-CN"/>
                    </w:rPr>
                    <w:t>3</w:t>
                  </w:r>
                  <w:r>
                    <w:rPr>
                      <w:rFonts w:hint="eastAsia" w:ascii="Times New Roman" w:hAnsi="Times New Roman"/>
                      <w:color w:val="auto"/>
                      <w:sz w:val="15"/>
                      <w:szCs w:val="15"/>
                      <w:highlight w:val="none"/>
                      <w:lang w:val="en-US" w:eastAsia="zh-CN"/>
                    </w:rPr>
                    <w:t>0</w:t>
                  </w:r>
                  <w:r>
                    <w:rPr>
                      <w:rFonts w:hint="eastAsia" w:ascii="Times New Roman" w:hAnsi="Times New Roman"/>
                      <w:color w:val="auto"/>
                      <w:sz w:val="15"/>
                      <w:szCs w:val="15"/>
                      <w:highlight w:val="none"/>
                      <w:lang w:eastAsia="zh-CN"/>
                    </w:rPr>
                    <w:t>.09</w:t>
                  </w:r>
                </w:p>
              </w:tc>
              <w:tc>
                <w:tcPr>
                  <w:tcW w:w="581"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highlight w:val="none"/>
                    </w:rPr>
                  </w:pPr>
                  <w:r>
                    <w:rPr>
                      <w:rFonts w:hint="eastAsia" w:ascii="Times New Roman" w:hAnsi="Times New Roman"/>
                      <w:color w:val="auto"/>
                      <w:sz w:val="15"/>
                      <w:szCs w:val="15"/>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2</w:t>
                  </w:r>
                </w:p>
              </w:tc>
              <w:tc>
                <w:tcPr>
                  <w:tcW w:w="66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车辆冲洗用水</w:t>
                  </w:r>
                </w:p>
              </w:tc>
              <w:tc>
                <w:tcPr>
                  <w:tcW w:w="48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0.96</w:t>
                  </w:r>
                </w:p>
              </w:tc>
              <w:tc>
                <w:tcPr>
                  <w:tcW w:w="51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c>
                <w:tcPr>
                  <w:tcW w:w="63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eastAsia="zh-CN"/>
                    </w:rPr>
                  </w:pPr>
                  <w:r>
                    <w:rPr>
                      <w:rFonts w:hint="eastAsia" w:ascii="Times New Roman" w:hAnsi="Times New Roman"/>
                      <w:color w:val="auto"/>
                      <w:sz w:val="15"/>
                      <w:szCs w:val="15"/>
                      <w:lang w:val="en-US" w:eastAsia="zh-CN"/>
                    </w:rPr>
                    <w:t>0</w:t>
                  </w:r>
                </w:p>
              </w:tc>
              <w:tc>
                <w:tcPr>
                  <w:tcW w:w="424"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0</w:t>
                  </w:r>
                </w:p>
              </w:tc>
              <w:tc>
                <w:tcPr>
                  <w:tcW w:w="87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0</w:t>
                  </w:r>
                </w:p>
              </w:tc>
              <w:tc>
                <w:tcPr>
                  <w:tcW w:w="59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0.96</w:t>
                  </w:r>
                </w:p>
              </w:tc>
              <w:tc>
                <w:tcPr>
                  <w:tcW w:w="581"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3</w:t>
                  </w:r>
                </w:p>
              </w:tc>
              <w:tc>
                <w:tcPr>
                  <w:tcW w:w="66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道路抑尘用水</w:t>
                  </w:r>
                </w:p>
              </w:tc>
              <w:tc>
                <w:tcPr>
                  <w:tcW w:w="48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1.8</w:t>
                  </w:r>
                </w:p>
              </w:tc>
              <w:tc>
                <w:tcPr>
                  <w:tcW w:w="51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c>
                <w:tcPr>
                  <w:tcW w:w="63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c>
                <w:tcPr>
                  <w:tcW w:w="424"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0</w:t>
                  </w:r>
                </w:p>
              </w:tc>
              <w:tc>
                <w:tcPr>
                  <w:tcW w:w="87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c>
                <w:tcPr>
                  <w:tcW w:w="59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1.8</w:t>
                  </w:r>
                </w:p>
              </w:tc>
              <w:tc>
                <w:tcPr>
                  <w:tcW w:w="581"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4</w:t>
                  </w:r>
                </w:p>
              </w:tc>
              <w:tc>
                <w:tcPr>
                  <w:tcW w:w="66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生活用水</w:t>
                  </w:r>
                </w:p>
              </w:tc>
              <w:tc>
                <w:tcPr>
                  <w:tcW w:w="48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0.4</w:t>
                  </w:r>
                </w:p>
              </w:tc>
              <w:tc>
                <w:tcPr>
                  <w:tcW w:w="51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c>
                <w:tcPr>
                  <w:tcW w:w="63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c>
                <w:tcPr>
                  <w:tcW w:w="424"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0</w:t>
                  </w:r>
                </w:p>
              </w:tc>
              <w:tc>
                <w:tcPr>
                  <w:tcW w:w="87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w:t>
                  </w:r>
                </w:p>
              </w:tc>
              <w:tc>
                <w:tcPr>
                  <w:tcW w:w="59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0.04</w:t>
                  </w:r>
                </w:p>
              </w:tc>
              <w:tc>
                <w:tcPr>
                  <w:tcW w:w="581"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5</w:t>
                  </w:r>
                </w:p>
              </w:tc>
              <w:tc>
                <w:tcPr>
                  <w:tcW w:w="66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初期雨水</w:t>
                  </w:r>
                </w:p>
              </w:tc>
              <w:tc>
                <w:tcPr>
                  <w:tcW w:w="48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eastAsia="zh-CN"/>
                    </w:rPr>
                  </w:pPr>
                  <w:r>
                    <w:rPr>
                      <w:rFonts w:hint="eastAsia" w:ascii="Times New Roman" w:hAnsi="Times New Roman"/>
                      <w:color w:val="auto"/>
                      <w:sz w:val="15"/>
                      <w:szCs w:val="15"/>
                      <w:lang w:val="en-US" w:eastAsia="zh-CN"/>
                    </w:rPr>
                    <w:t>4</w:t>
                  </w:r>
                </w:p>
              </w:tc>
              <w:tc>
                <w:tcPr>
                  <w:tcW w:w="51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0</w:t>
                  </w:r>
                </w:p>
              </w:tc>
              <w:tc>
                <w:tcPr>
                  <w:tcW w:w="63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0</w:t>
                  </w:r>
                </w:p>
              </w:tc>
              <w:tc>
                <w:tcPr>
                  <w:tcW w:w="424"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0</w:t>
                  </w:r>
                </w:p>
              </w:tc>
              <w:tc>
                <w:tcPr>
                  <w:tcW w:w="870"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0</w:t>
                  </w:r>
                </w:p>
              </w:tc>
              <w:tc>
                <w:tcPr>
                  <w:tcW w:w="59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eastAsia="zh-CN"/>
                    </w:rPr>
                  </w:pPr>
                  <w:r>
                    <w:rPr>
                      <w:rFonts w:hint="eastAsia" w:ascii="Times New Roman" w:hAnsi="Times New Roman"/>
                      <w:color w:val="auto"/>
                      <w:sz w:val="15"/>
                      <w:szCs w:val="15"/>
                      <w:lang w:val="en-US" w:eastAsia="zh-CN"/>
                    </w:rPr>
                    <w:t>4</w:t>
                  </w:r>
                </w:p>
              </w:tc>
              <w:tc>
                <w:tcPr>
                  <w:tcW w:w="581"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eastAsia="宋体"/>
                      <w:color w:val="auto"/>
                      <w:sz w:val="15"/>
                      <w:szCs w:val="15"/>
                      <w:lang w:val="en-US" w:eastAsia="zh-CN"/>
                    </w:rPr>
                    <w:t>6</w:t>
                  </w:r>
                </w:p>
              </w:tc>
              <w:tc>
                <w:tcPr>
                  <w:tcW w:w="665"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合计</w:t>
                  </w:r>
                </w:p>
              </w:tc>
              <w:tc>
                <w:tcPr>
                  <w:tcW w:w="992" w:type="pct"/>
                  <w:gridSpan w:val="2"/>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eastAsia="宋体"/>
                      <w:color w:val="auto"/>
                      <w:sz w:val="15"/>
                      <w:szCs w:val="15"/>
                      <w:lang w:val="en-US" w:eastAsia="zh-CN"/>
                    </w:rPr>
                    <w:t>105.19</w:t>
                  </w:r>
                </w:p>
              </w:tc>
              <w:tc>
                <w:tcPr>
                  <w:tcW w:w="632"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color w:val="auto"/>
                      <w:sz w:val="15"/>
                      <w:szCs w:val="15"/>
                      <w:highlight w:val="none"/>
                      <w:lang w:val="en-US" w:eastAsia="zh-CN"/>
                    </w:rPr>
                    <w:t>59.08</w:t>
                  </w:r>
                </w:p>
              </w:tc>
              <w:tc>
                <w:tcPr>
                  <w:tcW w:w="424"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lang w:val="en-US" w:eastAsia="zh-CN"/>
                    </w:rPr>
                  </w:pPr>
                  <w:r>
                    <w:rPr>
                      <w:rFonts w:hint="eastAsia" w:ascii="Times New Roman" w:hAnsi="Times New Roman"/>
                      <w:color w:val="auto"/>
                      <w:sz w:val="15"/>
                      <w:szCs w:val="15"/>
                      <w:lang w:val="en-US" w:eastAsia="zh-CN"/>
                    </w:rPr>
                    <w:t>56.36</w:t>
                  </w:r>
                </w:p>
              </w:tc>
              <w:tc>
                <w:tcPr>
                  <w:tcW w:w="1465" w:type="pct"/>
                  <w:gridSpan w:val="2"/>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eastAsia="宋体"/>
                      <w:color w:val="auto"/>
                      <w:sz w:val="15"/>
                      <w:szCs w:val="15"/>
                      <w:lang w:val="en-US" w:eastAsia="zh-CN"/>
                    </w:rPr>
                    <w:t>104.83</w:t>
                  </w:r>
                </w:p>
              </w:tc>
              <w:tc>
                <w:tcPr>
                  <w:tcW w:w="581" w:type="pc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15"/>
                      <w:szCs w:val="15"/>
                      <w:lang w:val="en-US" w:eastAsia="zh-CN"/>
                    </w:rPr>
                  </w:pPr>
                  <w:r>
                    <w:rPr>
                      <w:rFonts w:hint="eastAsia" w:ascii="Times New Roman" w:hAnsi="Times New Roman"/>
                      <w:color w:val="auto"/>
                      <w:sz w:val="15"/>
                      <w:szCs w:val="15"/>
                      <w:lang w:val="en-US" w:eastAsia="zh-CN"/>
                    </w:rPr>
                    <w:t>0.36</w:t>
                  </w:r>
                </w:p>
              </w:tc>
            </w:tr>
          </w:tbl>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项目运营期水平衡见图2.3-1：</w:t>
            </w:r>
          </w:p>
          <w:p>
            <w:pPr>
              <w:pStyle w:val="72"/>
              <w:keepNext w:val="0"/>
              <w:keepLines w:val="0"/>
              <w:suppressLineNumbers w:val="0"/>
              <w:spacing w:before="0" w:beforeAutospacing="0" w:after="0" w:afterAutospacing="0"/>
              <w:ind w:left="0" w:right="0" w:firstLine="0" w:firstLineChars="0"/>
              <w:jc w:val="center"/>
              <w:rPr>
                <w:rFonts w:hint="eastAsia" w:eastAsia="宋体"/>
                <w:snapToGrid w:val="0"/>
                <w:lang w:eastAsia="zh-CN"/>
              </w:rPr>
            </w:pPr>
            <w:r>
              <w:rPr>
                <w:rFonts w:hint="eastAsia" w:eastAsia="宋体"/>
                <w:snapToGrid w:val="0"/>
                <w:lang w:eastAsia="zh-CN"/>
              </w:rPr>
              <w:drawing>
                <wp:inline distT="0" distB="0" distL="114300" distR="114300">
                  <wp:extent cx="5129530" cy="5688330"/>
                  <wp:effectExtent l="0" t="0" r="13970" b="7620"/>
                  <wp:docPr id="109" name="图片 109" descr="水平衡图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水平衡图6.3"/>
                          <pic:cNvPicPr>
                            <a:picLocks noChangeAspect="1"/>
                          </pic:cNvPicPr>
                        </pic:nvPicPr>
                        <pic:blipFill>
                          <a:blip r:embed="rId11"/>
                          <a:srcRect l="11744" t="18514" r="9404" b="19703"/>
                          <a:stretch>
                            <a:fillRect/>
                          </a:stretch>
                        </pic:blipFill>
                        <pic:spPr>
                          <a:xfrm>
                            <a:off x="0" y="0"/>
                            <a:ext cx="5129530" cy="5688330"/>
                          </a:xfrm>
                          <a:prstGeom prst="rect">
                            <a:avLst/>
                          </a:prstGeom>
                        </pic:spPr>
                      </pic:pic>
                    </a:graphicData>
                  </a:graphic>
                </wp:inline>
              </w:drawing>
            </w:r>
          </w:p>
          <w:p>
            <w:pPr>
              <w:pStyle w:val="2"/>
              <w:keepNext w:val="0"/>
              <w:keepLines w:val="0"/>
              <w:suppressLineNumbers w:val="0"/>
              <w:spacing w:before="0" w:beforeAutospacing="0" w:after="0" w:afterAutospacing="0"/>
              <w:ind w:right="0" w:firstLine="0" w:firstLineChars="0"/>
              <w:jc w:val="center"/>
              <w:rPr>
                <w:rFonts w:hint="default"/>
              </w:rPr>
            </w:pPr>
            <w:r>
              <w:rPr>
                <w:rFonts w:hint="default"/>
              </w:rPr>
              <w:t>图2.3-1项目水平衡示意图（单位</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w:t>
            </w:r>
            <w:r>
              <w:rPr>
                <w:rFonts w:hint="eastAsia" w:ascii="Times New Roman" w:hAnsi="Times New Roman"/>
              </w:rPr>
              <w:t>d</w:t>
            </w:r>
            <w:r>
              <w:rPr>
                <w:rFonts w:hint="default"/>
              </w:rPr>
              <w:t>）</w:t>
            </w:r>
          </w:p>
          <w:p>
            <w:pPr>
              <w:keepNext w:val="0"/>
              <w:keepLines w:val="0"/>
              <w:suppressLineNumbers w:val="0"/>
              <w:spacing w:before="0" w:beforeAutospacing="0" w:after="0" w:afterAutospacing="0" w:line="400" w:lineRule="exact"/>
              <w:ind w:left="0" w:right="0"/>
              <w:rPr>
                <w:rFonts w:hint="default" w:ascii="Times New Roman" w:hAnsi="Times New Roman" w:eastAsia="黑体"/>
                <w:b/>
                <w:bCs/>
              </w:rPr>
            </w:pPr>
            <w:r>
              <w:rPr>
                <w:rFonts w:hint="default" w:ascii="Times New Roman" w:hAnsi="Times New Roman" w:eastAsia="黑体"/>
                <w:b/>
                <w:bCs/>
              </w:rPr>
              <w:t>2.3.</w:t>
            </w:r>
            <w:r>
              <w:rPr>
                <w:rFonts w:hint="eastAsia" w:ascii="Times New Roman" w:hAnsi="Times New Roman" w:eastAsia="黑体"/>
                <w:b/>
                <w:bCs/>
              </w:rPr>
              <w:t>8</w:t>
            </w:r>
            <w:r>
              <w:rPr>
                <w:rFonts w:hint="default" w:ascii="Times New Roman" w:hAnsi="Times New Roman" w:eastAsia="黑体"/>
                <w:b/>
                <w:bCs/>
              </w:rPr>
              <w:t>平面布局合理性</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本项目位于大田县前坪乡下地村石克盂</w:t>
            </w:r>
            <w:r>
              <w:rPr>
                <w:rFonts w:hint="default" w:ascii="Times New Roman" w:hAnsi="Times New Roman"/>
                <w:spacing w:val="1"/>
              </w:rPr>
              <w:t>，厂内主要为生产区，厂区从北侧往南侧</w:t>
            </w:r>
            <w:r>
              <w:rPr>
                <w:rFonts w:hint="default" w:ascii="Times New Roman" w:hAnsi="Times New Roman"/>
              </w:rPr>
              <w:t>依次为</w:t>
            </w:r>
            <w:r>
              <w:rPr>
                <w:rFonts w:hint="eastAsia" w:ascii="Times New Roman" w:hAnsi="Times New Roman"/>
              </w:rPr>
              <w:t>原料堆场</w:t>
            </w:r>
            <w:r>
              <w:rPr>
                <w:rFonts w:hint="default" w:ascii="Times New Roman" w:hAnsi="Times New Roman"/>
              </w:rPr>
              <w:t>、石料加工区、</w:t>
            </w:r>
            <w:r>
              <w:rPr>
                <w:rFonts w:hint="eastAsia" w:ascii="Times New Roman" w:hAnsi="Times New Roman"/>
              </w:rPr>
              <w:t>成品堆场</w:t>
            </w:r>
            <w:r>
              <w:rPr>
                <w:rFonts w:hint="default" w:ascii="Times New Roman" w:hAnsi="Times New Roman"/>
              </w:rPr>
              <w:t>，按生产工艺流程布局，且地势由北高至南低，有利于物料转移；废水处理区及危废储存间均位于项目东南侧</w:t>
            </w:r>
            <w:r>
              <w:rPr>
                <w:rFonts w:hint="eastAsia" w:ascii="Times New Roman" w:hAnsi="Times New Roman"/>
              </w:rPr>
              <w:t>地势较低处</w:t>
            </w:r>
            <w:r>
              <w:rPr>
                <w:rFonts w:hint="default" w:ascii="Times New Roman" w:hAnsi="Times New Roman"/>
              </w:rPr>
              <w:t>，</w:t>
            </w:r>
            <w:r>
              <w:rPr>
                <w:rFonts w:hint="eastAsia" w:ascii="Times New Roman" w:hAnsi="Times New Roman"/>
              </w:rPr>
              <w:t>有利于废水收集</w:t>
            </w:r>
            <w:r>
              <w:rPr>
                <w:rFonts w:hint="default" w:ascii="Times New Roman" w:hAnsi="Times New Roma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厂区平面布局考虑了厂区地形地势和工艺流程特点，有利于物料按工艺流程输送，达到节能、降耗的目的；生产区域远离</w:t>
            </w:r>
            <w:r>
              <w:rPr>
                <w:rFonts w:hint="eastAsia" w:ascii="Times New Roman" w:hAnsi="Times New Roman"/>
              </w:rPr>
              <w:t>下地村</w:t>
            </w:r>
            <w:r>
              <w:rPr>
                <w:rFonts w:hint="default" w:ascii="Times New Roman" w:hAnsi="Times New Roman"/>
              </w:rPr>
              <w:t>，且与</w:t>
            </w:r>
            <w:r>
              <w:rPr>
                <w:rFonts w:hint="eastAsia" w:ascii="Times New Roman" w:hAnsi="Times New Roman"/>
              </w:rPr>
              <w:t>下地村</w:t>
            </w:r>
            <w:r>
              <w:rPr>
                <w:rFonts w:hint="default" w:ascii="Times New Roman" w:hAnsi="Times New Roman"/>
              </w:rPr>
              <w:t>之间有山体阻隔，对</w:t>
            </w:r>
            <w:r>
              <w:rPr>
                <w:rFonts w:hint="eastAsia" w:ascii="Times New Roman" w:hAnsi="Times New Roman"/>
              </w:rPr>
              <w:t>下地村</w:t>
            </w:r>
            <w:r>
              <w:rPr>
                <w:rFonts w:hint="default" w:ascii="Times New Roman" w:hAnsi="Times New Roman"/>
              </w:rPr>
              <w:t>影响不大。本项目厂区布局功能分区明确，布局合理。</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p>
          <w:p>
            <w:pPr>
              <w:pStyle w:val="7"/>
              <w:suppressLineNumbers w:val="0"/>
              <w:spacing w:before="96" w:beforeLines="40" w:beforeAutospacing="0" w:after="96" w:afterLines="40" w:afterAutospacing="0" w:line="440" w:lineRule="exact"/>
              <w:ind w:left="0" w:right="0"/>
              <w:rPr>
                <w:rFonts w:hint="default" w:ascii="Times New Roman" w:hAnsi="Times New Roman"/>
                <w:b w:val="0"/>
                <w:bCs/>
              </w:rPr>
            </w:pPr>
            <w:r>
              <w:rPr>
                <w:rFonts w:hint="default" w:ascii="Times New Roman" w:hAnsi="Times New Roman"/>
                <w:sz w:val="28"/>
                <w:szCs w:val="28"/>
              </w:rPr>
              <w:t>2.4工艺流程和产排污环节</w:t>
            </w:r>
          </w:p>
          <w:p>
            <w:pPr>
              <w:keepNext w:val="0"/>
              <w:keepLines w:val="0"/>
              <w:suppressLineNumbers w:val="0"/>
              <w:spacing w:before="96" w:beforeLines="40" w:beforeAutospacing="0" w:after="0" w:afterAutospacing="0"/>
              <w:ind w:left="0" w:right="0"/>
              <w:rPr>
                <w:rFonts w:hint="default" w:ascii="Times New Roman" w:hAnsi="Times New Roman" w:eastAsia="黑体"/>
                <w:b/>
                <w:bCs/>
              </w:rPr>
            </w:pPr>
            <w:r>
              <w:rPr>
                <w:rFonts w:hint="default" w:ascii="Times New Roman" w:hAnsi="Times New Roman" w:eastAsia="黑体"/>
                <w:b/>
                <w:bCs/>
              </w:rPr>
              <w:t>2.4.1工艺流程</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项目工艺流程如下图：</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lang w:eastAsia="zh-CN"/>
              </w:rPr>
            </w:pPr>
          </w:p>
          <w:p>
            <w:pPr>
              <w:pStyle w:val="3"/>
              <w:rPr>
                <w:rFonts w:hint="eastAsia" w:eastAsia="宋体"/>
                <w:lang w:eastAsia="zh-CN"/>
              </w:rPr>
            </w:pPr>
          </w:p>
          <w:p>
            <w:pPr>
              <w:rPr>
                <w:rFonts w:hint="eastAsia" w:eastAsia="宋体"/>
                <w:lang w:eastAsia="zh-CN"/>
              </w:rPr>
            </w:pPr>
          </w:p>
          <w:p>
            <w:pPr>
              <w:pStyle w:val="2"/>
              <w:rPr>
                <w:rFonts w:hint="eastAsia" w:eastAsia="宋体"/>
                <w:lang w:eastAsia="zh-CN"/>
              </w:rPr>
            </w:pPr>
          </w:p>
          <w:p>
            <w:pPr>
              <w:pStyle w:val="3"/>
              <w:rPr>
                <w:rFonts w:hint="eastAsia" w:eastAsia="宋体"/>
                <w:lang w:eastAsia="zh-CN"/>
              </w:rPr>
            </w:pPr>
          </w:p>
          <w:p>
            <w:pPr>
              <w:rPr>
                <w:rFonts w:hint="eastAsia" w:eastAsia="宋体"/>
                <w:lang w:eastAsia="zh-CN"/>
              </w:rPr>
            </w:pPr>
          </w:p>
          <w:p>
            <w:pPr>
              <w:pStyle w:val="2"/>
              <w:rPr>
                <w:rFonts w:hint="eastAsia" w:eastAsia="宋体"/>
                <w:lang w:eastAsia="zh-CN"/>
              </w:rPr>
            </w:pPr>
          </w:p>
          <w:p>
            <w:pPr>
              <w:pStyle w:val="3"/>
              <w:rPr>
                <w:rFonts w:hint="eastAsia" w:eastAsia="宋体"/>
                <w:lang w:eastAsia="zh-CN"/>
              </w:rPr>
            </w:pPr>
          </w:p>
          <w:p>
            <w:pPr>
              <w:rPr>
                <w:rFonts w:hint="eastAsia" w:eastAsia="宋体"/>
                <w:lang w:eastAsia="zh-CN"/>
              </w:rPr>
            </w:pPr>
          </w:p>
          <w:p>
            <w:pPr>
              <w:pStyle w:val="2"/>
              <w:rPr>
                <w:rFonts w:hint="eastAsia" w:eastAsia="宋体"/>
                <w:lang w:eastAsia="zh-CN"/>
              </w:rPr>
            </w:pPr>
          </w:p>
          <w:p>
            <w:pPr>
              <w:pStyle w:val="3"/>
              <w:rPr>
                <w:rFonts w:hint="eastAsia" w:eastAsia="宋体"/>
                <w:lang w:eastAsia="zh-CN"/>
              </w:rPr>
            </w:pPr>
          </w:p>
          <w:p>
            <w:pPr>
              <w:rPr>
                <w:rFonts w:hint="eastAsia" w:eastAsia="宋体"/>
                <w:lang w:eastAsia="zh-CN"/>
              </w:rPr>
            </w:pPr>
          </w:p>
          <w:p>
            <w:pPr>
              <w:pStyle w:val="2"/>
              <w:rPr>
                <w:rFonts w:hint="eastAsia" w:eastAsia="宋体"/>
                <w:lang w:eastAsia="zh-CN"/>
              </w:rPr>
            </w:pPr>
          </w:p>
          <w:p>
            <w:pPr>
              <w:pStyle w:val="3"/>
              <w:rPr>
                <w:rFonts w:hint="eastAsia"/>
                <w:lang w:eastAsia="zh-CN"/>
              </w:rPr>
            </w:pPr>
          </w:p>
          <w:p>
            <w:pPr>
              <w:rPr>
                <w:rFonts w:hint="eastAsia" w:eastAsia="宋体"/>
                <w:lang w:eastAsia="zh-CN"/>
              </w:rPr>
            </w:pPr>
          </w:p>
          <w:p>
            <w:pPr>
              <w:pStyle w:val="2"/>
              <w:rPr>
                <w:rFonts w:hint="eastAsia" w:eastAsia="宋体"/>
                <w:lang w:eastAsia="zh-CN"/>
              </w:rPr>
            </w:pPr>
          </w:p>
          <w:p>
            <w:pPr>
              <w:pStyle w:val="3"/>
              <w:rPr>
                <w:rFonts w:hint="eastAsia" w:eastAsia="宋体"/>
                <w:lang w:eastAsia="zh-CN"/>
              </w:rPr>
            </w:pPr>
          </w:p>
          <w:p>
            <w:pPr>
              <w:rPr>
                <w:rFonts w:hint="eastAsia"/>
                <w:lang w:eastAsia="zh-CN"/>
              </w:rPr>
            </w:pPr>
          </w:p>
          <w:p>
            <w:pPr>
              <w:pStyle w:val="22"/>
              <w:keepNext/>
              <w:keepLines w:val="0"/>
              <w:suppressLineNumbers w:val="0"/>
              <w:adjustRightInd w:val="0"/>
              <w:snapToGrid w:val="0"/>
              <w:spacing w:before="120" w:beforeLines="50" w:beforeAutospacing="0" w:after="0" w:afterAutospacing="0" w:line="240" w:lineRule="auto"/>
              <w:ind w:left="0" w:right="0"/>
              <w:outlineLvl w:val="9"/>
              <w:rPr>
                <w:rFonts w:hint="default" w:ascii="Times New Roman" w:hAnsi="Times New Roman"/>
              </w:rPr>
            </w:pPr>
            <w:r>
              <w:rPr>
                <w:rFonts w:hint="default" w:ascii="Times New Roman" w:hAnsi="Times New Roman" w:eastAsia="黑体"/>
                <w:bCs w:val="0"/>
                <w:sz w:val="21"/>
                <w:szCs w:val="21"/>
              </w:rPr>
              <w:t>图2.4-1项目工艺流程示意图</w:t>
            </w:r>
          </w:p>
          <w:p>
            <w:pPr>
              <w:keepNext w:val="0"/>
              <w:keepLines w:val="0"/>
              <w:suppressLineNumbers w:val="0"/>
              <w:spacing w:before="0" w:beforeAutospacing="0" w:after="0" w:afterAutospacing="0" w:line="440" w:lineRule="exact"/>
              <w:ind w:left="0" w:right="0"/>
              <w:rPr>
                <w:rFonts w:hint="default" w:ascii="Times New Roman" w:hAnsi="Times New Roman"/>
              </w:rPr>
            </w:pPr>
            <w:r>
              <w:rPr>
                <w:rFonts w:hint="default" w:ascii="Times New Roman" w:hAnsi="Times New Roman"/>
              </w:rPr>
              <w:t>工艺流程说明：</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①原料堆存</w:t>
            </w:r>
            <w:r>
              <w:rPr>
                <w:rFonts w:hint="default"/>
              </w:rPr>
              <w:t>：</w:t>
            </w:r>
            <w:r>
              <w:rPr>
                <w:rFonts w:hint="eastAsia"/>
              </w:rPr>
              <w:t>购置的矿渣石料通过运输车送入原料堆场；</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产污：原料运输产生运输扬尘G1；</w:t>
            </w:r>
            <w:r>
              <w:rPr>
                <w:rFonts w:hint="default"/>
              </w:rPr>
              <w:t>原料</w:t>
            </w:r>
            <w:r>
              <w:rPr>
                <w:rFonts w:hint="eastAsia"/>
              </w:rPr>
              <w:t>卸料</w:t>
            </w:r>
            <w:r>
              <w:rPr>
                <w:rFonts w:hint="default"/>
              </w:rPr>
              <w:t>产生</w:t>
            </w:r>
            <w:r>
              <w:rPr>
                <w:rFonts w:hint="eastAsia"/>
              </w:rPr>
              <w:t>卸料</w:t>
            </w:r>
            <w:r>
              <w:rPr>
                <w:rFonts w:hint="default"/>
              </w:rPr>
              <w:t>粉尘G</w:t>
            </w:r>
            <w:r>
              <w:rPr>
                <w:rFonts w:hint="eastAsia"/>
              </w:rPr>
              <w:t>2</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措施：卸料过程使用</w:t>
            </w:r>
            <w:r>
              <w:rPr>
                <w:rFonts w:hint="default"/>
              </w:rPr>
              <w:t>洒水抑尘</w:t>
            </w:r>
            <w:r>
              <w:rPr>
                <w:rFonts w:hint="eastAsia"/>
              </w:rPr>
              <w:t>；</w:t>
            </w:r>
            <w:r>
              <w:rPr>
                <w:rFonts w:hint="default"/>
              </w:rPr>
              <w:t>原料堆场设置喷头喷雾降尘，基本不产生堆放扬尘</w:t>
            </w:r>
          </w:p>
          <w:p>
            <w:pPr>
              <w:keepNext w:val="0"/>
              <w:keepLines w:val="0"/>
              <w:suppressLineNumbers w:val="0"/>
              <w:spacing w:before="0" w:beforeAutospacing="0" w:after="0" w:afterAutospacing="0" w:line="440" w:lineRule="exact"/>
              <w:ind w:left="0" w:right="0" w:firstLine="480" w:firstLineChars="200"/>
              <w:rPr>
                <w:rFonts w:hint="eastAsia" w:eastAsia="宋体"/>
                <w:lang w:eastAsia="zh-CN"/>
              </w:rPr>
            </w:pPr>
            <w:r>
              <w:rPr>
                <w:rFonts w:hint="eastAsia"/>
              </w:rPr>
              <w:t>②破碎、</w:t>
            </w:r>
            <w:r>
              <w:rPr>
                <w:rFonts w:hint="default"/>
              </w:rPr>
              <w:t>筛分</w:t>
            </w:r>
            <w:r>
              <w:rPr>
                <w:rFonts w:hint="eastAsia"/>
              </w:rPr>
              <w:t>、整形</w:t>
            </w:r>
            <w:r>
              <w:rPr>
                <w:rFonts w:hint="default"/>
              </w:rPr>
              <w:t>：</w:t>
            </w:r>
            <w:r>
              <w:rPr>
                <w:rFonts w:hint="eastAsia"/>
              </w:rPr>
              <w:t>原料堆场中的矿渣石料通过铲车运输至69破碎机破碎后，送入圆锥破碎机进行破碎</w:t>
            </w:r>
            <w:r>
              <w:rPr>
                <w:rFonts w:hint="eastAsia"/>
                <w:color w:val="auto"/>
              </w:rPr>
              <w:t>，</w:t>
            </w:r>
            <w:r>
              <w:rPr>
                <w:rFonts w:hint="eastAsia"/>
                <w:color w:val="auto"/>
                <w:lang w:val="en-US" w:eastAsia="zh-CN"/>
              </w:rPr>
              <w:t>矿渣石料</w:t>
            </w:r>
            <w:r>
              <w:rPr>
                <w:rFonts w:hint="default"/>
                <w:color w:val="auto"/>
              </w:rPr>
              <w:t>经圆锥破</w:t>
            </w:r>
            <w:r>
              <w:rPr>
                <w:rFonts w:hint="default"/>
              </w:rPr>
              <w:t>碎进入振动一筛，</w:t>
            </w:r>
            <w:r>
              <w:rPr>
                <w:rFonts w:hint="default" w:ascii="Times New Roman" w:hAnsi="Times New Roman"/>
              </w:rPr>
              <w:t>由于物料的重量、形状各不相同，大块物料（粒径</w:t>
            </w:r>
            <w:r>
              <w:rPr>
                <w:rFonts w:hint="eastAsia" w:ascii="Times New Roman" w:hAnsi="Times New Roman"/>
              </w:rPr>
              <w:t>＞</w:t>
            </w:r>
            <w:r>
              <w:rPr>
                <w:rFonts w:hint="default" w:ascii="Times New Roman" w:hAnsi="Times New Roman"/>
              </w:rPr>
              <w:t>3cm）和小块物料（粒径0-3cm）受到振动后会被精确分离</w:t>
            </w:r>
            <w:r>
              <w:rPr>
                <w:rFonts w:hint="eastAsia" w:ascii="Times New Roman" w:hAnsi="Times New Roman"/>
              </w:rPr>
              <w:t>。大块物料经皮带输送，重新回到圆锥破碎机破碎。小块物料</w:t>
            </w:r>
            <w:r>
              <w:rPr>
                <w:rFonts w:hint="default"/>
              </w:rPr>
              <w:t>进入整形机，</w:t>
            </w:r>
            <w:r>
              <w:rPr>
                <w:rFonts w:hint="eastAsia"/>
              </w:rPr>
              <w:t>物料</w:t>
            </w:r>
            <w:r>
              <w:rPr>
                <w:rFonts w:hint="default"/>
              </w:rPr>
              <w:t>在整形机内通过离心力在叶轮和机壳之间多次撞击、碰撞、粉碎，接着从下部的排料口排出，进入振动二筛，筛选出适合大小的粒径</w:t>
            </w:r>
            <w:r>
              <w:rPr>
                <w:rFonts w:hint="eastAsia"/>
              </w:rPr>
              <w:t>。振动二筛筛选出的较小砂石</w:t>
            </w:r>
            <w:r>
              <w:rPr>
                <w:rFonts w:hint="default"/>
              </w:rPr>
              <w:t>颗粒</w:t>
            </w:r>
            <w:r>
              <w:rPr>
                <w:rFonts w:hint="eastAsia"/>
              </w:rPr>
              <w:t>（0-0.5cm）</w:t>
            </w:r>
            <w:r>
              <w:rPr>
                <w:rFonts w:hint="default"/>
              </w:rPr>
              <w:t>进入</w:t>
            </w:r>
            <w:r>
              <w:rPr>
                <w:rFonts w:hint="eastAsia"/>
              </w:rPr>
              <w:t>对辊式制砂机，</w:t>
            </w:r>
            <w:r>
              <w:rPr>
                <w:rFonts w:hint="default"/>
              </w:rPr>
              <w:t>较大</w:t>
            </w:r>
            <w:r>
              <w:rPr>
                <w:rFonts w:hint="eastAsia"/>
              </w:rPr>
              <w:t>碎石</w:t>
            </w:r>
            <w:r>
              <w:rPr>
                <w:rFonts w:hint="default"/>
              </w:rPr>
              <w:t>颗粒（</w:t>
            </w:r>
            <w:r>
              <w:rPr>
                <w:rFonts w:hint="eastAsia"/>
              </w:rPr>
              <w:t>0.5cm-1cm、</w:t>
            </w:r>
            <w:r>
              <w:rPr>
                <w:rFonts w:hint="default"/>
              </w:rPr>
              <w:t>1-2cm、2-3cm）进入相应</w:t>
            </w:r>
            <w:r>
              <w:rPr>
                <w:rFonts w:hint="eastAsia"/>
              </w:rPr>
              <w:t>成品堆场</w:t>
            </w:r>
            <w:r>
              <w:rPr>
                <w:rFonts w:hint="default"/>
              </w:rPr>
              <w:t>，</w:t>
            </w:r>
            <w:r>
              <w:rPr>
                <w:rFonts w:hint="eastAsia"/>
              </w:rPr>
              <w:t>其中碎石</w:t>
            </w:r>
            <w:r>
              <w:rPr>
                <w:rFonts w:hint="default"/>
              </w:rPr>
              <w:t>颗粒（</w:t>
            </w:r>
            <w:r>
              <w:rPr>
                <w:rFonts w:hint="eastAsia"/>
              </w:rPr>
              <w:t>0.5-1</w:t>
            </w:r>
            <w:r>
              <w:rPr>
                <w:rFonts w:hint="default"/>
              </w:rPr>
              <w:t>cm）经锤破机破碎后重新进入振动筛</w:t>
            </w:r>
            <w:r>
              <w:rPr>
                <w:rFonts w:hint="eastAsia"/>
                <w:lang w:eastAsia="zh-CN"/>
              </w:rPr>
              <w:t>（</w:t>
            </w:r>
            <w:r>
              <w:rPr>
                <w:rFonts w:hint="eastAsia"/>
              </w:rPr>
              <w:t>二筛</w:t>
            </w:r>
            <w:r>
              <w:rPr>
                <w:rFonts w:hint="eastAsia"/>
                <w:lang w:eastAsia="zh-CN"/>
              </w:rPr>
              <w:t>）</w:t>
            </w:r>
            <w:r>
              <w:rPr>
                <w:rFonts w:hint="eastAsia"/>
                <w:lang w:val="en-US" w:eastAsia="zh-CN"/>
              </w:rPr>
              <w:t>再次</w:t>
            </w:r>
            <w:r>
              <w:rPr>
                <w:rFonts w:hint="default"/>
              </w:rPr>
              <w:t>筛选</w:t>
            </w:r>
            <w:r>
              <w:rPr>
                <w:rFonts w:hint="eastAsia"/>
                <w:lang w:eastAsia="zh-CN"/>
              </w:rPr>
              <w:t>。</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产污：69破、圆锥破、锤破产生破碎粉尘G3、G4、G8；振动一筛、振动二筛产生粉尘G5、G7；整形机产生整形粉尘G6；设备运行产生噪声。</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措施：</w:t>
            </w:r>
            <w:r>
              <w:rPr>
                <w:rFonts w:hint="default" w:ascii="Times New Roman" w:hAnsi="Times New Roman"/>
              </w:rPr>
              <w:t>破碎、筛分粉尘采取</w:t>
            </w:r>
            <w:r>
              <w:rPr>
                <w:rFonts w:hint="eastAsia" w:ascii="Times New Roman" w:hAnsi="Times New Roman"/>
              </w:rPr>
              <w:t>“围挡+水喷淋”</w:t>
            </w:r>
            <w:r>
              <w:rPr>
                <w:rFonts w:hint="default" w:ascii="Times New Roman" w:hAnsi="Times New Roman"/>
              </w:rPr>
              <w:t>措施抑尘，在破碎机</w:t>
            </w:r>
            <w:r>
              <w:rPr>
                <w:rFonts w:hint="eastAsia" w:ascii="Times New Roman" w:hAnsi="Times New Roman"/>
                <w:lang w:eastAsia="zh-CN"/>
              </w:rPr>
              <w:t>、</w:t>
            </w:r>
            <w:r>
              <w:rPr>
                <w:rFonts w:hint="eastAsia" w:ascii="Times New Roman" w:hAnsi="Times New Roman"/>
                <w:lang w:val="en-US" w:eastAsia="zh-CN"/>
              </w:rPr>
              <w:t>整形机</w:t>
            </w:r>
            <w:r>
              <w:rPr>
                <w:rFonts w:hint="default" w:ascii="Times New Roman" w:hAnsi="Times New Roman"/>
              </w:rPr>
              <w:t>进料口上方、设备内和振动筛上方分别设置喷淋水管</w:t>
            </w:r>
            <w:r>
              <w:rPr>
                <w:rFonts w:hint="eastAsia" w:ascii="Times New Roman" w:hAnsi="Times New Roman"/>
              </w:rPr>
              <w:t>。为保证有效抑尘，喷淋水量为0.03m</w:t>
            </w:r>
            <w:r>
              <w:rPr>
                <w:rFonts w:hint="eastAsia" w:ascii="Times New Roman" w:hAnsi="Times New Roman"/>
                <w:vertAlign w:val="superscript"/>
              </w:rPr>
              <w:t>3</w:t>
            </w:r>
            <w:r>
              <w:rPr>
                <w:rFonts w:hint="eastAsia" w:ascii="Times New Roman" w:hAnsi="Times New Roman"/>
              </w:rPr>
              <w:t>/t物料。</w:t>
            </w:r>
            <w:r>
              <w:rPr>
                <w:rFonts w:hint="default" w:ascii="Times New Roman" w:hAnsi="Times New Roman"/>
              </w:rPr>
              <w:t>喷淋水管朝向破碎</w:t>
            </w:r>
            <w:r>
              <w:rPr>
                <w:rFonts w:hint="eastAsia" w:ascii="Times New Roman" w:hAnsi="Times New Roman"/>
              </w:rPr>
              <w:t>、</w:t>
            </w:r>
            <w:r>
              <w:rPr>
                <w:rFonts w:hint="default" w:ascii="Times New Roman" w:hAnsi="Times New Roman"/>
              </w:rPr>
              <w:t>筛分</w:t>
            </w:r>
            <w:r>
              <w:rPr>
                <w:rFonts w:hint="eastAsia" w:ascii="Times New Roman" w:hAnsi="Times New Roman"/>
              </w:rPr>
              <w:t>及整形</w:t>
            </w:r>
            <w:r>
              <w:rPr>
                <w:rFonts w:hint="default" w:ascii="Times New Roman" w:hAnsi="Times New Roman"/>
              </w:rPr>
              <w:t>作业区，并与破碎作业端</w:t>
            </w:r>
            <w:r>
              <w:rPr>
                <w:rFonts w:hint="eastAsia" w:ascii="Times New Roman" w:hAnsi="Times New Roman"/>
              </w:rPr>
              <w:t>、</w:t>
            </w:r>
            <w:r>
              <w:rPr>
                <w:rFonts w:hint="default" w:ascii="Times New Roman" w:hAnsi="Times New Roman"/>
              </w:rPr>
              <w:t>筛面</w:t>
            </w:r>
            <w:r>
              <w:rPr>
                <w:rFonts w:hint="eastAsia" w:ascii="Times New Roman" w:hAnsi="Times New Roman"/>
                <w:color w:val="auto"/>
              </w:rPr>
              <w:t>及整形区</w:t>
            </w:r>
            <w:r>
              <w:rPr>
                <w:rFonts w:hint="default" w:ascii="Times New Roman" w:hAnsi="Times New Roman"/>
                <w:color w:val="auto"/>
              </w:rPr>
              <w:t>保持一定距离，保证喷淋水能覆盖破碎、筛分</w:t>
            </w:r>
            <w:r>
              <w:rPr>
                <w:rFonts w:hint="eastAsia" w:ascii="Times New Roman" w:hAnsi="Times New Roman"/>
                <w:color w:val="auto"/>
              </w:rPr>
              <w:t>、整形</w:t>
            </w:r>
            <w:r>
              <w:rPr>
                <w:rFonts w:hint="default" w:ascii="Times New Roman" w:hAnsi="Times New Roman"/>
                <w:color w:val="auto"/>
              </w:rPr>
              <w:t>作业区。</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③制砂、洗砂</w:t>
            </w:r>
            <w:r>
              <w:rPr>
                <w:rFonts w:hint="default"/>
              </w:rPr>
              <w:t>：</w:t>
            </w:r>
            <w:r>
              <w:rPr>
                <w:rFonts w:hint="eastAsia"/>
              </w:rPr>
              <w:t>经振动二筛筛选出的物料通过皮带送入对辊式制砂机进一步破碎研磨。</w:t>
            </w:r>
            <w:r>
              <w:rPr>
                <w:rFonts w:hint="default"/>
              </w:rPr>
              <w:t>当物料进入</w:t>
            </w:r>
            <w:r>
              <w:rPr>
                <w:rFonts w:hint="eastAsia"/>
              </w:rPr>
              <w:t>对辊式制砂机</w:t>
            </w:r>
            <w:r>
              <w:rPr>
                <w:rFonts w:hint="default"/>
              </w:rPr>
              <w:t>的破碎腔后</w:t>
            </w:r>
            <w:r>
              <w:rPr>
                <w:rFonts w:hint="eastAsia"/>
              </w:rPr>
              <w:t>，</w:t>
            </w:r>
            <w:r>
              <w:rPr>
                <w:rFonts w:hint="default"/>
              </w:rPr>
              <w:t>物料受到转动辊轴的啮力作用</w:t>
            </w:r>
            <w:r>
              <w:rPr>
                <w:rFonts w:hint="eastAsia"/>
              </w:rPr>
              <w:t>，</w:t>
            </w:r>
            <w:r>
              <w:rPr>
                <w:rFonts w:hint="default"/>
              </w:rPr>
              <w:t>同时受到辊轴的挤轧和剪磨</w:t>
            </w:r>
            <w:r>
              <w:rPr>
                <w:rFonts w:hint="eastAsia"/>
              </w:rPr>
              <w:t>，</w:t>
            </w:r>
            <w:r>
              <w:rPr>
                <w:rFonts w:hint="default"/>
              </w:rPr>
              <w:t>开始碎裂</w:t>
            </w:r>
            <w:r>
              <w:rPr>
                <w:rFonts w:hint="eastAsia"/>
              </w:rPr>
              <w:t>。</w:t>
            </w:r>
            <w:r>
              <w:rPr>
                <w:rFonts w:hint="default"/>
              </w:rPr>
              <w:t>碎裂后的小颗粒沿着辊子旋转的切线</w:t>
            </w:r>
            <w:r>
              <w:rPr>
                <w:rFonts w:hint="eastAsia"/>
              </w:rPr>
              <w:t>，</w:t>
            </w:r>
            <w:r>
              <w:rPr>
                <w:rFonts w:hint="default"/>
              </w:rPr>
              <w:t>通过两辊轴的间隙</w:t>
            </w:r>
            <w:r>
              <w:rPr>
                <w:rFonts w:hint="eastAsia"/>
              </w:rPr>
              <w:t>，</w:t>
            </w:r>
            <w:r>
              <w:rPr>
                <w:rFonts w:hint="default"/>
              </w:rPr>
              <w:t>向机器下方抛出</w:t>
            </w:r>
            <w:r>
              <w:rPr>
                <w:rFonts w:hint="eastAsia"/>
              </w:rPr>
              <w:t>，通过皮带送入滚筒式洗砂机。</w:t>
            </w:r>
            <w:r>
              <w:rPr>
                <w:rFonts w:hint="default"/>
              </w:rPr>
              <w:t>大颗粒物料继续被破碎成小颗粒</w:t>
            </w:r>
            <w:r>
              <w:rPr>
                <w:rFonts w:hint="eastAsia"/>
              </w:rPr>
              <w:t>，随后</w:t>
            </w:r>
            <w:r>
              <w:rPr>
                <w:rFonts w:hint="default"/>
              </w:rPr>
              <w:t>排出</w:t>
            </w:r>
            <w:r>
              <w:rPr>
                <w:rFonts w:hint="eastAsia"/>
              </w:rPr>
              <w:t>送入滚筒式洗砂机。</w:t>
            </w:r>
          </w:p>
          <w:p>
            <w:pPr>
              <w:keepNext w:val="0"/>
              <w:keepLines w:val="0"/>
              <w:suppressLineNumbers w:val="0"/>
              <w:spacing w:before="0" w:beforeAutospacing="0" w:after="0" w:afterAutospacing="0" w:line="440" w:lineRule="exact"/>
              <w:ind w:left="0" w:right="0" w:firstLine="480" w:firstLineChars="200"/>
              <w:rPr>
                <w:rFonts w:hint="default"/>
              </w:rPr>
            </w:pPr>
            <w:r>
              <w:rPr>
                <w:rFonts w:hint="default"/>
              </w:rPr>
              <w:t>项目选用</w:t>
            </w:r>
            <w:r>
              <w:rPr>
                <w:rFonts w:hint="eastAsia"/>
              </w:rPr>
              <w:t>滚筒式洗砂机</w:t>
            </w:r>
            <w:r>
              <w:rPr>
                <w:rFonts w:hint="default"/>
              </w:rPr>
              <w:t>进行</w:t>
            </w:r>
            <w:r>
              <w:rPr>
                <w:rFonts w:hint="eastAsia"/>
              </w:rPr>
              <w:t>除杂</w:t>
            </w:r>
            <w:r>
              <w:rPr>
                <w:rFonts w:hint="default"/>
              </w:rPr>
              <w:t>清洗</w:t>
            </w:r>
            <w:r>
              <w:rPr>
                <w:rFonts w:hint="eastAsia"/>
              </w:rPr>
              <w:t>。滚筒式洗砂机的电机带动叶轮缓慢转动，同时物料送入洗槽。在叶轮的带动下翻滚，并互相研磨，除去表面的杂质，同时加水，形成强大水流，将杂质及比重小的异物带</w:t>
            </w:r>
            <w:r>
              <w:rPr>
                <w:rFonts w:hint="eastAsia"/>
                <w:color w:val="auto"/>
                <w:highlight w:val="none"/>
              </w:rPr>
              <w:t>走，</w:t>
            </w:r>
            <w:r>
              <w:rPr>
                <w:rFonts w:hint="default"/>
                <w:color w:val="auto"/>
                <w:highlight w:val="none"/>
              </w:rPr>
              <w:t>清洗后的</w:t>
            </w:r>
            <w:r>
              <w:rPr>
                <w:rFonts w:hint="eastAsia"/>
                <w:color w:val="auto"/>
                <w:highlight w:val="none"/>
              </w:rPr>
              <w:t>细砂</w:t>
            </w:r>
            <w:r>
              <w:rPr>
                <w:rFonts w:hint="default"/>
                <w:color w:val="auto"/>
                <w:highlight w:val="none"/>
              </w:rPr>
              <w:t>即为成品</w:t>
            </w:r>
            <w:r>
              <w:rPr>
                <w:rFonts w:hint="eastAsia"/>
                <w:color w:val="auto"/>
                <w:highlight w:val="none"/>
              </w:rPr>
              <w:t>，后续</w:t>
            </w:r>
            <w:r>
              <w:rPr>
                <w:rFonts w:hint="default"/>
                <w:color w:val="auto"/>
                <w:highlight w:val="none"/>
              </w:rPr>
              <w:t>送入</w:t>
            </w:r>
            <w:r>
              <w:rPr>
                <w:rFonts w:hint="eastAsia"/>
                <w:color w:val="auto"/>
                <w:highlight w:val="none"/>
              </w:rPr>
              <w:t>成品堆场。洗砂水用量为0.03m</w:t>
            </w:r>
            <w:r>
              <w:rPr>
                <w:rFonts w:hint="eastAsia"/>
                <w:color w:val="auto"/>
                <w:highlight w:val="none"/>
                <w:vertAlign w:val="superscript"/>
              </w:rPr>
              <w:t>3</w:t>
            </w:r>
            <w:r>
              <w:rPr>
                <w:rFonts w:hint="eastAsia"/>
                <w:color w:val="auto"/>
                <w:highlight w:val="none"/>
              </w:rPr>
              <w:t>/吨细砂，</w:t>
            </w:r>
            <w:r>
              <w:rPr>
                <w:rFonts w:hint="default"/>
                <w:color w:val="auto"/>
                <w:highlight w:val="none"/>
              </w:rPr>
              <w:t>清洗后的</w:t>
            </w:r>
            <w:r>
              <w:rPr>
                <w:rFonts w:hint="eastAsia"/>
                <w:color w:val="auto"/>
                <w:highlight w:val="none"/>
                <w:lang w:val="en-US" w:eastAsia="zh-CN"/>
              </w:rPr>
              <w:t>细砂</w:t>
            </w:r>
            <w:r>
              <w:rPr>
                <w:rFonts w:hint="default"/>
                <w:color w:val="auto"/>
                <w:highlight w:val="none"/>
              </w:rPr>
              <w:t>含水率约为</w:t>
            </w:r>
            <w:r>
              <w:rPr>
                <w:rFonts w:hint="eastAsia"/>
                <w:color w:val="auto"/>
                <w:highlight w:val="none"/>
                <w:lang w:val="en-US" w:eastAsia="zh-CN"/>
              </w:rPr>
              <w:t>14</w:t>
            </w:r>
            <w:r>
              <w:rPr>
                <w:rFonts w:hint="default"/>
                <w:color w:val="auto"/>
                <w:highlight w:val="none"/>
              </w:rPr>
              <w:t>%，清洗产生的含泥废水经污水处理设施处理后循环回用。</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产污：滚筒式洗砂机产生洗砂石废水W1；洗砂废水进入沉淀池处置产生污泥；设备运行产生噪声。</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rPr>
              <w:t>措施：洗砂废水通过沉淀罐、沉淀池处理后回用；污泥外售用于制砖。</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rPr>
            </w:pPr>
            <w:r>
              <w:rPr>
                <w:rFonts w:hint="eastAsia" w:ascii="Times New Roman" w:hAnsi="Times New Roman"/>
              </w:rPr>
              <w:t>④</w:t>
            </w:r>
            <w:r>
              <w:rPr>
                <w:rFonts w:hint="default" w:ascii="Times New Roman" w:hAnsi="Times New Roman"/>
              </w:rPr>
              <w:t>产品外售：</w:t>
            </w:r>
            <w:r>
              <w:rPr>
                <w:rFonts w:hint="eastAsia" w:ascii="Times New Roman" w:hAnsi="Times New Roman"/>
                <w:color w:val="000000" w:themeColor="text1"/>
                <w:highlight w:val="none"/>
                <w14:textFill>
                  <w14:solidFill>
                    <w14:schemeClr w14:val="tx1"/>
                  </w14:solidFill>
                </w14:textFill>
              </w:rPr>
              <w:t>含水率为10%的成品碎石和14%的细砂在成品</w:t>
            </w:r>
            <w:r>
              <w:rPr>
                <w:rFonts w:hint="default" w:ascii="Times New Roman" w:hAnsi="Times New Roman"/>
                <w:color w:val="000000" w:themeColor="text1"/>
                <w:highlight w:val="none"/>
                <w14:textFill>
                  <w14:solidFill>
                    <w14:schemeClr w14:val="tx1"/>
                  </w14:solidFill>
                </w14:textFill>
              </w:rPr>
              <w:t>堆场暂存</w:t>
            </w:r>
            <w:r>
              <w:rPr>
                <w:rFonts w:hint="eastAsia" w:ascii="Times New Roman" w:hAnsi="Times New Roman"/>
                <w:color w:val="000000" w:themeColor="text1"/>
                <w:highlight w:val="none"/>
                <w14:textFill>
                  <w14:solidFill>
                    <w14:schemeClr w14:val="tx1"/>
                  </w14:solidFill>
                </w14:textFill>
              </w:rPr>
              <w:t>后</w:t>
            </w:r>
            <w:r>
              <w:rPr>
                <w:rFonts w:hint="default" w:ascii="Times New Roman" w:hAnsi="Times New Roman"/>
                <w:color w:val="000000" w:themeColor="text1"/>
                <w:highlight w:val="none"/>
                <w14:textFill>
                  <w14:solidFill>
                    <w14:schemeClr w14:val="tx1"/>
                  </w14:solidFill>
                </w14:textFill>
              </w:rPr>
              <w:t>外运出售</w:t>
            </w:r>
            <w:r>
              <w:rPr>
                <w:rFonts w:hint="eastAsia" w:ascii="Times New Roman" w:hAnsi="Times New Roman"/>
                <w:color w:val="000000" w:themeColor="text1"/>
                <w:highlight w:val="none"/>
                <w14:textFill>
                  <w14:solidFill>
                    <w14:schemeClr w14:val="tx1"/>
                  </w14:solidFill>
                </w14:textFill>
              </w:rPr>
              <w:t>。细砂带的水在成品堆场</w:t>
            </w:r>
            <w:r>
              <w:rPr>
                <w:rFonts w:hint="eastAsia" w:ascii="Times New Roman" w:hAnsi="Times New Roman"/>
                <w:color w:val="000000" w:themeColor="text1"/>
                <w:highlight w:val="none"/>
                <w:lang w:val="en-US" w:eastAsia="zh-CN"/>
                <w14:textFill>
                  <w14:solidFill>
                    <w14:schemeClr w14:val="tx1"/>
                  </w14:solidFill>
                </w14:textFill>
              </w:rPr>
              <w:t>堆放</w:t>
            </w:r>
            <w:r>
              <w:rPr>
                <w:rFonts w:hint="eastAsia" w:ascii="Times New Roman" w:hAnsi="Times New Roman"/>
                <w:color w:val="000000" w:themeColor="text1"/>
                <w:highlight w:val="none"/>
                <w14:textFill>
                  <w14:solidFill>
                    <w14:schemeClr w14:val="tx1"/>
                  </w14:solidFill>
                </w14:textFill>
              </w:rPr>
              <w:t>过程中</w:t>
            </w:r>
            <w:r>
              <w:rPr>
                <w:rFonts w:hint="eastAsia" w:ascii="Times New Roman" w:hAnsi="Times New Roman"/>
                <w:color w:val="000000" w:themeColor="text1"/>
                <w:highlight w:val="none"/>
                <w:lang w:val="en-US" w:eastAsia="zh-CN"/>
                <w14:textFill>
                  <w14:solidFill>
                    <w14:schemeClr w14:val="tx1"/>
                  </w14:solidFill>
                </w14:textFill>
              </w:rPr>
              <w:t>表面水挥发</w:t>
            </w:r>
            <w:r>
              <w:rPr>
                <w:rFonts w:hint="eastAsia"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含水率降低，</w:t>
            </w:r>
            <w:r>
              <w:rPr>
                <w:rFonts w:hint="eastAsia" w:ascii="Times New Roman" w:hAnsi="Times New Roman"/>
                <w:color w:val="000000" w:themeColor="text1"/>
                <w:highlight w:val="none"/>
                <w14:textFill>
                  <w14:solidFill>
                    <w14:schemeClr w14:val="tx1"/>
                  </w14:solidFill>
                </w14:textFill>
              </w:rPr>
              <w:t>最终外售的成品细砂含水率</w:t>
            </w:r>
            <w:r>
              <w:rPr>
                <w:rFonts w:hint="eastAsia" w:ascii="Times New Roman" w:hAnsi="Times New Roman"/>
                <w:color w:val="000000" w:themeColor="text1"/>
                <w:highlight w:val="none"/>
                <w:lang w:val="en-US" w:eastAsia="zh-CN"/>
                <w14:textFill>
                  <w14:solidFill>
                    <w14:schemeClr w14:val="tx1"/>
                  </w14:solidFill>
                </w14:textFill>
              </w:rPr>
              <w:t>约</w:t>
            </w:r>
            <w:r>
              <w:rPr>
                <w:rFonts w:hint="eastAsia" w:ascii="Times New Roman" w:hAnsi="Times New Roman"/>
                <w:color w:val="000000" w:themeColor="text1"/>
                <w:highlight w:val="none"/>
                <w14:textFill>
                  <w14:solidFill>
                    <w14:schemeClr w14:val="tx1"/>
                  </w14:solidFill>
                </w14:textFill>
              </w:rPr>
              <w:t>为10%。</w:t>
            </w:r>
            <w:r>
              <w:rPr>
                <w:rFonts w:hint="eastAsia" w:ascii="Times New Roman" w:hAnsi="Times New Roman"/>
              </w:rPr>
              <w:t>产品外售运输产生运输扬尘G1，装卸过程产生装卸扬尘G9。</w:t>
            </w:r>
          </w:p>
          <w:p>
            <w:pPr>
              <w:pStyle w:val="3"/>
              <w:keepNext w:val="0"/>
              <w:keepLines w:val="0"/>
              <w:suppressLineNumbers w:val="0"/>
              <w:spacing w:beforeAutospacing="0" w:afterAutospacing="0" w:line="400" w:lineRule="exact"/>
              <w:ind w:left="0" w:firstLine="0" w:firstLineChars="0"/>
              <w:rPr>
                <w:rFonts w:hint="default" w:ascii="Times New Roman" w:hAnsi="Times New Roman" w:eastAsia="黑体"/>
                <w:b/>
                <w:bCs/>
              </w:rPr>
            </w:pPr>
            <w:r>
              <w:rPr>
                <w:rFonts w:hint="default" w:ascii="Times New Roman" w:hAnsi="Times New Roman" w:eastAsia="黑体"/>
                <w:b/>
                <w:bCs/>
              </w:rPr>
              <w:t>2.4.2产污环节分析</w:t>
            </w:r>
          </w:p>
          <w:p>
            <w:pPr>
              <w:keepNext w:val="0"/>
              <w:keepLines w:val="0"/>
              <w:suppressLineNumbers w:val="0"/>
              <w:spacing w:before="0" w:beforeAutospacing="0" w:after="0" w:afterAutospacing="0"/>
              <w:ind w:left="0" w:right="0" w:firstLine="480" w:firstLineChars="200"/>
              <w:rPr>
                <w:rFonts w:hint="default"/>
              </w:rPr>
            </w:pPr>
            <w:r>
              <w:rPr>
                <w:rFonts w:hint="eastAsia"/>
              </w:rPr>
              <w:t>耀辉加工厂产污分析情况见下表：</w:t>
            </w:r>
          </w:p>
          <w:p>
            <w:pPr>
              <w:pStyle w:val="33"/>
              <w:keepNext w:val="0"/>
              <w:keepLines w:val="0"/>
              <w:suppressLineNumbers w:val="0"/>
              <w:spacing w:before="120" w:beforeAutospacing="0" w:after="0" w:afterAutospacing="0"/>
              <w:ind w:left="0" w:right="0"/>
              <w:rPr>
                <w:rFonts w:hint="default"/>
              </w:rPr>
            </w:pPr>
            <w:r>
              <w:rPr>
                <w:rFonts w:hint="default" w:ascii="Times New Roman" w:hAnsi="Times New Roman"/>
                <w:b/>
                <w:bCs/>
                <w:sz w:val="21"/>
                <w:szCs w:val="21"/>
              </w:rPr>
              <w:t>表2.4-1</w:t>
            </w:r>
            <w:r>
              <w:rPr>
                <w:rFonts w:hint="eastAsia" w:ascii="Times New Roman" w:hAnsi="Times New Roman"/>
                <w:b/>
                <w:bCs/>
                <w:sz w:val="21"/>
                <w:szCs w:val="21"/>
              </w:rPr>
              <w:t>产排污分析情况汇总表</w:t>
            </w:r>
          </w:p>
          <w:tbl>
            <w:tblPr>
              <w:tblStyle w:val="25"/>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78"/>
              <w:gridCol w:w="1515"/>
              <w:gridCol w:w="1056"/>
              <w:gridCol w:w="1566"/>
              <w:gridCol w:w="1872"/>
              <w:gridCol w:w="1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3" w:type="dxa"/>
                  <w:gridSpan w:val="2"/>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污染</w:t>
                  </w:r>
                  <w:r>
                    <w:rPr>
                      <w:rFonts w:hint="eastAsia" w:ascii="Times New Roman" w:hAnsi="Times New Roman"/>
                      <w:sz w:val="21"/>
                      <w:szCs w:val="21"/>
                    </w:rPr>
                    <w:t>物类型</w:t>
                  </w:r>
                </w:p>
              </w:tc>
              <w:tc>
                <w:tcPr>
                  <w:tcW w:w="2622" w:type="dxa"/>
                  <w:gridSpan w:val="2"/>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产污环节</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产生污染的主要设备（单元）</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废气</w:t>
                  </w: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运输扬尘</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G1</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运输扬尘</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运输车辆</w:t>
                  </w:r>
                </w:p>
              </w:tc>
              <w:tc>
                <w:tcPr>
                  <w:tcW w:w="1931"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卸料粉尘</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G2</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原料卸料</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原料堆场</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破碎废气</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G3</w:t>
                  </w:r>
                </w:p>
              </w:tc>
              <w:tc>
                <w:tcPr>
                  <w:tcW w:w="1566"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破碎粉尘</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69破碎机</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G4</w:t>
                  </w:r>
                </w:p>
              </w:tc>
              <w:tc>
                <w:tcPr>
                  <w:tcW w:w="1566"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圆锥破碎机</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G8</w:t>
                  </w:r>
                </w:p>
              </w:tc>
              <w:tc>
                <w:tcPr>
                  <w:tcW w:w="1566"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锤破碎机</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振动废气</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G5</w:t>
                  </w:r>
                </w:p>
              </w:tc>
              <w:tc>
                <w:tcPr>
                  <w:tcW w:w="1566"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振动粉尘</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振动一筛</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G7</w:t>
                  </w:r>
                </w:p>
              </w:tc>
              <w:tc>
                <w:tcPr>
                  <w:tcW w:w="1566"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振动二筛</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整形废气</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G6</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整形粉尘</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整形机</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装卸扬尘</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G9</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产品装卸</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成品堆场</w:t>
                  </w:r>
                </w:p>
              </w:tc>
              <w:tc>
                <w:tcPr>
                  <w:tcW w:w="1931"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废水</w:t>
                  </w: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洗砂石废水</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W1</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洗砂</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滚筒式洗砂机</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悬浮物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生活污水</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W2</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员工生活</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COD、氨氮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restart"/>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固废</w:t>
                  </w: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废机油</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设备运行</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破碎机，振动筛、整形机等</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废机油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废滤布</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压滤</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板框压滤机</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污泥</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污水处理</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废水处理设施</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dxa"/>
                  <w:vMerge w:val="continue"/>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p>
              </w:tc>
              <w:tc>
                <w:tcPr>
                  <w:tcW w:w="1515"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生活垃圾</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职工生活</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3" w:type="dxa"/>
                  <w:gridSpan w:val="2"/>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噪声</w:t>
                  </w:r>
                </w:p>
              </w:tc>
              <w:tc>
                <w:tcPr>
                  <w:tcW w:w="105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w:t>
                  </w:r>
                </w:p>
              </w:tc>
              <w:tc>
                <w:tcPr>
                  <w:tcW w:w="1566"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设备</w:t>
                  </w:r>
                  <w:r>
                    <w:rPr>
                      <w:rFonts w:hint="eastAsia" w:ascii="Times New Roman" w:hAnsi="Times New Roman"/>
                      <w:sz w:val="21"/>
                      <w:szCs w:val="21"/>
                    </w:rPr>
                    <w:t>运行</w:t>
                  </w:r>
                </w:p>
              </w:tc>
              <w:tc>
                <w:tcPr>
                  <w:tcW w:w="1872"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eastAsia" w:ascii="Times New Roman" w:hAnsi="Times New Roman"/>
                      <w:sz w:val="21"/>
                      <w:szCs w:val="21"/>
                    </w:rPr>
                    <w:t>生产设备</w:t>
                  </w:r>
                </w:p>
              </w:tc>
              <w:tc>
                <w:tcPr>
                  <w:tcW w:w="1931" w:type="dxa"/>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sz w:val="21"/>
                      <w:szCs w:val="21"/>
                    </w:rPr>
                  </w:pPr>
                  <w:r>
                    <w:rPr>
                      <w:rFonts w:hint="default" w:ascii="Times New Roman" w:hAnsi="Times New Roman"/>
                      <w:sz w:val="21"/>
                      <w:szCs w:val="21"/>
                    </w:rPr>
                    <w:t>等效噪声级</w:t>
                  </w:r>
                </w:p>
              </w:tc>
            </w:tr>
          </w:tbl>
          <w:p>
            <w:pPr>
              <w:pStyle w:val="3"/>
              <w:keepNext w:val="0"/>
              <w:keepLines w:val="0"/>
              <w:suppressLineNumbers w:val="0"/>
              <w:spacing w:beforeAutospacing="0" w:afterAutospacing="0"/>
              <w:ind w:left="0" w:firstLine="0" w:firstLineChars="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08" w:hRule="atLeast"/>
          <w:jc w:val="center"/>
        </w:trPr>
        <w:tc>
          <w:tcPr>
            <w:tcW w:w="455" w:type="dxa"/>
            <w:tcBorders>
              <w:top w:val="single" w:color="auto" w:sz="8" w:space="0"/>
            </w:tcBorders>
            <w:vAlign w:val="center"/>
          </w:tcPr>
          <w:p>
            <w:pPr>
              <w:pStyle w:val="23"/>
              <w:keepNext w:val="0"/>
              <w:keepLines w:val="0"/>
              <w:suppressLineNumbers w:val="0"/>
              <w:ind w:left="0" w:right="0"/>
              <w:rPr>
                <w:rFonts w:hint="default"/>
              </w:rPr>
            </w:pPr>
          </w:p>
        </w:tc>
        <w:tc>
          <w:tcPr>
            <w:tcW w:w="8605" w:type="dxa"/>
            <w:vMerge w:val="continue"/>
          </w:tcPr>
          <w:p>
            <w:pPr>
              <w:pStyle w:val="2"/>
              <w:keepNext w:val="0"/>
              <w:keepLines w:val="0"/>
              <w:suppressLineNumbers w:val="0"/>
              <w:spacing w:before="0" w:beforeAutospacing="0" w:after="0" w:afterAutospacing="0"/>
              <w:ind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1" w:hRule="atLeast"/>
          <w:jc w:val="center"/>
        </w:trPr>
        <w:tc>
          <w:tcPr>
            <w:tcW w:w="455" w:type="dxa"/>
            <w:vAlign w:val="center"/>
          </w:tcPr>
          <w:p>
            <w:pPr>
              <w:pStyle w:val="23"/>
              <w:keepNext w:val="0"/>
              <w:keepLines w:val="0"/>
              <w:suppressLineNumbers w:val="0"/>
              <w:ind w:left="0" w:right="0"/>
              <w:rPr>
                <w:rFonts w:hint="default"/>
              </w:rPr>
            </w:pPr>
            <w:r>
              <w:rPr>
                <w:rFonts w:hint="eastAsia" w:ascii="Calibri" w:hAnsi="Calibri" w:eastAsia="宋体" w:cs="Times New Roman"/>
                <w:snapToGrid/>
                <w:color w:val="auto"/>
                <w:kern w:val="2"/>
                <w:sz w:val="24"/>
                <w:szCs w:val="24"/>
                <w:lang w:val="en-US" w:eastAsia="zh-CN" w:bidi="ar-SA"/>
              </w:rPr>
              <w:t>与项目有关的原有环境污染问题</w:t>
            </w:r>
          </w:p>
        </w:tc>
        <w:tc>
          <w:tcPr>
            <w:tcW w:w="8605" w:type="dxa"/>
          </w:tcPr>
          <w:p>
            <w:pPr>
              <w:pStyle w:val="7"/>
              <w:suppressLineNumbers w:val="0"/>
              <w:spacing w:before="120" w:beforeAutospacing="0" w:after="120" w:afterAutospacing="0" w:line="440" w:lineRule="exact"/>
              <w:ind w:left="0" w:right="0"/>
              <w:rPr>
                <w:rFonts w:hint="default" w:ascii="Times New Roman" w:hAnsi="Times New Roman"/>
                <w:sz w:val="28"/>
                <w:szCs w:val="28"/>
              </w:rPr>
            </w:pPr>
            <w:bookmarkStart w:id="6" w:name="_Toc66950656"/>
            <w:r>
              <w:rPr>
                <w:rFonts w:hint="default" w:ascii="Times New Roman" w:hAnsi="Times New Roman"/>
                <w:sz w:val="28"/>
                <w:szCs w:val="28"/>
              </w:rPr>
              <w:t>2.5与项目有关的原有环境污染问题</w:t>
            </w:r>
            <w:bookmarkEnd w:id="6"/>
          </w:p>
          <w:p>
            <w:pPr>
              <w:keepNext w:val="0"/>
              <w:keepLines w:val="0"/>
              <w:numPr>
                <w:ilvl w:val="0"/>
                <w:numId w:val="4"/>
              </w:numPr>
              <w:suppressLineNumbers w:val="0"/>
              <w:spacing w:before="0" w:beforeAutospacing="0" w:after="0" w:afterAutospacing="0" w:line="440" w:lineRule="exact"/>
              <w:ind w:left="0" w:right="0" w:firstLine="480" w:firstLineChars="200"/>
              <w:jc w:val="left"/>
              <w:rPr>
                <w:rFonts w:hint="default" w:ascii="Times New Roman" w:hAnsi="Times New Roman"/>
              </w:rPr>
            </w:pPr>
            <w:r>
              <w:rPr>
                <w:rFonts w:hint="default" w:ascii="Times New Roman" w:hAnsi="Times New Roman"/>
              </w:rPr>
              <w:t>本项目为新建（迁建）项目。原厂址使用的设备不属于行业淘汰范围内的设备，原项目退役后，厂区内的原有设备</w:t>
            </w:r>
            <w:r>
              <w:rPr>
                <w:rFonts w:hint="eastAsia" w:ascii="Times New Roman" w:hAnsi="Times New Roman"/>
              </w:rPr>
              <w:t>拆除搬迁</w:t>
            </w:r>
            <w:r>
              <w:rPr>
                <w:rFonts w:hint="default" w:ascii="Times New Roman" w:hAnsi="Times New Roman"/>
              </w:rPr>
              <w:t>，</w:t>
            </w:r>
            <w:r>
              <w:rPr>
                <w:rFonts w:hint="eastAsia" w:hAnsi="Tahoma"/>
              </w:rPr>
              <w:t>拆除活动严格执行《企业拆除活动污染防治技术规定（试行）》有关规定。拆除活动结束后，对拆除区域进行检查、清理，确保所有拆除设备、遗留物料等得到合理处置，不遗留污染隐患。</w:t>
            </w:r>
            <w:r>
              <w:rPr>
                <w:rFonts w:hint="default" w:ascii="Times New Roman" w:hAnsi="Times New Roman"/>
              </w:rPr>
              <w:t>原厂址</w:t>
            </w:r>
            <w:r>
              <w:rPr>
                <w:rFonts w:hint="eastAsia" w:ascii="Times New Roman" w:hAnsi="Times New Roman"/>
              </w:rPr>
              <w:t>用于制砂，不涉及有毒有害物质。后</w:t>
            </w:r>
            <w:r>
              <w:rPr>
                <w:rFonts w:hint="default" w:ascii="Times New Roman" w:hAnsi="Times New Roman"/>
              </w:rPr>
              <w:t>被大田县政府征用给广建环保科技矿业与工业固体废弃物资源化再利用项目，对环境的污染影响</w:t>
            </w:r>
            <w:r>
              <w:rPr>
                <w:rFonts w:hint="eastAsia" w:ascii="Times New Roman" w:hAnsi="Times New Roman"/>
              </w:rPr>
              <w:t>不大</w:t>
            </w:r>
            <w:r>
              <w:rPr>
                <w:rFonts w:hint="default" w:ascii="Times New Roman" w:hAnsi="Times New Roman"/>
              </w:rPr>
              <w:t>。</w:t>
            </w:r>
          </w:p>
          <w:p>
            <w:pPr>
              <w:keepNext w:val="0"/>
              <w:keepLines w:val="0"/>
              <w:numPr>
                <w:ilvl w:val="0"/>
                <w:numId w:val="4"/>
              </w:numPr>
              <w:suppressLineNumbers w:val="0"/>
              <w:spacing w:before="0" w:beforeAutospacing="0" w:after="0" w:afterAutospacing="0" w:line="440" w:lineRule="exact"/>
              <w:ind w:left="0" w:right="0" w:firstLine="480" w:firstLineChars="200"/>
              <w:jc w:val="left"/>
              <w:rPr>
                <w:rFonts w:hint="default"/>
              </w:rPr>
            </w:pPr>
            <w:r>
              <w:rPr>
                <w:rFonts w:hint="eastAsia" w:ascii="Times New Roman" w:hAnsi="Times New Roman"/>
              </w:rPr>
              <w:t>本项目积极配合大田县</w:t>
            </w:r>
            <w:r>
              <w:rPr>
                <w:rFonts w:hint="eastAsia"/>
              </w:rPr>
              <w:t>当地政府，为推进“广建环保科技矿业与工业固体废物资源化再利用项目”建设，服从政府</w:t>
            </w:r>
            <w:r>
              <w:rPr>
                <w:rFonts w:hint="eastAsia" w:ascii="Times New Roman" w:hAnsi="Times New Roman"/>
              </w:rPr>
              <w:t>号召要求搬迁至大田县前坪乡下地村石克盂下地坑，已与前坪乡下地村委员会签订租赁合同，租用其相关场地及厂房（租赁合同见附件四），根据现场调查，该厂房原处于闲置状态，在本项目租用前未用于其他用途，现场无污染残留。目前本项目已将设备搬迁该地块临时堆放，尚未投产。</w:t>
            </w:r>
          </w:p>
        </w:tc>
      </w:tr>
    </w:tbl>
    <w:p>
      <w:pPr>
        <w:pStyle w:val="23"/>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rPr>
          <w:color w:val="auto"/>
        </w:rPr>
      </w:pPr>
      <w:r>
        <w:rPr>
          <w:color w:val="auto"/>
        </w:rPr>
        <w:t>三、区域环境质量现状、环境保护目标及评价标准</w:t>
      </w:r>
    </w:p>
    <w:tbl>
      <w:tblPr>
        <w:tblStyle w:val="2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82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6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现状</w:t>
            </w:r>
          </w:p>
        </w:tc>
        <w:tc>
          <w:tcPr>
            <w:tcW w:w="8226" w:type="dxa"/>
            <w:vAlign w:val="center"/>
          </w:tcPr>
          <w:p>
            <w:pPr>
              <w:pStyle w:val="7"/>
              <w:suppressLineNumbers w:val="0"/>
              <w:spacing w:before="140" w:beforeAutospacing="0" w:after="140" w:afterAutospacing="0" w:line="440" w:lineRule="exact"/>
              <w:ind w:left="0" w:right="0"/>
              <w:rPr>
                <w:rFonts w:hint="default" w:ascii="Times New Roman" w:hAnsi="Times New Roman"/>
                <w:sz w:val="28"/>
                <w:szCs w:val="28"/>
              </w:rPr>
            </w:pPr>
            <w:r>
              <w:rPr>
                <w:rFonts w:hint="default" w:ascii="Times New Roman" w:hAnsi="Times New Roman"/>
                <w:sz w:val="28"/>
                <w:szCs w:val="28"/>
              </w:rPr>
              <w:t>3.1环境质量现状</w:t>
            </w:r>
          </w:p>
          <w:p>
            <w:pPr>
              <w:keepNext w:val="0"/>
              <w:keepLines w:val="0"/>
              <w:suppressLineNumbers w:val="0"/>
              <w:spacing w:before="0" w:beforeAutospacing="0" w:after="0" w:afterAutospacing="0" w:line="430" w:lineRule="exact"/>
              <w:ind w:left="0" w:right="0"/>
              <w:jc w:val="left"/>
              <w:rPr>
                <w:rFonts w:hint="default" w:ascii="Times New Roman" w:hAnsi="Times New Roman" w:eastAsia="黑体"/>
                <w:b/>
                <w:bCs/>
                <w:kern w:val="0"/>
                <w:szCs w:val="20"/>
              </w:rPr>
            </w:pPr>
            <w:r>
              <w:rPr>
                <w:rFonts w:hint="default" w:ascii="Times New Roman" w:hAnsi="Times New Roman" w:eastAsia="黑体"/>
                <w:b/>
                <w:bCs/>
                <w:kern w:val="0"/>
                <w:szCs w:val="20"/>
              </w:rPr>
              <w:t>3.1.1大气环境</w:t>
            </w:r>
          </w:p>
          <w:p>
            <w:pPr>
              <w:pStyle w:val="3"/>
              <w:keepNext w:val="0"/>
              <w:keepLines w:val="0"/>
              <w:numPr>
                <w:ilvl w:val="0"/>
                <w:numId w:val="5"/>
              </w:numPr>
              <w:suppressLineNumbers w:val="0"/>
              <w:spacing w:beforeAutospacing="0" w:after="0" w:afterAutospacing="0" w:line="430" w:lineRule="exact"/>
              <w:ind w:left="0" w:firstLine="240"/>
              <w:rPr>
                <w:rFonts w:hint="default" w:ascii="Times New Roman" w:hAnsi="Times New Roman"/>
              </w:rPr>
            </w:pPr>
            <w:r>
              <w:rPr>
                <w:rFonts w:hint="default" w:ascii="Times New Roman" w:hAnsi="Times New Roman"/>
              </w:rPr>
              <w:t>大气环境功能区划及质量标准</w:t>
            </w:r>
          </w:p>
          <w:p>
            <w:pPr>
              <w:keepNext w:val="0"/>
              <w:keepLines w:val="0"/>
              <w:suppressLineNumbers w:val="0"/>
              <w:spacing w:before="0" w:beforeAutospacing="0" w:after="0" w:afterAutospacing="0" w:line="430" w:lineRule="exact"/>
              <w:ind w:left="0" w:right="0" w:firstLine="480" w:firstLineChars="200"/>
              <w:rPr>
                <w:rFonts w:hint="default" w:ascii="Times New Roman" w:hAnsi="Times New Roman"/>
                <w:kern w:val="0"/>
                <w:szCs w:val="20"/>
              </w:rPr>
            </w:pPr>
            <w:r>
              <w:rPr>
                <w:rFonts w:hint="eastAsia" w:ascii="Times New Roman" w:hAnsi="Times New Roman"/>
                <w:kern w:val="0"/>
                <w:szCs w:val="20"/>
              </w:rPr>
              <w:t>①基本污染物</w:t>
            </w:r>
          </w:p>
          <w:p>
            <w:pPr>
              <w:keepNext w:val="0"/>
              <w:keepLines w:val="0"/>
              <w:suppressLineNumbers w:val="0"/>
              <w:spacing w:before="0" w:beforeAutospacing="0" w:after="0" w:afterAutospacing="0" w:line="430" w:lineRule="exact"/>
              <w:ind w:left="0" w:right="0" w:firstLine="480" w:firstLineChars="200"/>
              <w:rPr>
                <w:rFonts w:hint="default" w:ascii="Times New Roman" w:hAnsi="Times New Roman"/>
                <w:kern w:val="0"/>
                <w:szCs w:val="20"/>
              </w:rPr>
            </w:pPr>
            <w:bookmarkStart w:id="7" w:name="_Ref285631175"/>
            <w:r>
              <w:rPr>
                <w:rFonts w:hint="eastAsia" w:ascii="Times New Roman" w:hAnsi="Times New Roman"/>
                <w:kern w:val="0"/>
                <w:szCs w:val="20"/>
              </w:rPr>
              <w:t>项目所处区域环境空气质量划为二类功能区，区域环境空气质量执行《环境空气质量标准》（GB3095-2012）二级标准及2018年修改单要求，见下表：</w:t>
            </w:r>
          </w:p>
          <w:p>
            <w:pPr>
              <w:pStyle w:val="4"/>
              <w:keepNext w:val="0"/>
              <w:keepLines w:val="0"/>
              <w:suppressLineNumbers w:val="0"/>
              <w:spacing w:beforeAutospacing="0" w:after="60" w:afterAutospacing="0" w:line="260" w:lineRule="auto"/>
              <w:ind w:left="0"/>
              <w:jc w:val="center"/>
              <w:rPr>
                <w:rFonts w:hint="default" w:ascii="Times New Roman" w:hAnsi="Times New Roman" w:eastAsia="黑体"/>
                <w:sz w:val="24"/>
                <w:szCs w:val="24"/>
              </w:rPr>
            </w:pPr>
            <w:r>
              <w:rPr>
                <w:rFonts w:hint="default" w:ascii="Times New Roman" w:hAnsi="Times New Roman" w:eastAsia="黑体"/>
                <w:sz w:val="24"/>
                <w:szCs w:val="24"/>
              </w:rPr>
              <w:t>表3.1-1  项目环境空气质量标准</w:t>
            </w:r>
            <w:bookmarkEnd w:id="7"/>
            <w:r>
              <w:rPr>
                <w:rFonts w:hint="default" w:ascii="Times New Roman" w:hAnsi="Times New Roman" w:eastAsia="黑体"/>
                <w:sz w:val="24"/>
                <w:szCs w:val="24"/>
              </w:rPr>
              <w:t>（摘录）</w:t>
            </w:r>
          </w:p>
          <w:tbl>
            <w:tblPr>
              <w:tblStyle w:val="26"/>
              <w:tblW w:w="80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2281"/>
              <w:gridCol w:w="1764"/>
              <w:gridCol w:w="19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污染物项目</w:t>
                  </w: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取值时间</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浓度限值</w:t>
                  </w:r>
                </w:p>
              </w:tc>
              <w:tc>
                <w:tcPr>
                  <w:tcW w:w="1968" w:type="dxa"/>
                  <w:tcBorders>
                    <w:tl2br w:val="nil"/>
                    <w:tr2bl w:val="nil"/>
                  </w:tcBorders>
                </w:tcPr>
                <w:p>
                  <w:pPr>
                    <w:pStyle w:val="15"/>
                    <w:keepNext w:val="0"/>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restart"/>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二氧化硫</w:t>
                  </w:r>
                </w:p>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SO</w:t>
                  </w:r>
                  <w:r>
                    <w:rPr>
                      <w:rFonts w:hint="default" w:ascii="Times New Roman" w:hAnsi="Times New Roman" w:cs="Times New Roman" w:eastAsiaTheme="minorEastAsia"/>
                      <w:bCs/>
                      <w:sz w:val="21"/>
                      <w:szCs w:val="21"/>
                      <w:vertAlign w:val="subscript"/>
                    </w:rPr>
                    <w:t>2</w:t>
                  </w: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年平均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60µ</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restart"/>
                  <w:tcBorders>
                    <w:tl2br w:val="nil"/>
                    <w:tr2bl w:val="nil"/>
                  </w:tcBorders>
                  <w:vAlign w:val="center"/>
                </w:tcPr>
                <w:p>
                  <w:pPr>
                    <w:pStyle w:val="15"/>
                    <w:keepNext w:val="0"/>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GB3095-2012</w:t>
                  </w:r>
                </w:p>
                <w:p>
                  <w:pPr>
                    <w:pStyle w:val="15"/>
                    <w:keepNext w:val="0"/>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《环境空气质量标准》二级标准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keepLines w:val="0"/>
                    <w:suppressLineNumbers w:val="0"/>
                    <w:spacing w:before="0" w:beforeAutospacing="0" w:after="0" w:afterAutospacing="0" w:line="320" w:lineRule="exact"/>
                    <w:ind w:left="0" w:right="0"/>
                    <w:rPr>
                      <w:rFonts w:hint="default" w:ascii="Times New Roman" w:hAnsi="Times New Roman" w:cs="Times New Roman" w:eastAsiaTheme="minorEastAsia"/>
                      <w:bCs/>
                      <w:sz w:val="21"/>
                      <w:szCs w:val="21"/>
                    </w:rPr>
                  </w:pP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24小时平均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150µ</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keepLines w:val="0"/>
                    <w:suppressLineNumbers w:val="0"/>
                    <w:spacing w:before="0" w:beforeAutospacing="0" w:after="0" w:afterAutospacing="0" w:line="320" w:lineRule="exact"/>
                    <w:ind w:left="0" w:right="0"/>
                    <w:rPr>
                      <w:rFonts w:hint="default" w:ascii="Times New Roman" w:hAnsi="Times New Roman" w:cs="Times New Roman" w:eastAsiaTheme="minorEastAsia"/>
                      <w:bCs/>
                      <w:sz w:val="21"/>
                      <w:szCs w:val="21"/>
                    </w:rPr>
                  </w:pP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1小时平均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500µ</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restart"/>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二氧化氮</w:t>
                  </w:r>
                </w:p>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NO</w:t>
                  </w:r>
                  <w:r>
                    <w:rPr>
                      <w:rFonts w:hint="default" w:ascii="Times New Roman" w:hAnsi="Times New Roman" w:cs="Times New Roman" w:eastAsiaTheme="minorEastAsia"/>
                      <w:bCs/>
                      <w:sz w:val="21"/>
                      <w:szCs w:val="21"/>
                      <w:vertAlign w:val="subscript"/>
                    </w:rPr>
                    <w:t>2</w:t>
                  </w: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年平均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40µ</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keepLines w:val="0"/>
                    <w:suppressLineNumbers w:val="0"/>
                    <w:spacing w:before="0" w:beforeAutospacing="0" w:after="0" w:afterAutospacing="0" w:line="320" w:lineRule="exact"/>
                    <w:ind w:left="0" w:right="0"/>
                    <w:rPr>
                      <w:rFonts w:hint="default" w:ascii="Times New Roman" w:hAnsi="Times New Roman" w:cs="Times New Roman" w:eastAsiaTheme="minorEastAsia"/>
                      <w:bCs/>
                      <w:sz w:val="21"/>
                      <w:szCs w:val="21"/>
                    </w:rPr>
                  </w:pP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24小时平均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80µ</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keepLines w:val="0"/>
                    <w:suppressLineNumbers w:val="0"/>
                    <w:spacing w:before="0" w:beforeAutospacing="0" w:after="0" w:afterAutospacing="0" w:line="320" w:lineRule="exact"/>
                    <w:ind w:left="0" w:right="0"/>
                    <w:rPr>
                      <w:rFonts w:hint="default" w:ascii="Times New Roman" w:hAnsi="Times New Roman" w:cs="Times New Roman" w:eastAsiaTheme="minorEastAsia"/>
                      <w:bCs/>
                      <w:sz w:val="21"/>
                      <w:szCs w:val="21"/>
                    </w:rPr>
                  </w:pP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1小时平均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200µ</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restart"/>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PM</w:t>
                  </w:r>
                  <w:r>
                    <w:rPr>
                      <w:rFonts w:hint="default" w:ascii="Times New Roman" w:hAnsi="Times New Roman" w:cs="Times New Roman" w:eastAsiaTheme="minorEastAsia"/>
                      <w:sz w:val="21"/>
                      <w:szCs w:val="21"/>
                      <w:vertAlign w:val="subscript"/>
                    </w:rPr>
                    <w:t>10</w:t>
                  </w:r>
                </w:p>
              </w:tc>
              <w:tc>
                <w:tcPr>
                  <w:tcW w:w="2281" w:type="dxa"/>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w:t>
                  </w:r>
                </w:p>
              </w:tc>
              <w:tc>
                <w:tcPr>
                  <w:tcW w:w="1764" w:type="dxa"/>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kern w:val="2"/>
                      <w:sz w:val="21"/>
                      <w:szCs w:val="21"/>
                      <w:lang w:val="en-US" w:eastAsia="zh-CN" w:bidi="ar-SA"/>
                    </w:rPr>
                    <w:t>70μ</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keepLines w:val="0"/>
                    <w:suppressLineNumbers w:val="0"/>
                    <w:spacing w:before="0" w:beforeAutospacing="0" w:after="0" w:afterAutospacing="0" w:line="320" w:lineRule="exact"/>
                    <w:ind w:left="0" w:right="0"/>
                    <w:rPr>
                      <w:rFonts w:hint="default" w:ascii="Times New Roman" w:hAnsi="Times New Roman" w:cs="Times New Roman" w:eastAsiaTheme="minorEastAsia"/>
                      <w:sz w:val="21"/>
                      <w:szCs w:val="21"/>
                    </w:rPr>
                  </w:pP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kern w:val="0"/>
                      <w:sz w:val="21"/>
                      <w:szCs w:val="21"/>
                    </w:rPr>
                    <w:t>24小时平均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kern w:val="0"/>
                      <w:sz w:val="21"/>
                      <w:szCs w:val="21"/>
                    </w:rPr>
                    <w:t>150μg/m</w:t>
                  </w:r>
                  <w:r>
                    <w:rPr>
                      <w:rFonts w:hint="default" w:ascii="Times New Roman" w:hAnsi="Times New Roman" w:cs="Times New Roman" w:eastAsiaTheme="minorEastAsia"/>
                      <w:kern w:val="0"/>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restart"/>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PM</w:t>
                  </w:r>
                  <w:r>
                    <w:rPr>
                      <w:rFonts w:hint="default" w:ascii="Times New Roman" w:hAnsi="Times New Roman" w:cs="Times New Roman" w:eastAsiaTheme="minorEastAsia"/>
                      <w:sz w:val="21"/>
                      <w:szCs w:val="21"/>
                      <w:vertAlign w:val="subscript"/>
                    </w:rPr>
                    <w:t>2.5</w:t>
                  </w:r>
                </w:p>
              </w:tc>
              <w:tc>
                <w:tcPr>
                  <w:tcW w:w="2281" w:type="dxa"/>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w:t>
                  </w:r>
                </w:p>
              </w:tc>
              <w:tc>
                <w:tcPr>
                  <w:tcW w:w="1764" w:type="dxa"/>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bidi="ar-SA"/>
                    </w:rPr>
                    <w:t>35μ</w:t>
                  </w:r>
                  <w:r>
                    <w:rPr>
                      <w:rFonts w:hint="default" w:ascii="Times New Roman" w:hAnsi="Times New Roman" w:cs="Times New Roman" w:eastAsiaTheme="minorEastAsia"/>
                      <w:sz w:val="21"/>
                      <w:szCs w:val="21"/>
                    </w:rPr>
                    <w:t>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keepLines w:val="0"/>
                    <w:suppressLineNumbers w:val="0"/>
                    <w:spacing w:before="0" w:beforeAutospacing="0" w:after="0" w:afterAutospacing="0" w:line="320" w:lineRule="exact"/>
                    <w:ind w:left="0" w:right="0"/>
                    <w:rPr>
                      <w:rFonts w:hint="default" w:ascii="Times New Roman" w:hAnsi="Times New Roman" w:cs="Times New Roman" w:eastAsiaTheme="minorEastAsia"/>
                      <w:sz w:val="21"/>
                      <w:szCs w:val="21"/>
                    </w:rPr>
                  </w:pP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kern w:val="0"/>
                      <w:sz w:val="21"/>
                      <w:szCs w:val="21"/>
                    </w:rPr>
                    <w:t>24小时平均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kern w:val="0"/>
                      <w:sz w:val="21"/>
                      <w:szCs w:val="21"/>
                    </w:rPr>
                    <w:t>75μg/m</w:t>
                  </w:r>
                  <w:r>
                    <w:rPr>
                      <w:rFonts w:hint="default" w:ascii="Times New Roman" w:hAnsi="Times New Roman" w:cs="Times New Roman" w:eastAsiaTheme="minorEastAsia"/>
                      <w:kern w:val="0"/>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restart"/>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一氧化碳（CO）</w:t>
                  </w:r>
                </w:p>
              </w:tc>
              <w:tc>
                <w:tcPr>
                  <w:tcW w:w="2281" w:type="dxa"/>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24小时平均</w:t>
                  </w:r>
                </w:p>
              </w:tc>
              <w:tc>
                <w:tcPr>
                  <w:tcW w:w="1764" w:type="dxa"/>
                  <w:tcBorders>
                    <w:tl2br w:val="nil"/>
                    <w:tr2bl w:val="nil"/>
                  </w:tcBorders>
                  <w:vAlign w:val="center"/>
                </w:tcPr>
                <w:p>
                  <w:pPr>
                    <w:keepNext/>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4mg/m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keepLines w:val="0"/>
                    <w:suppressLineNumbers w:val="0"/>
                    <w:spacing w:before="0" w:beforeAutospacing="0" w:after="0" w:afterAutospacing="0" w:line="320" w:lineRule="exact"/>
                    <w:ind w:left="0" w:right="0"/>
                    <w:rPr>
                      <w:rFonts w:hint="default" w:ascii="Times New Roman" w:hAnsi="Times New Roman" w:cs="Times New Roman" w:eastAsiaTheme="minorEastAsia"/>
                      <w:sz w:val="21"/>
                      <w:szCs w:val="21"/>
                    </w:rPr>
                  </w:pPr>
                </w:p>
              </w:tc>
              <w:tc>
                <w:tcPr>
                  <w:tcW w:w="2281"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kern w:val="0"/>
                      <w:sz w:val="21"/>
                      <w:szCs w:val="21"/>
                    </w:rPr>
                    <w:t>1小时平均</w:t>
                  </w:r>
                </w:p>
              </w:tc>
              <w:tc>
                <w:tcPr>
                  <w:tcW w:w="1764" w:type="dxa"/>
                  <w:tcBorders>
                    <w:tl2br w:val="nil"/>
                    <w:tr2bl w:val="nil"/>
                  </w:tcBorders>
                  <w:vAlign w:val="center"/>
                </w:tcPr>
                <w:p>
                  <w:pPr>
                    <w:pStyle w:val="15"/>
                    <w:keepNext/>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bCs/>
                      <w:sz w:val="21"/>
                      <w:szCs w:val="21"/>
                    </w:rPr>
                  </w:pPr>
                  <w:r>
                    <w:rPr>
                      <w:rFonts w:hint="default" w:ascii="Times New Roman" w:hAnsi="Times New Roman" w:cs="Times New Roman" w:eastAsiaTheme="minorEastAsia"/>
                      <w:kern w:val="0"/>
                      <w:sz w:val="21"/>
                      <w:szCs w:val="21"/>
                    </w:rPr>
                    <w:t>10mg/m</w:t>
                  </w:r>
                  <w:r>
                    <w:rPr>
                      <w:rFonts w:hint="default" w:ascii="Times New Roman" w:hAnsi="Times New Roman" w:cs="Times New Roman" w:eastAsiaTheme="minorEastAsia"/>
                      <w:kern w:val="0"/>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臭氧（O</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w:t>
                  </w:r>
                </w:p>
              </w:tc>
              <w:tc>
                <w:tcPr>
                  <w:tcW w:w="2281"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日最大8小时平均</w:t>
                  </w:r>
                </w:p>
              </w:tc>
              <w:tc>
                <w:tcPr>
                  <w:tcW w:w="1764"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160μg/m</w:t>
                  </w:r>
                  <w:r>
                    <w:rPr>
                      <w:rFonts w:hint="default" w:ascii="Times New Roman" w:hAnsi="Times New Roman" w:cs="Times New Roman" w:eastAsiaTheme="minorEastAsia"/>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4" w:type="dxa"/>
                  <w:vMerge w:val="continue"/>
                  <w:tcBorders>
                    <w:tl2br w:val="nil"/>
                    <w:tr2bl w:val="nil"/>
                  </w:tcBorders>
                  <w:vAlign w:val="center"/>
                </w:tcPr>
                <w:p>
                  <w:pPr>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sz w:val="21"/>
                      <w:szCs w:val="21"/>
                    </w:rPr>
                  </w:pPr>
                </w:p>
              </w:tc>
              <w:tc>
                <w:tcPr>
                  <w:tcW w:w="2281" w:type="dxa"/>
                  <w:tcBorders>
                    <w:tl2br w:val="nil"/>
                    <w:tr2bl w:val="nil"/>
                  </w:tcBorders>
                  <w:vAlign w:val="center"/>
                </w:tcPr>
                <w:p>
                  <w:pPr>
                    <w:pStyle w:val="15"/>
                    <w:keepNext w:val="0"/>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1小时平均</w:t>
                  </w:r>
                </w:p>
              </w:tc>
              <w:tc>
                <w:tcPr>
                  <w:tcW w:w="1764" w:type="dxa"/>
                  <w:tcBorders>
                    <w:tl2br w:val="nil"/>
                    <w:tr2bl w:val="nil"/>
                  </w:tcBorders>
                  <w:vAlign w:val="center"/>
                </w:tcPr>
                <w:p>
                  <w:pPr>
                    <w:pStyle w:val="15"/>
                    <w:keepNext w:val="0"/>
                    <w:keepLines w:val="0"/>
                    <w:suppressLineNumbers w:val="0"/>
                    <w:spacing w:before="0" w:beforeAutospacing="0" w:after="0" w:afterAutospacing="0" w:line="320" w:lineRule="exact"/>
                    <w:ind w:left="0" w:right="0"/>
                    <w:jc w:val="center"/>
                    <w:outlineLvl w:val="0"/>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200μg/m</w:t>
                  </w:r>
                  <w:r>
                    <w:rPr>
                      <w:rFonts w:hint="default" w:ascii="Times New Roman" w:hAnsi="Times New Roman" w:cs="Times New Roman" w:eastAsiaTheme="minorEastAsia"/>
                      <w:kern w:val="0"/>
                      <w:sz w:val="21"/>
                      <w:szCs w:val="21"/>
                      <w:vertAlign w:val="superscript"/>
                    </w:rPr>
                    <w:t>3</w:t>
                  </w:r>
                </w:p>
              </w:tc>
              <w:tc>
                <w:tcPr>
                  <w:tcW w:w="1968" w:type="dxa"/>
                  <w:vMerge w:val="continue"/>
                  <w:tcBorders>
                    <w:tl2br w:val="nil"/>
                    <w:tr2bl w:val="nil"/>
                  </w:tcBorders>
                </w:tcPr>
                <w:p>
                  <w:pPr>
                    <w:pStyle w:val="4"/>
                    <w:keepNext w:val="0"/>
                    <w:keepLines w:val="0"/>
                    <w:suppressLineNumbers w:val="0"/>
                    <w:spacing w:beforeAutospacing="0" w:afterAutospacing="0"/>
                    <w:ind w:left="0"/>
                    <w:rPr>
                      <w:rFonts w:hint="default" w:ascii="Times New Roman" w:hAnsi="Times New Roman" w:eastAsia="黑体" w:cs="Times New Roman"/>
                      <w:sz w:val="21"/>
                      <w:szCs w:val="21"/>
                    </w:rPr>
                  </w:pPr>
                </w:p>
              </w:tc>
            </w:tr>
          </w:tbl>
          <w:p>
            <w:pPr>
              <w:keepNext w:val="0"/>
              <w:keepLines w:val="0"/>
              <w:suppressLineNumbers w:val="0"/>
              <w:spacing w:before="0" w:beforeAutospacing="0" w:after="0" w:afterAutospacing="0" w:line="430" w:lineRule="exact"/>
              <w:ind w:left="0" w:right="0" w:firstLine="480" w:firstLineChars="200"/>
              <w:rPr>
                <w:rFonts w:hint="default" w:ascii="Times New Roman" w:hAnsi="Times New Roman"/>
                <w:kern w:val="0"/>
                <w:szCs w:val="20"/>
              </w:rPr>
            </w:pPr>
            <w:r>
              <w:rPr>
                <w:rFonts w:hint="eastAsia" w:ascii="Times New Roman" w:hAnsi="Times New Roman"/>
                <w:kern w:val="0"/>
                <w:szCs w:val="20"/>
              </w:rPr>
              <w:t>②特征污染物</w:t>
            </w:r>
          </w:p>
          <w:p>
            <w:pPr>
              <w:keepNext w:val="0"/>
              <w:keepLines w:val="0"/>
              <w:suppressLineNumbers w:val="0"/>
              <w:spacing w:before="0" w:beforeAutospacing="0" w:after="0" w:afterAutospacing="0" w:line="430" w:lineRule="exact"/>
              <w:ind w:left="0" w:right="0" w:firstLine="480" w:firstLineChars="200"/>
              <w:rPr>
                <w:rFonts w:hint="default" w:ascii="Times New Roman" w:hAnsi="Times New Roman"/>
                <w:kern w:val="0"/>
                <w:szCs w:val="20"/>
              </w:rPr>
            </w:pPr>
            <w:r>
              <w:rPr>
                <w:rFonts w:hint="eastAsia" w:ascii="Times New Roman" w:hAnsi="Times New Roman"/>
                <w:kern w:val="0"/>
                <w:szCs w:val="20"/>
              </w:rPr>
              <w:t>项目特征污染物TSP执行《环境空气质量标准》(GB3095-2012)表2二级标准。</w:t>
            </w:r>
          </w:p>
          <w:p>
            <w:pPr>
              <w:pStyle w:val="4"/>
              <w:keepNext w:val="0"/>
              <w:keepLines w:val="0"/>
              <w:suppressLineNumbers w:val="0"/>
              <w:spacing w:beforeAutospacing="0" w:after="60" w:afterAutospacing="0" w:line="260" w:lineRule="auto"/>
              <w:ind w:left="0"/>
              <w:jc w:val="center"/>
              <w:rPr>
                <w:rFonts w:hint="default" w:ascii="Times New Roman" w:hAnsi="Times New Roman" w:eastAsia="黑体"/>
                <w:sz w:val="24"/>
                <w:szCs w:val="24"/>
              </w:rPr>
            </w:pPr>
            <w:r>
              <w:rPr>
                <w:rFonts w:hint="default" w:ascii="Times New Roman" w:hAnsi="Times New Roman" w:eastAsia="黑体"/>
                <w:sz w:val="24"/>
                <w:szCs w:val="24"/>
              </w:rPr>
              <w:t>表3.1-</w:t>
            </w:r>
            <w:r>
              <w:rPr>
                <w:rFonts w:hint="eastAsia" w:ascii="Times New Roman" w:hAnsi="Times New Roman" w:eastAsia="黑体"/>
                <w:sz w:val="24"/>
                <w:szCs w:val="24"/>
              </w:rPr>
              <w:t>2</w:t>
            </w:r>
            <w:r>
              <w:rPr>
                <w:rFonts w:hint="default" w:ascii="Times New Roman" w:hAnsi="Times New Roman" w:eastAsia="黑体"/>
                <w:sz w:val="24"/>
                <w:szCs w:val="24"/>
              </w:rPr>
              <w:t xml:space="preserve">  项目环境空气质量标准（摘录）</w:t>
            </w:r>
          </w:p>
          <w:tbl>
            <w:tblPr>
              <w:tblStyle w:val="25"/>
              <w:tblW w:w="80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17"/>
              <w:gridCol w:w="1325"/>
              <w:gridCol w:w="1059"/>
              <w:gridCol w:w="4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7" w:type="dxa"/>
                  <w:vAlign w:val="center"/>
                </w:tcPr>
                <w:p>
                  <w:pPr>
                    <w:keepNext/>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污染物</w:t>
                  </w:r>
                  <w:r>
                    <w:rPr>
                      <w:rFonts w:hint="eastAsia" w:ascii="Times New Roman" w:hAnsi="Times New Roman"/>
                      <w:sz w:val="21"/>
                      <w:szCs w:val="21"/>
                    </w:rPr>
                    <w:t>项目</w:t>
                  </w:r>
                </w:p>
              </w:tc>
              <w:tc>
                <w:tcPr>
                  <w:tcW w:w="1325" w:type="dxa"/>
                  <w:vAlign w:val="center"/>
                </w:tcPr>
                <w:p>
                  <w:pPr>
                    <w:keepNext/>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平均时间</w:t>
                  </w:r>
                </w:p>
              </w:tc>
              <w:tc>
                <w:tcPr>
                  <w:tcW w:w="1059" w:type="dxa"/>
                  <w:vAlign w:val="center"/>
                </w:tcPr>
                <w:p>
                  <w:pPr>
                    <w:keepNext/>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浓度</w:t>
                  </w:r>
                  <w:r>
                    <w:rPr>
                      <w:rFonts w:hint="eastAsia" w:ascii="Times New Roman" w:hAnsi="Times New Roman"/>
                      <w:sz w:val="21"/>
                      <w:szCs w:val="21"/>
                    </w:rPr>
                    <w:t>限值</w:t>
                  </w:r>
                </w:p>
              </w:tc>
              <w:tc>
                <w:tcPr>
                  <w:tcW w:w="4307" w:type="dxa"/>
                  <w:vAlign w:val="center"/>
                </w:tcPr>
                <w:p>
                  <w:pPr>
                    <w:keepNext/>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7"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TSP</w:t>
                  </w:r>
                </w:p>
              </w:tc>
              <w:tc>
                <w:tcPr>
                  <w:tcW w:w="132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年平均</w:t>
                  </w:r>
                </w:p>
              </w:tc>
              <w:tc>
                <w:tcPr>
                  <w:tcW w:w="105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200μg/m</w:t>
                  </w:r>
                  <w:r>
                    <w:rPr>
                      <w:rFonts w:hint="default" w:ascii="Times New Roman" w:hAnsi="Times New Roman"/>
                      <w:sz w:val="21"/>
                      <w:szCs w:val="21"/>
                      <w:vertAlign w:val="superscript"/>
                    </w:rPr>
                    <w:t>3</w:t>
                  </w:r>
                </w:p>
              </w:tc>
              <w:tc>
                <w:tcPr>
                  <w:tcW w:w="4307" w:type="dxa"/>
                  <w:vMerge w:val="restart"/>
                  <w:vAlign w:val="center"/>
                </w:tcPr>
                <w:p>
                  <w:pPr>
                    <w:keepNext/>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 xml:space="preserve">《环境空气质量标准》(GB3095-2012)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p>
              </w:tc>
              <w:tc>
                <w:tcPr>
                  <w:tcW w:w="132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24小时平均</w:t>
                  </w:r>
                </w:p>
              </w:tc>
              <w:tc>
                <w:tcPr>
                  <w:tcW w:w="105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300</w:t>
                  </w:r>
                  <w:r>
                    <w:rPr>
                      <w:rFonts w:hint="default" w:ascii="Times New Roman" w:hAnsi="Times New Roman"/>
                      <w:sz w:val="21"/>
                      <w:szCs w:val="21"/>
                    </w:rPr>
                    <w:t>μg/m</w:t>
                  </w:r>
                  <w:r>
                    <w:rPr>
                      <w:rFonts w:hint="default" w:ascii="Times New Roman" w:hAnsi="Times New Roman"/>
                      <w:sz w:val="21"/>
                      <w:szCs w:val="21"/>
                      <w:vertAlign w:val="superscript"/>
                    </w:rPr>
                    <w:t>3</w:t>
                  </w:r>
                </w:p>
              </w:tc>
              <w:tc>
                <w:tcPr>
                  <w:tcW w:w="4307" w:type="dxa"/>
                  <w:vMerge w:val="continue"/>
                  <w:vAlign w:val="center"/>
                </w:tcPr>
                <w:p>
                  <w:pPr>
                    <w:keepNext/>
                    <w:keepLines w:val="0"/>
                    <w:suppressLineNumbers w:val="0"/>
                    <w:autoSpaceDE w:val="0"/>
                    <w:autoSpaceDN w:val="0"/>
                    <w:adjustRightInd w:val="0"/>
                    <w:spacing w:before="0" w:beforeAutospacing="0" w:after="0" w:afterAutospacing="0"/>
                    <w:ind w:left="0" w:right="0"/>
                    <w:jc w:val="center"/>
                    <w:rPr>
                      <w:rFonts w:hint="default" w:ascii="Times New Roman" w:hAnsi="Times New Roman"/>
                      <w:sz w:val="21"/>
                      <w:szCs w:val="21"/>
                    </w:rPr>
                  </w:pPr>
                </w:p>
              </w:tc>
            </w:tr>
          </w:tbl>
          <w:p>
            <w:pPr>
              <w:pStyle w:val="3"/>
              <w:keepNext w:val="0"/>
              <w:keepLines w:val="0"/>
              <w:numPr>
                <w:ilvl w:val="0"/>
                <w:numId w:val="5"/>
              </w:numPr>
              <w:suppressLineNumbers w:val="0"/>
              <w:spacing w:beforeAutospacing="0" w:after="0" w:afterAutospacing="0" w:line="430" w:lineRule="exact"/>
              <w:ind w:left="0" w:firstLine="240"/>
              <w:rPr>
                <w:rFonts w:hint="default" w:ascii="Times New Roman" w:hAnsi="Times New Roman"/>
              </w:rPr>
            </w:pPr>
            <w:r>
              <w:rPr>
                <w:rFonts w:hint="default" w:ascii="Times New Roman" w:hAnsi="Times New Roman"/>
              </w:rPr>
              <w:t>大气环境质量现状</w:t>
            </w:r>
          </w:p>
          <w:p>
            <w:pPr>
              <w:keepNext w:val="0"/>
              <w:keepLines w:val="0"/>
              <w:suppressLineNumbers w:val="0"/>
              <w:spacing w:before="0" w:beforeAutospacing="0" w:after="0" w:afterAutospacing="0" w:line="430" w:lineRule="exact"/>
              <w:ind w:left="0" w:right="0" w:firstLine="480" w:firstLineChars="200"/>
              <w:rPr>
                <w:rFonts w:hint="default" w:ascii="Times New Roman" w:hAnsi="Times New Roman"/>
                <w:kern w:val="0"/>
                <w:szCs w:val="20"/>
              </w:rPr>
            </w:pPr>
            <w:r>
              <w:rPr>
                <w:rFonts w:hint="eastAsia" w:ascii="Times New Roman" w:hAnsi="Times New Roman"/>
                <w:kern w:val="0"/>
                <w:szCs w:val="20"/>
              </w:rPr>
              <w:t>①基本污染物</w:t>
            </w:r>
          </w:p>
          <w:p>
            <w:pPr>
              <w:pStyle w:val="3"/>
              <w:keepNext w:val="0"/>
              <w:keepLines w:val="0"/>
              <w:suppressLineNumbers w:val="0"/>
              <w:spacing w:beforeAutospacing="0" w:afterAutospacing="0" w:line="430" w:lineRule="exact"/>
              <w:ind w:left="0" w:right="-120" w:firstLine="480" w:firstLineChars="200"/>
              <w:rPr>
                <w:rFonts w:hint="default" w:ascii="Times New Roman" w:hAnsi="Times New Roman"/>
                <w:szCs w:val="24"/>
              </w:rPr>
            </w:pPr>
            <w:r>
              <w:rPr>
                <w:rFonts w:hint="default" w:ascii="Times New Roman" w:hAnsi="Times New Roman"/>
              </w:rPr>
              <w:t>根据《</w:t>
            </w:r>
            <w:r>
              <w:rPr>
                <w:rFonts w:hint="default" w:ascii="Times New Roman" w:hAnsi="Times New Roman"/>
                <w:bCs/>
                <w:szCs w:val="24"/>
                <w:shd w:val="clear" w:color="auto" w:fill="FFFFFF"/>
              </w:rPr>
              <w:t>202</w:t>
            </w:r>
            <w:r>
              <w:rPr>
                <w:rFonts w:hint="eastAsia" w:ascii="Times New Roman" w:hAnsi="Times New Roman"/>
                <w:bCs/>
                <w:szCs w:val="24"/>
                <w:shd w:val="clear" w:color="auto" w:fill="FFFFFF"/>
              </w:rPr>
              <w:t>4</w:t>
            </w:r>
            <w:r>
              <w:rPr>
                <w:rFonts w:hint="default" w:ascii="Times New Roman" w:hAnsi="Times New Roman"/>
                <w:bCs/>
                <w:szCs w:val="24"/>
                <w:shd w:val="clear" w:color="auto" w:fill="FFFFFF"/>
              </w:rPr>
              <w:t>年</w:t>
            </w:r>
            <w:r>
              <w:rPr>
                <w:rFonts w:hint="eastAsia" w:ascii="Times New Roman" w:hAnsi="Times New Roman"/>
                <w:bCs/>
                <w:szCs w:val="24"/>
                <w:shd w:val="clear" w:color="auto" w:fill="FFFFFF"/>
              </w:rPr>
              <w:t>3</w:t>
            </w:r>
            <w:r>
              <w:rPr>
                <w:rFonts w:hint="default" w:ascii="Times New Roman" w:hAnsi="Times New Roman"/>
                <w:bCs/>
                <w:szCs w:val="24"/>
                <w:shd w:val="clear" w:color="auto" w:fill="FFFFFF"/>
              </w:rPr>
              <w:t>月三明市环境空气质量月报》（三明市环境生态局，20</w:t>
            </w:r>
            <w:r>
              <w:rPr>
                <w:rFonts w:hint="eastAsia" w:ascii="Times New Roman" w:hAnsi="Times New Roman"/>
                <w:bCs/>
                <w:szCs w:val="24"/>
                <w:shd w:val="clear" w:color="auto" w:fill="FFFFFF"/>
              </w:rPr>
              <w:t>24</w:t>
            </w:r>
            <w:r>
              <w:rPr>
                <w:rFonts w:hint="default" w:ascii="Times New Roman" w:hAnsi="Times New Roman"/>
                <w:bCs/>
                <w:szCs w:val="24"/>
                <w:shd w:val="clear" w:color="auto" w:fill="FFFFFF"/>
              </w:rPr>
              <w:t>年</w:t>
            </w:r>
            <w:r>
              <w:rPr>
                <w:rFonts w:hint="eastAsia" w:ascii="Times New Roman" w:hAnsi="Times New Roman"/>
                <w:bCs/>
                <w:szCs w:val="24"/>
                <w:shd w:val="clear" w:color="auto" w:fill="FFFFFF"/>
              </w:rPr>
              <w:t>4</w:t>
            </w:r>
            <w:r>
              <w:rPr>
                <w:rFonts w:hint="default" w:ascii="Times New Roman" w:hAnsi="Times New Roman"/>
                <w:bCs/>
                <w:szCs w:val="24"/>
                <w:shd w:val="clear" w:color="auto" w:fill="FFFFFF"/>
              </w:rPr>
              <w:t>月</w:t>
            </w:r>
            <w:r>
              <w:rPr>
                <w:rFonts w:hint="eastAsia" w:ascii="Times New Roman" w:hAnsi="Times New Roman"/>
                <w:bCs/>
                <w:szCs w:val="24"/>
                <w:shd w:val="clear" w:color="auto" w:fill="FFFFFF"/>
              </w:rPr>
              <w:t>10</w:t>
            </w:r>
            <w:r>
              <w:rPr>
                <w:rFonts w:hint="default" w:ascii="Times New Roman" w:hAnsi="Times New Roman"/>
                <w:bCs/>
                <w:szCs w:val="24"/>
                <w:shd w:val="clear" w:color="auto" w:fill="FFFFFF"/>
              </w:rPr>
              <w:t>日），20</w:t>
            </w:r>
            <w:r>
              <w:rPr>
                <w:rFonts w:hint="eastAsia" w:ascii="Times New Roman" w:hAnsi="Times New Roman"/>
                <w:bCs/>
                <w:szCs w:val="24"/>
                <w:shd w:val="clear" w:color="auto" w:fill="FFFFFF"/>
              </w:rPr>
              <w:t>24</w:t>
            </w:r>
            <w:r>
              <w:rPr>
                <w:rFonts w:hint="default" w:ascii="Times New Roman" w:hAnsi="Times New Roman"/>
                <w:bCs/>
                <w:szCs w:val="24"/>
                <w:shd w:val="clear" w:color="auto" w:fill="FFFFFF"/>
              </w:rPr>
              <w:t>年</w:t>
            </w:r>
            <w:r>
              <w:rPr>
                <w:rFonts w:hint="eastAsia" w:ascii="Times New Roman" w:hAnsi="Times New Roman"/>
                <w:bCs/>
                <w:szCs w:val="24"/>
                <w:shd w:val="clear" w:color="auto" w:fill="FFFFFF"/>
              </w:rPr>
              <w:t>3</w:t>
            </w:r>
            <w:r>
              <w:rPr>
                <w:rFonts w:hint="default" w:ascii="Times New Roman" w:hAnsi="Times New Roman"/>
                <w:bCs/>
                <w:szCs w:val="24"/>
                <w:shd w:val="clear" w:color="auto" w:fill="FFFFFF"/>
              </w:rPr>
              <w:t>月，市区达标天数比例为100%，空气质量综合指数为</w:t>
            </w:r>
            <w:r>
              <w:rPr>
                <w:rFonts w:hint="eastAsia" w:ascii="Times New Roman" w:hAnsi="Times New Roman"/>
                <w:bCs/>
                <w:szCs w:val="24"/>
                <w:shd w:val="clear" w:color="auto" w:fill="FFFFFF"/>
              </w:rPr>
              <w:t>3.07</w:t>
            </w:r>
            <w:r>
              <w:rPr>
                <w:rFonts w:hint="default" w:ascii="Times New Roman" w:hAnsi="Times New Roman"/>
                <w:bCs/>
                <w:szCs w:val="24"/>
                <w:shd w:val="clear" w:color="auto" w:fill="FFFFFF"/>
              </w:rPr>
              <w:t>，首要污染物为</w:t>
            </w:r>
            <w:r>
              <w:rPr>
                <w:rFonts w:hint="eastAsia" w:ascii="Times New Roman" w:hAnsi="Times New Roman"/>
                <w:bCs/>
                <w:szCs w:val="24"/>
                <w:shd w:val="clear" w:color="auto" w:fill="FFFFFF"/>
              </w:rPr>
              <w:t>细颗粒物</w:t>
            </w:r>
            <w:r>
              <w:rPr>
                <w:rFonts w:hint="default" w:ascii="Times New Roman" w:hAnsi="Times New Roman"/>
                <w:bCs/>
                <w:szCs w:val="24"/>
                <w:shd w:val="clear" w:color="auto" w:fill="FFFFFF"/>
              </w:rPr>
              <w:t>。各县（市、区）达标天数比例均为100%，空气质量综合指数范围为</w:t>
            </w:r>
            <w:r>
              <w:rPr>
                <w:rFonts w:hint="eastAsia" w:ascii="Times New Roman" w:hAnsi="Times New Roman"/>
                <w:bCs/>
                <w:szCs w:val="24"/>
                <w:shd w:val="clear" w:color="auto" w:fill="FFFFFF"/>
                <w:lang w:eastAsia="zh-CN"/>
              </w:rPr>
              <w:t>1.62</w:t>
            </w:r>
            <w:r>
              <w:rPr>
                <w:rFonts w:hint="default" w:ascii="Times New Roman" w:hAnsi="Times New Roman"/>
                <w:bCs/>
                <w:szCs w:val="24"/>
                <w:shd w:val="clear" w:color="auto" w:fill="FFFFFF"/>
              </w:rPr>
              <w:t>—</w:t>
            </w:r>
            <w:r>
              <w:rPr>
                <w:rFonts w:hint="eastAsia" w:ascii="Times New Roman" w:hAnsi="Times New Roman"/>
                <w:bCs/>
                <w:szCs w:val="24"/>
                <w:shd w:val="clear" w:color="auto" w:fill="FFFFFF"/>
              </w:rPr>
              <w:t>2.69</w:t>
            </w:r>
            <w:r>
              <w:rPr>
                <w:rFonts w:hint="default" w:ascii="Times New Roman" w:hAnsi="Times New Roman"/>
                <w:bCs/>
                <w:szCs w:val="24"/>
                <w:shd w:val="clear" w:color="auto" w:fill="FFFFFF"/>
              </w:rPr>
              <w:t>，</w:t>
            </w:r>
            <w:r>
              <w:rPr>
                <w:rFonts w:hint="eastAsia" w:ascii="Times New Roman" w:hAnsi="Times New Roman"/>
                <w:bCs/>
                <w:szCs w:val="24"/>
                <w:shd w:val="clear" w:color="auto" w:fill="FFFFFF"/>
              </w:rPr>
              <w:t>永宁市首要污染物为细颗粒物</w:t>
            </w:r>
            <w:r>
              <w:rPr>
                <w:rFonts w:hint="default" w:ascii="宋体" w:hAnsi="宋体" w:cs="宋体"/>
                <w:sz w:val="25"/>
                <w:szCs w:val="25"/>
                <w:shd w:val="clear" w:color="auto" w:fill="FFFFFF"/>
              </w:rPr>
              <w:t>，其余各县（</w:t>
            </w:r>
            <w:r>
              <w:rPr>
                <w:rFonts w:hint="eastAsia" w:ascii="宋体" w:hAnsi="宋体" w:cs="宋体"/>
                <w:sz w:val="25"/>
                <w:szCs w:val="25"/>
                <w:shd w:val="clear" w:color="auto" w:fill="FFFFFF"/>
              </w:rPr>
              <w:t>区</w:t>
            </w:r>
            <w:r>
              <w:rPr>
                <w:rFonts w:hint="default" w:ascii="宋体" w:hAnsi="宋体" w:cs="宋体"/>
                <w:sz w:val="25"/>
                <w:szCs w:val="25"/>
                <w:shd w:val="clear" w:color="auto" w:fill="FFFFFF"/>
              </w:rPr>
              <w:t>）</w:t>
            </w:r>
            <w:r>
              <w:rPr>
                <w:rFonts w:hint="eastAsia" w:ascii="宋体" w:hAnsi="宋体" w:cs="宋体"/>
                <w:sz w:val="25"/>
                <w:szCs w:val="25"/>
                <w:shd w:val="clear" w:color="auto" w:fill="FFFFFF"/>
              </w:rPr>
              <w:t>首要污染物均为臭氧</w:t>
            </w:r>
            <w:r>
              <w:rPr>
                <w:rFonts w:hint="default" w:ascii="Times New Roman" w:hAnsi="Times New Roman"/>
                <w:bCs/>
                <w:szCs w:val="24"/>
                <w:shd w:val="clear" w:color="auto" w:fill="FFFFFF"/>
              </w:rPr>
              <w:t>。大田县环境空气质量综合指数为</w:t>
            </w:r>
            <w:r>
              <w:rPr>
                <w:rFonts w:hint="eastAsia" w:ascii="Times New Roman" w:hAnsi="Times New Roman"/>
                <w:bCs/>
                <w:szCs w:val="24"/>
                <w:shd w:val="clear" w:color="auto" w:fill="FFFFFF"/>
              </w:rPr>
              <w:t>2.11</w:t>
            </w:r>
            <w:r>
              <w:rPr>
                <w:rFonts w:hint="default" w:ascii="Times New Roman" w:hAnsi="Times New Roman"/>
                <w:bCs/>
                <w:szCs w:val="24"/>
                <w:shd w:val="clear" w:color="auto" w:fill="FFFFFF"/>
              </w:rPr>
              <w:t>，达标天数比例为100%，首要污染物</w:t>
            </w:r>
            <w:r>
              <w:rPr>
                <w:rFonts w:hint="default" w:ascii="Times New Roman" w:hAnsi="Times New Roman"/>
                <w:szCs w:val="24"/>
              </w:rPr>
              <w:t>为臭氧，SO</w:t>
            </w:r>
            <w:r>
              <w:rPr>
                <w:rFonts w:hint="default" w:ascii="Times New Roman" w:hAnsi="Times New Roman"/>
                <w:szCs w:val="24"/>
                <w:vertAlign w:val="subscript"/>
              </w:rPr>
              <w:t>2</w:t>
            </w:r>
            <w:r>
              <w:rPr>
                <w:rFonts w:hint="default" w:ascii="Times New Roman" w:hAnsi="Times New Roman"/>
                <w:szCs w:val="24"/>
              </w:rPr>
              <w:t>浓度为</w:t>
            </w:r>
            <w:r>
              <w:rPr>
                <w:rFonts w:hint="eastAsia" w:ascii="Times New Roman" w:hAnsi="Times New Roman"/>
                <w:szCs w:val="24"/>
              </w:rPr>
              <w:t>5</w:t>
            </w:r>
            <w:r>
              <w:rPr>
                <w:rFonts w:hint="default" w:ascii="Times New Roman" w:hAnsi="Times New Roman"/>
                <w:szCs w:val="24"/>
              </w:rPr>
              <w:t>μg/m</w:t>
            </w:r>
            <w:r>
              <w:rPr>
                <w:rFonts w:hint="default" w:ascii="Times New Roman" w:hAnsi="Times New Roman"/>
                <w:szCs w:val="24"/>
                <w:vertAlign w:val="superscript"/>
              </w:rPr>
              <w:t>3</w:t>
            </w:r>
            <w:r>
              <w:rPr>
                <w:rFonts w:hint="default" w:ascii="Times New Roman" w:hAnsi="Times New Roman"/>
                <w:szCs w:val="24"/>
              </w:rPr>
              <w:t>、NO</w:t>
            </w:r>
            <w:r>
              <w:rPr>
                <w:rFonts w:hint="default" w:ascii="Times New Roman" w:hAnsi="Times New Roman"/>
                <w:szCs w:val="24"/>
                <w:vertAlign w:val="subscript"/>
              </w:rPr>
              <w:t>2</w:t>
            </w:r>
            <w:r>
              <w:rPr>
                <w:rFonts w:hint="default" w:ascii="Times New Roman" w:hAnsi="Times New Roman"/>
                <w:szCs w:val="24"/>
              </w:rPr>
              <w:t>浓度为</w:t>
            </w:r>
            <w:r>
              <w:rPr>
                <w:rFonts w:hint="eastAsia" w:ascii="Times New Roman" w:hAnsi="Times New Roman"/>
                <w:szCs w:val="24"/>
              </w:rPr>
              <w:t>8</w:t>
            </w:r>
            <w:r>
              <w:rPr>
                <w:rFonts w:hint="default" w:ascii="Times New Roman" w:hAnsi="Times New Roman"/>
                <w:szCs w:val="24"/>
              </w:rPr>
              <w:t>μg/m</w:t>
            </w:r>
            <w:r>
              <w:rPr>
                <w:rFonts w:hint="default" w:ascii="Times New Roman" w:hAnsi="Times New Roman"/>
                <w:szCs w:val="24"/>
                <w:vertAlign w:val="superscript"/>
              </w:rPr>
              <w:t>3</w:t>
            </w:r>
            <w:r>
              <w:rPr>
                <w:rFonts w:hint="default" w:ascii="Times New Roman" w:hAnsi="Times New Roman"/>
                <w:szCs w:val="24"/>
              </w:rPr>
              <w:t>、PM</w:t>
            </w:r>
            <w:r>
              <w:rPr>
                <w:rFonts w:hint="default" w:ascii="Times New Roman" w:hAnsi="Times New Roman"/>
                <w:szCs w:val="24"/>
                <w:vertAlign w:val="subscript"/>
              </w:rPr>
              <w:t>10</w:t>
            </w:r>
            <w:r>
              <w:rPr>
                <w:rFonts w:hint="default" w:ascii="Times New Roman" w:hAnsi="Times New Roman"/>
                <w:szCs w:val="24"/>
              </w:rPr>
              <w:t>浓度为</w:t>
            </w:r>
            <w:r>
              <w:rPr>
                <w:rFonts w:hint="eastAsia" w:ascii="Times New Roman" w:hAnsi="Times New Roman"/>
                <w:szCs w:val="24"/>
              </w:rPr>
              <w:t>31</w:t>
            </w:r>
            <w:r>
              <w:rPr>
                <w:rFonts w:hint="default" w:ascii="Times New Roman" w:hAnsi="Times New Roman"/>
                <w:szCs w:val="24"/>
              </w:rPr>
              <w:t>μg/m</w:t>
            </w:r>
            <w:r>
              <w:rPr>
                <w:rFonts w:hint="default" w:ascii="Times New Roman" w:hAnsi="Times New Roman"/>
                <w:szCs w:val="24"/>
                <w:vertAlign w:val="superscript"/>
              </w:rPr>
              <w:t>3</w:t>
            </w:r>
            <w:r>
              <w:rPr>
                <w:rFonts w:hint="default" w:ascii="Times New Roman" w:hAnsi="Times New Roman"/>
                <w:szCs w:val="24"/>
              </w:rPr>
              <w:t>、PM</w:t>
            </w:r>
            <w:r>
              <w:rPr>
                <w:rFonts w:hint="default" w:ascii="Times New Roman" w:hAnsi="Times New Roman"/>
                <w:szCs w:val="24"/>
                <w:vertAlign w:val="subscript"/>
              </w:rPr>
              <w:t>2.5</w:t>
            </w:r>
            <w:r>
              <w:rPr>
                <w:rFonts w:hint="default" w:ascii="Times New Roman" w:hAnsi="Times New Roman"/>
                <w:szCs w:val="24"/>
              </w:rPr>
              <w:t>浓度为</w:t>
            </w:r>
            <w:r>
              <w:rPr>
                <w:rFonts w:hint="eastAsia" w:ascii="Times New Roman" w:hAnsi="Times New Roman"/>
                <w:szCs w:val="24"/>
              </w:rPr>
              <w:t>18</w:t>
            </w:r>
            <w:r>
              <w:rPr>
                <w:rFonts w:hint="default" w:ascii="Times New Roman" w:hAnsi="Times New Roman"/>
                <w:szCs w:val="24"/>
              </w:rPr>
              <w:t>μg/m</w:t>
            </w:r>
            <w:r>
              <w:rPr>
                <w:rFonts w:hint="default" w:ascii="Times New Roman" w:hAnsi="Times New Roman"/>
                <w:szCs w:val="24"/>
                <w:vertAlign w:val="superscript"/>
              </w:rPr>
              <w:t>3</w:t>
            </w:r>
            <w:r>
              <w:rPr>
                <w:rFonts w:hint="default" w:ascii="Times New Roman" w:hAnsi="Times New Roman"/>
                <w:szCs w:val="24"/>
              </w:rPr>
              <w:t>、CO（95per）浓度为</w:t>
            </w:r>
            <w:r>
              <w:rPr>
                <w:rFonts w:hint="eastAsia" w:ascii="Times New Roman" w:hAnsi="Times New Roman"/>
                <w:szCs w:val="24"/>
              </w:rPr>
              <w:t>0.8</w:t>
            </w:r>
            <w:r>
              <w:rPr>
                <w:rFonts w:hint="default" w:ascii="Times New Roman" w:hAnsi="Times New Roman"/>
                <w:szCs w:val="24"/>
              </w:rPr>
              <w:t>mg/m</w:t>
            </w:r>
            <w:r>
              <w:rPr>
                <w:rFonts w:hint="default" w:ascii="Times New Roman" w:hAnsi="Times New Roman"/>
                <w:szCs w:val="24"/>
                <w:vertAlign w:val="superscript"/>
              </w:rPr>
              <w:t>3</w:t>
            </w:r>
            <w:r>
              <w:rPr>
                <w:rFonts w:hint="default" w:ascii="Times New Roman" w:hAnsi="Times New Roman"/>
                <w:szCs w:val="24"/>
              </w:rPr>
              <w:t>、O</w:t>
            </w:r>
            <w:r>
              <w:rPr>
                <w:rFonts w:hint="default" w:ascii="Times New Roman" w:hAnsi="Times New Roman"/>
                <w:szCs w:val="24"/>
                <w:vertAlign w:val="subscript"/>
              </w:rPr>
              <w:t>3</w:t>
            </w:r>
            <w:r>
              <w:rPr>
                <w:rFonts w:hint="default" w:ascii="Times New Roman" w:hAnsi="Times New Roman"/>
                <w:szCs w:val="24"/>
              </w:rPr>
              <w:t>（8h-90per）浓度为</w:t>
            </w:r>
            <w:r>
              <w:rPr>
                <w:rFonts w:hint="eastAsia" w:ascii="Times New Roman" w:hAnsi="Times New Roman"/>
                <w:szCs w:val="24"/>
              </w:rPr>
              <w:t>108</w:t>
            </w:r>
            <w:r>
              <w:rPr>
                <w:rFonts w:hint="default" w:ascii="Times New Roman" w:hAnsi="Times New Roman"/>
                <w:szCs w:val="24"/>
              </w:rPr>
              <w:t>μg/m</w:t>
            </w:r>
            <w:r>
              <w:rPr>
                <w:rFonts w:hint="default" w:ascii="Times New Roman" w:hAnsi="Times New Roman"/>
                <w:szCs w:val="24"/>
                <w:vertAlign w:val="superscript"/>
              </w:rPr>
              <w:t>3</w:t>
            </w:r>
            <w:r>
              <w:rPr>
                <w:rFonts w:hint="default" w:ascii="Times New Roman" w:hAnsi="Times New Roman"/>
                <w:szCs w:val="24"/>
              </w:rPr>
              <w:t>。项目所在的区域为环境空气质量达标区。</w:t>
            </w:r>
          </w:p>
          <w:p>
            <w:pPr>
              <w:keepNext w:val="0"/>
              <w:keepLines w:val="0"/>
              <w:suppressLineNumbers w:val="0"/>
              <w:spacing w:before="0" w:beforeAutospacing="0" w:after="0" w:afterAutospacing="0" w:line="430" w:lineRule="exact"/>
              <w:ind w:left="0" w:right="0" w:firstLine="480" w:firstLineChars="200"/>
              <w:rPr>
                <w:rFonts w:hint="default" w:ascii="Times New Roman" w:hAnsi="Times New Roman"/>
                <w:kern w:val="0"/>
                <w:szCs w:val="20"/>
              </w:rPr>
            </w:pPr>
            <w:r>
              <w:rPr>
                <w:rFonts w:hint="eastAsia" w:ascii="Times New Roman" w:hAnsi="Times New Roman"/>
                <w:kern w:val="0"/>
                <w:szCs w:val="20"/>
              </w:rPr>
              <w:t>②特征污染物</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为了解本项目特征污染物（</w:t>
            </w:r>
            <w:r>
              <w:rPr>
                <w:rFonts w:hint="eastAsia" w:ascii="Times New Roman" w:hAnsi="Times New Roman"/>
              </w:rPr>
              <w:t>TSP</w:t>
            </w:r>
            <w:r>
              <w:rPr>
                <w:rFonts w:hint="default" w:ascii="Times New Roman" w:hAnsi="Times New Roman"/>
              </w:rPr>
              <w:t>）环境空气质量现状情况，</w:t>
            </w:r>
            <w:r>
              <w:rPr>
                <w:rFonts w:hint="eastAsia" w:ascii="Times New Roman" w:hAnsi="Times New Roman"/>
              </w:rPr>
              <w:t>本项目委托</w:t>
            </w:r>
            <w:r>
              <w:rPr>
                <w:rFonts w:hint="default" w:ascii="Times New Roman" w:hAnsi="Times New Roman"/>
              </w:rPr>
              <w:t>福建天安环境检测评价有限公司</w:t>
            </w:r>
            <w:r>
              <w:rPr>
                <w:rFonts w:hint="eastAsia" w:ascii="Times New Roman" w:hAnsi="Times New Roman"/>
              </w:rPr>
              <w:t>于2023年12月28日～ 12月30日（连续3天）对项目东北侧5m处对TSP进行环境空气进行检测。</w:t>
            </w:r>
            <w:r>
              <w:rPr>
                <w:rFonts w:hint="default" w:ascii="Times New Roman" w:hAnsi="Times New Roman"/>
              </w:rPr>
              <w:t>具体监测点位见图3-1，具体监测结果见</w:t>
            </w:r>
            <w:r>
              <w:rPr>
                <w:rFonts w:hint="eastAsia" w:ascii="Times New Roman" w:hAnsi="Times New Roman"/>
              </w:rPr>
              <w:t>表3.1-3。</w:t>
            </w:r>
          </w:p>
          <w:p>
            <w:pPr>
              <w:pStyle w:val="4"/>
              <w:keepNext w:val="0"/>
              <w:keepLines w:val="0"/>
              <w:suppressLineNumbers w:val="0"/>
              <w:spacing w:beforeAutospacing="0" w:after="60" w:afterAutospacing="0" w:line="260" w:lineRule="auto"/>
              <w:ind w:left="0"/>
              <w:jc w:val="center"/>
              <w:rPr>
                <w:rFonts w:hint="default" w:ascii="Times New Roman" w:hAnsi="Times New Roman" w:eastAsia="黑体"/>
                <w:sz w:val="24"/>
                <w:szCs w:val="24"/>
              </w:rPr>
            </w:pPr>
            <w:r>
              <w:rPr>
                <w:rFonts w:hint="default" w:ascii="Times New Roman" w:hAnsi="Times New Roman" w:eastAsia="黑体"/>
                <w:sz w:val="24"/>
                <w:szCs w:val="24"/>
              </w:rPr>
              <w:t>表3.1-</w:t>
            </w:r>
            <w:r>
              <w:rPr>
                <w:rFonts w:hint="eastAsia" w:ascii="Times New Roman" w:hAnsi="Times New Roman" w:eastAsia="黑体"/>
                <w:sz w:val="24"/>
                <w:szCs w:val="24"/>
              </w:rPr>
              <w:t>3</w:t>
            </w:r>
            <w:r>
              <w:rPr>
                <w:rFonts w:hint="default" w:ascii="Times New Roman" w:hAnsi="Times New Roman" w:eastAsia="黑体"/>
                <w:sz w:val="24"/>
                <w:szCs w:val="24"/>
              </w:rPr>
              <w:t xml:space="preserve">  </w:t>
            </w:r>
            <w:bookmarkStart w:id="8" w:name="_Ref82785107"/>
            <w:r>
              <w:rPr>
                <w:rFonts w:hint="eastAsia" w:ascii="Times New Roman" w:hAnsi="Times New Roman" w:eastAsia="黑体"/>
                <w:sz w:val="24"/>
                <w:szCs w:val="24"/>
              </w:rPr>
              <w:t>特征</w:t>
            </w:r>
            <w:r>
              <w:rPr>
                <w:rFonts w:hint="default" w:ascii="Times New Roman" w:hAnsi="Times New Roman" w:eastAsia="黑体"/>
                <w:sz w:val="24"/>
                <w:szCs w:val="24"/>
              </w:rPr>
              <w:t>污染物环境空气现状监测结果</w:t>
            </w:r>
            <w:bookmarkEnd w:id="8"/>
          </w:p>
          <w:tbl>
            <w:tblPr>
              <w:tblStyle w:val="25"/>
              <w:tblW w:w="801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477"/>
              <w:gridCol w:w="846"/>
              <w:gridCol w:w="907"/>
              <w:gridCol w:w="1079"/>
              <w:gridCol w:w="1079"/>
              <w:gridCol w:w="765"/>
              <w:gridCol w:w="558"/>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4"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监测点位</w:t>
                  </w:r>
                </w:p>
              </w:tc>
              <w:tc>
                <w:tcPr>
                  <w:tcW w:w="1477"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监测点坐标</w:t>
                  </w:r>
                </w:p>
              </w:tc>
              <w:tc>
                <w:tcPr>
                  <w:tcW w:w="846"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污染物</w:t>
                  </w:r>
                </w:p>
              </w:tc>
              <w:tc>
                <w:tcPr>
                  <w:tcW w:w="907"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平均时间</w:t>
                  </w:r>
                </w:p>
              </w:tc>
              <w:tc>
                <w:tcPr>
                  <w:tcW w:w="1079"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监测浓度</w:t>
                  </w:r>
                </w:p>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范围（μg/m</w:t>
                  </w:r>
                  <w:r>
                    <w:rPr>
                      <w:rFonts w:hint="default" w:ascii="Times New Roman" w:hAnsi="Times New Roman"/>
                      <w:sz w:val="18"/>
                      <w:szCs w:val="18"/>
                      <w:vertAlign w:val="superscript"/>
                    </w:rPr>
                    <w:t>3</w:t>
                  </w:r>
                  <w:r>
                    <w:rPr>
                      <w:rFonts w:hint="default" w:ascii="Times New Roman" w:hAnsi="Times New Roman"/>
                      <w:sz w:val="18"/>
                      <w:szCs w:val="18"/>
                    </w:rPr>
                    <w:t>）</w:t>
                  </w:r>
                </w:p>
              </w:tc>
              <w:tc>
                <w:tcPr>
                  <w:tcW w:w="1079"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评价标准（μg/m</w:t>
                  </w:r>
                  <w:r>
                    <w:rPr>
                      <w:rFonts w:hint="default" w:ascii="Times New Roman" w:hAnsi="Times New Roman"/>
                      <w:sz w:val="18"/>
                      <w:szCs w:val="18"/>
                      <w:vertAlign w:val="superscript"/>
                    </w:rPr>
                    <w:t>3</w:t>
                  </w:r>
                  <w:r>
                    <w:rPr>
                      <w:rFonts w:hint="default" w:ascii="Times New Roman" w:hAnsi="Times New Roman"/>
                      <w:sz w:val="18"/>
                      <w:szCs w:val="18"/>
                    </w:rPr>
                    <w:t>）</w:t>
                  </w:r>
                </w:p>
              </w:tc>
              <w:tc>
                <w:tcPr>
                  <w:tcW w:w="765"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最大浓度占标率(%)</w:t>
                  </w:r>
                </w:p>
              </w:tc>
              <w:tc>
                <w:tcPr>
                  <w:tcW w:w="558"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超标率(%)</w:t>
                  </w:r>
                </w:p>
              </w:tc>
              <w:tc>
                <w:tcPr>
                  <w:tcW w:w="675"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4"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eastAsia" w:ascii="Times New Roman" w:hAnsi="Times New Roman"/>
                      <w:sz w:val="18"/>
                      <w:szCs w:val="18"/>
                    </w:rPr>
                    <w:t>Q</w:t>
                  </w:r>
                  <w:r>
                    <w:rPr>
                      <w:rFonts w:hint="default" w:ascii="Times New Roman" w:hAnsi="Times New Roman"/>
                      <w:sz w:val="18"/>
                      <w:szCs w:val="18"/>
                    </w:rPr>
                    <w:t>1</w:t>
                  </w:r>
                </w:p>
              </w:tc>
              <w:tc>
                <w:tcPr>
                  <w:tcW w:w="1477"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E 11</w:t>
                  </w:r>
                  <w:r>
                    <w:rPr>
                      <w:rFonts w:hint="eastAsia" w:ascii="Times New Roman" w:hAnsi="Times New Roman"/>
                      <w:sz w:val="18"/>
                      <w:szCs w:val="18"/>
                    </w:rPr>
                    <w:t>7</w:t>
                  </w:r>
                  <w:r>
                    <w:rPr>
                      <w:rFonts w:hint="default" w:ascii="Times New Roman" w:hAnsi="Times New Roman"/>
                      <w:sz w:val="18"/>
                      <w:szCs w:val="18"/>
                    </w:rPr>
                    <w:t>°5</w:t>
                  </w:r>
                  <w:r>
                    <w:rPr>
                      <w:rFonts w:hint="eastAsia" w:ascii="Times New Roman" w:hAnsi="Times New Roman"/>
                      <w:sz w:val="18"/>
                      <w:szCs w:val="18"/>
                    </w:rPr>
                    <w:t>0</w:t>
                  </w:r>
                  <w:r>
                    <w:rPr>
                      <w:rFonts w:hint="default" w:ascii="Times New Roman" w:hAnsi="Times New Roman"/>
                      <w:sz w:val="18"/>
                      <w:szCs w:val="18"/>
                    </w:rPr>
                    <w:t>′</w:t>
                  </w:r>
                  <w:r>
                    <w:rPr>
                      <w:rFonts w:hint="eastAsia" w:ascii="Times New Roman" w:hAnsi="Times New Roman"/>
                      <w:sz w:val="18"/>
                      <w:szCs w:val="18"/>
                    </w:rPr>
                    <w:t>38</w:t>
                  </w:r>
                  <w:r>
                    <w:rPr>
                      <w:rFonts w:hint="default" w:ascii="Times New Roman" w:hAnsi="Times New Roman"/>
                      <w:sz w:val="18"/>
                      <w:szCs w:val="18"/>
                    </w:rPr>
                    <w:t>.</w:t>
                  </w:r>
                  <w:r>
                    <w:rPr>
                      <w:rFonts w:hint="eastAsia" w:ascii="Times New Roman" w:hAnsi="Times New Roman"/>
                      <w:sz w:val="18"/>
                      <w:szCs w:val="18"/>
                    </w:rPr>
                    <w:t>404</w:t>
                  </w:r>
                  <w:r>
                    <w:rPr>
                      <w:rFonts w:hint="default" w:ascii="Times New Roman" w:hAnsi="Times New Roman"/>
                      <w:sz w:val="18"/>
                      <w:szCs w:val="18"/>
                    </w:rPr>
                    <w:t>″</w:t>
                  </w:r>
                </w:p>
                <w:p>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N2</w:t>
                  </w:r>
                  <w:r>
                    <w:rPr>
                      <w:rFonts w:hint="eastAsia" w:ascii="Times New Roman" w:hAnsi="Times New Roman"/>
                      <w:sz w:val="18"/>
                      <w:szCs w:val="18"/>
                    </w:rPr>
                    <w:t>5</w:t>
                  </w:r>
                  <w:r>
                    <w:rPr>
                      <w:rFonts w:hint="default" w:ascii="Times New Roman" w:hAnsi="Times New Roman"/>
                      <w:sz w:val="18"/>
                      <w:szCs w:val="18"/>
                    </w:rPr>
                    <w:t>°</w:t>
                  </w:r>
                  <w:r>
                    <w:rPr>
                      <w:rFonts w:hint="eastAsia" w:ascii="Times New Roman" w:hAnsi="Times New Roman"/>
                      <w:sz w:val="18"/>
                      <w:szCs w:val="18"/>
                    </w:rPr>
                    <w:t>47</w:t>
                  </w:r>
                  <w:r>
                    <w:rPr>
                      <w:rFonts w:hint="default" w:ascii="Times New Roman" w:hAnsi="Times New Roman"/>
                      <w:sz w:val="18"/>
                      <w:szCs w:val="18"/>
                    </w:rPr>
                    <w:t>′</w:t>
                  </w:r>
                  <w:r>
                    <w:rPr>
                      <w:rFonts w:hint="eastAsia" w:ascii="Times New Roman" w:hAnsi="Times New Roman"/>
                      <w:sz w:val="18"/>
                      <w:szCs w:val="18"/>
                    </w:rPr>
                    <w:t>56.406</w:t>
                  </w:r>
                  <w:r>
                    <w:rPr>
                      <w:rFonts w:hint="default" w:ascii="Times New Roman" w:hAnsi="Times New Roman"/>
                      <w:sz w:val="18"/>
                      <w:szCs w:val="18"/>
                    </w:rPr>
                    <w:t>″</w:t>
                  </w:r>
                </w:p>
              </w:tc>
              <w:tc>
                <w:tcPr>
                  <w:tcW w:w="846"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eastAsia" w:ascii="Times New Roman" w:hAnsi="Times New Roman"/>
                      <w:sz w:val="18"/>
                      <w:szCs w:val="18"/>
                    </w:rPr>
                    <w:t>TSP</w:t>
                  </w:r>
                </w:p>
              </w:tc>
              <w:tc>
                <w:tcPr>
                  <w:tcW w:w="907"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eastAsia" w:ascii="Times New Roman" w:hAnsi="Times New Roman"/>
                      <w:sz w:val="18"/>
                      <w:szCs w:val="18"/>
                    </w:rPr>
                    <w:t>日均值</w:t>
                  </w:r>
                </w:p>
              </w:tc>
              <w:tc>
                <w:tcPr>
                  <w:tcW w:w="1079"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rPr>
                  </w:pPr>
                  <w:r>
                    <w:rPr>
                      <w:rFonts w:hint="eastAsia" w:ascii="Times New Roman" w:hAnsi="Times New Roman"/>
                      <w:sz w:val="18"/>
                      <w:szCs w:val="18"/>
                    </w:rPr>
                    <w:t>0.185-0.21</w:t>
                  </w:r>
                </w:p>
              </w:tc>
              <w:tc>
                <w:tcPr>
                  <w:tcW w:w="1079"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rPr>
                  </w:pPr>
                  <w:r>
                    <w:rPr>
                      <w:rFonts w:hint="eastAsia" w:ascii="Times New Roman" w:hAnsi="Times New Roman"/>
                      <w:sz w:val="18"/>
                      <w:szCs w:val="18"/>
                    </w:rPr>
                    <w:t>0.3</w:t>
                  </w:r>
                </w:p>
              </w:tc>
              <w:tc>
                <w:tcPr>
                  <w:tcW w:w="76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rPr>
                  </w:pPr>
                  <w:r>
                    <w:rPr>
                      <w:rFonts w:hint="eastAsia" w:ascii="Times New Roman" w:hAnsi="Times New Roman"/>
                      <w:sz w:val="18"/>
                      <w:szCs w:val="18"/>
                    </w:rPr>
                    <w:t>70</w:t>
                  </w:r>
                </w:p>
              </w:tc>
              <w:tc>
                <w:tcPr>
                  <w:tcW w:w="558"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0</w:t>
                  </w:r>
                </w:p>
              </w:tc>
              <w:tc>
                <w:tcPr>
                  <w:tcW w:w="675" w:type="dxa"/>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sz w:val="18"/>
                      <w:szCs w:val="18"/>
                    </w:rPr>
                  </w:pPr>
                  <w:r>
                    <w:rPr>
                      <w:rFonts w:hint="default" w:ascii="Times New Roman" w:hAnsi="Times New Roman"/>
                      <w:sz w:val="18"/>
                      <w:szCs w:val="18"/>
                    </w:rPr>
                    <w:t>达标</w:t>
                  </w:r>
                </w:p>
              </w:tc>
            </w:tr>
          </w:tbl>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根据监测结果，</w:t>
            </w:r>
            <w:r>
              <w:rPr>
                <w:rFonts w:hint="eastAsia" w:ascii="Times New Roman" w:hAnsi="Times New Roman"/>
              </w:rPr>
              <w:t>大气环境质量</w:t>
            </w:r>
            <w:r>
              <w:rPr>
                <w:rFonts w:hint="default" w:ascii="Times New Roman" w:hAnsi="Times New Roman"/>
              </w:rPr>
              <w:t>监测点的</w:t>
            </w:r>
            <w:r>
              <w:rPr>
                <w:rFonts w:hint="eastAsia" w:ascii="Times New Roman" w:hAnsi="Times New Roman"/>
              </w:rPr>
              <w:t>TSP浓度日均值</w:t>
            </w:r>
            <w:r>
              <w:rPr>
                <w:rFonts w:hint="default" w:ascii="Times New Roman" w:hAnsi="Times New Roman"/>
              </w:rPr>
              <w:t>满足《环境空气质量标准》(GB3095-2012)表</w:t>
            </w:r>
            <w:r>
              <w:rPr>
                <w:rFonts w:hint="eastAsia" w:ascii="Times New Roman" w:hAnsi="Times New Roman"/>
              </w:rPr>
              <w:t>2</w:t>
            </w:r>
            <w:r>
              <w:rPr>
                <w:rFonts w:hint="default" w:ascii="Times New Roman" w:hAnsi="Times New Roman"/>
              </w:rPr>
              <w:t>二级标准</w:t>
            </w:r>
            <w:r>
              <w:rPr>
                <w:rFonts w:hint="eastAsia" w:ascii="Times New Roman" w:hAnsi="Times New Roman"/>
              </w:rPr>
              <w:t>。项目所在区域环境质量现状良好，具有一定的环境容量。具体检测报告见附件十</w:t>
            </w:r>
            <w:r>
              <w:rPr>
                <w:rFonts w:hint="eastAsia" w:ascii="Times New Roman" w:hAnsi="Times New Roman"/>
                <w:lang w:val="en-US" w:eastAsia="zh-CN"/>
              </w:rPr>
              <w:t>六</w:t>
            </w:r>
            <w:r>
              <w:rPr>
                <w:rFonts w:hint="eastAsia" w:ascii="Times New Roman" w:hAnsi="Times New Roman"/>
              </w:rPr>
              <w:t>。</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p>
          <w:p>
            <w:pPr>
              <w:pStyle w:val="41"/>
              <w:keepNext w:val="0"/>
              <w:keepLines w:val="0"/>
              <w:suppressLineNumbers w:val="0"/>
              <w:adjustRightInd w:val="0"/>
              <w:snapToGrid w:val="0"/>
              <w:spacing w:before="0" w:beforeAutospacing="0" w:after="0" w:afterAutospacing="0" w:line="440" w:lineRule="exact"/>
              <w:ind w:left="0" w:right="0" w:firstLine="0" w:firstLineChars="0"/>
              <w:rPr>
                <w:rFonts w:hint="default" w:ascii="Times New Roman" w:hAnsi="Times New Roman"/>
              </w:rPr>
            </w:pPr>
          </w:p>
          <w:p>
            <w:pPr>
              <w:pStyle w:val="4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rPr>
            </w:pPr>
            <w:r>
              <w:rPr>
                <w:rFonts w:hint="default"/>
              </w:rPr>
              <w:drawing>
                <wp:anchor distT="0" distB="0" distL="114300" distR="114300" simplePos="0" relativeHeight="251665408" behindDoc="0" locked="0" layoutInCell="1" allowOverlap="1">
                  <wp:simplePos x="0" y="0"/>
                  <wp:positionH relativeFrom="column">
                    <wp:posOffset>441325</wp:posOffset>
                  </wp:positionH>
                  <wp:positionV relativeFrom="paragraph">
                    <wp:posOffset>-635</wp:posOffset>
                  </wp:positionV>
                  <wp:extent cx="680085" cy="858520"/>
                  <wp:effectExtent l="9525" t="9525" r="15240" b="27305"/>
                  <wp:wrapNone/>
                  <wp:docPr id="44" name="图片 77" descr="165658320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7" descr="1656583201075"/>
                          <pic:cNvPicPr>
                            <a:picLocks noChangeAspect="1"/>
                          </pic:cNvPicPr>
                        </pic:nvPicPr>
                        <pic:blipFill>
                          <a:blip r:embed="rId12"/>
                          <a:stretch>
                            <a:fillRect/>
                          </a:stretch>
                        </pic:blipFill>
                        <pic:spPr>
                          <a:xfrm>
                            <a:off x="0" y="0"/>
                            <a:ext cx="680085" cy="858520"/>
                          </a:xfrm>
                          <a:prstGeom prst="rect">
                            <a:avLst/>
                          </a:prstGeom>
                          <a:noFill/>
                          <a:ln w="9525" cap="flat" cmpd="sng">
                            <a:solidFill>
                              <a:srgbClr val="000000"/>
                            </a:solidFill>
                            <a:prstDash val="solid"/>
                            <a:round/>
                            <a:headEnd type="none" w="med" len="med"/>
                            <a:tailEnd type="none" w="med" len="med"/>
                          </a:ln>
                        </pic:spPr>
                      </pic:pic>
                    </a:graphicData>
                  </a:graphic>
                </wp:anchor>
              </w:drawing>
            </w:r>
            <w:r>
              <w:rPr>
                <w:rFonts w:hint="default"/>
              </w:rPr>
              <mc:AlternateContent>
                <mc:Choice Requires="wps">
                  <w:drawing>
                    <wp:anchor distT="0" distB="0" distL="114300" distR="114300" simplePos="0" relativeHeight="251669504" behindDoc="0" locked="0" layoutInCell="1" allowOverlap="1">
                      <wp:simplePos x="0" y="0"/>
                      <wp:positionH relativeFrom="column">
                        <wp:posOffset>400050</wp:posOffset>
                      </wp:positionH>
                      <wp:positionV relativeFrom="paragraph">
                        <wp:posOffset>1299845</wp:posOffset>
                      </wp:positionV>
                      <wp:extent cx="1142365" cy="337185"/>
                      <wp:effectExtent l="0" t="0" r="0" b="0"/>
                      <wp:wrapNone/>
                      <wp:docPr id="76" name="文本框 76"/>
                      <wp:cNvGraphicFramePr/>
                      <a:graphic xmlns:a="http://schemas.openxmlformats.org/drawingml/2006/main">
                        <a:graphicData uri="http://schemas.microsoft.com/office/word/2010/wordprocessingShape">
                          <wps:wsp>
                            <wps:cNvSpPr txBox="1"/>
                            <wps:spPr>
                              <a:xfrm>
                                <a:off x="4026535" y="2861310"/>
                                <a:ext cx="1142365" cy="337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ascii="微软雅黑" w:hAnsi="微软雅黑" w:eastAsia="微软雅黑" w:cs="微软雅黑"/>
                                      <w:b/>
                                      <w:bCs/>
                                      <w:color w:val="FF0000"/>
                                    </w:rPr>
                                    <w:t>广建环保科技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102.35pt;height:26.55pt;width:89.95pt;z-index:251669504;mso-width-relative:page;mso-height-relative:page;" filled="f" stroked="f" coordsize="21600,21600" o:gfxdata="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UyjjzcAAAACgEAAA8AAAAA&#10;AAAAAQAgAAAAIgAAAGRycy9kb3ducmV2LnhtbFBLAQIUABQAAAAIAIdO4kApo74nSQIAAHQEAAAO&#10;AAAAAAAAAAEAIAAAACsBAABkcnMvZTJvRG9jLnhtbFBLBQYAAAAABgAGAFkBAADmBQAAAAA=&#10;">
                      <v:fill on="f" focussize="0,0"/>
                      <v:stroke on="f" weight="0.5pt"/>
                      <v:imagedata o:title=""/>
                      <o:lock v:ext="edit" aspectratio="f"/>
                      <v:textbox>
                        <w:txbxContent>
                          <w:p>
                            <w:pPr>
                              <w:rPr>
                                <w:b/>
                                <w:bCs/>
                              </w:rPr>
                            </w:pPr>
                            <w:r>
                              <w:rPr>
                                <w:rFonts w:hint="eastAsia" w:ascii="微软雅黑" w:hAnsi="微软雅黑" w:eastAsia="微软雅黑" w:cs="微软雅黑"/>
                                <w:b/>
                                <w:bCs/>
                                <w:color w:val="FF0000"/>
                              </w:rPr>
                              <w:t>广建环保科技</w:t>
                            </w:r>
                          </w:p>
                        </w:txbxContent>
                      </v:textbox>
                    </v:shape>
                  </w:pict>
                </mc:Fallback>
              </mc:AlternateContent>
            </w:r>
            <w:r>
              <w:rPr>
                <w:rFonts w:hint="default"/>
              </w:rPr>
              <mc:AlternateContent>
                <mc:Choice Requires="wps">
                  <w:drawing>
                    <wp:anchor distT="0" distB="0" distL="114300" distR="114300" simplePos="0" relativeHeight="251664384" behindDoc="0" locked="0" layoutInCell="1" allowOverlap="1">
                      <wp:simplePos x="0" y="0"/>
                      <wp:positionH relativeFrom="column">
                        <wp:posOffset>426085</wp:posOffset>
                      </wp:positionH>
                      <wp:positionV relativeFrom="paragraph">
                        <wp:posOffset>2482215</wp:posOffset>
                      </wp:positionV>
                      <wp:extent cx="1629410" cy="521970"/>
                      <wp:effectExtent l="4445" t="4445" r="23495" b="6985"/>
                      <wp:wrapNone/>
                      <wp:docPr id="43" name="文本框 43"/>
                      <wp:cNvGraphicFramePr/>
                      <a:graphic xmlns:a="http://schemas.openxmlformats.org/drawingml/2006/main">
                        <a:graphicData uri="http://schemas.microsoft.com/office/word/2010/wordprocessingShape">
                          <wps:wsp>
                            <wps:cNvSpPr txBox="1"/>
                            <wps:spPr>
                              <a:xfrm>
                                <a:off x="0" y="0"/>
                                <a:ext cx="1629410"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图例</w:t>
                                  </w:r>
                                </w:p>
                                <w:p>
                                  <w:pPr>
                                    <w:ind w:firstLine="240" w:firstLineChars="100"/>
                                  </w:pPr>
                                  <w:r>
                                    <w:rPr>
                                      <w:rFonts w:hint="eastAsia"/>
                                    </w:rPr>
                                    <w:t>环境空气监测点位</w:t>
                                  </w:r>
                                </w:p>
                              </w:txbxContent>
                            </wps:txbx>
                            <wps:bodyPr upright="1"/>
                          </wps:wsp>
                        </a:graphicData>
                      </a:graphic>
                    </wp:anchor>
                  </w:drawing>
                </mc:Choice>
                <mc:Fallback>
                  <w:pict>
                    <v:shape id="_x0000_s1026" o:spid="_x0000_s1026" o:spt="202" type="#_x0000_t202" style="position:absolute;left:0pt;margin-left:33.55pt;margin-top:195.45pt;height:41.1pt;width:128.3pt;z-index:251664384;mso-width-relative:page;mso-height-relative:page;" fillcolor="#FFFFFF" filled="t" stroked="t" coordsize="21600,21600" o:gfxdata="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LEzGNoAAAAKAQAADwAAAAAAAAAB&#10;ACAAAAAiAAAAZHJzL2Rvd25yZXYueG1sUEsBAhQAFAAAAAgAh07iQCFlx6IOAgAAOAQAAA4AAAAA&#10;AAAAAQAgAAAAKQEAAGRycy9lMm9Eb2MueG1sUEsFBgAAAAAGAAYAWQEAAKkFAAAAAA==&#10;">
                      <v:fill on="t" focussize="0,0"/>
                      <v:stroke color="#000000" joinstyle="miter"/>
                      <v:imagedata o:title=""/>
                      <o:lock v:ext="edit" aspectratio="f"/>
                      <v:textbox>
                        <w:txbxContent>
                          <w:p>
                            <w:pPr>
                              <w:jc w:val="center"/>
                            </w:pPr>
                            <w:r>
                              <w:rPr>
                                <w:rFonts w:hint="eastAsia"/>
                              </w:rPr>
                              <w:t>图例</w:t>
                            </w:r>
                          </w:p>
                          <w:p>
                            <w:pPr>
                              <w:ind w:firstLine="240" w:firstLineChars="100"/>
                            </w:pPr>
                            <w:r>
                              <w:rPr>
                                <w:rFonts w:hint="eastAsia"/>
                              </w:rPr>
                              <w:t>环境空气监测点位</w:t>
                            </w:r>
                          </w:p>
                        </w:txbxContent>
                      </v:textbox>
                    </v:shape>
                  </w:pict>
                </mc:Fallback>
              </mc:AlternateContent>
            </w:r>
            <w:r>
              <w:rPr>
                <w:rFonts w:hint="eastAsia" w:ascii="宋体" w:hAnsi="宋体"/>
              </w:rPr>
              <w:drawing>
                <wp:inline distT="0" distB="0" distL="114300" distR="114300">
                  <wp:extent cx="4213225" cy="3017520"/>
                  <wp:effectExtent l="0" t="0" r="15875" b="11430"/>
                  <wp:docPr id="32" name="图片 1" descr="周围环境图_Level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周围环境图_Level_18"/>
                          <pic:cNvPicPr>
                            <a:picLocks noChangeAspect="1"/>
                          </pic:cNvPicPr>
                        </pic:nvPicPr>
                        <pic:blipFill>
                          <a:blip r:embed="rId13"/>
                          <a:stretch>
                            <a:fillRect/>
                          </a:stretch>
                        </pic:blipFill>
                        <pic:spPr>
                          <a:xfrm>
                            <a:off x="0" y="0"/>
                            <a:ext cx="4213225" cy="3017520"/>
                          </a:xfrm>
                          <a:prstGeom prst="rect">
                            <a:avLst/>
                          </a:prstGeom>
                          <a:noFill/>
                          <a:ln>
                            <a:noFill/>
                          </a:ln>
                        </pic:spPr>
                      </pic:pic>
                    </a:graphicData>
                  </a:graphic>
                </wp:inline>
              </w:drawing>
            </w:r>
            <w:r>
              <w:rPr>
                <w:rFonts w:hint="default"/>
              </w:rPr>
              <mc:AlternateContent>
                <mc:Choice Requires="wps">
                  <w:drawing>
                    <wp:anchor distT="0" distB="0" distL="114300" distR="114300" simplePos="0" relativeHeight="251668480" behindDoc="0" locked="0" layoutInCell="1" allowOverlap="1">
                      <wp:simplePos x="0" y="0"/>
                      <wp:positionH relativeFrom="column">
                        <wp:posOffset>3770630</wp:posOffset>
                      </wp:positionH>
                      <wp:positionV relativeFrom="paragraph">
                        <wp:posOffset>2531110</wp:posOffset>
                      </wp:positionV>
                      <wp:extent cx="603250" cy="238125"/>
                      <wp:effectExtent l="0" t="0" r="0" b="0"/>
                      <wp:wrapNone/>
                      <wp:docPr id="59" name="文本框 59"/>
                      <wp:cNvGraphicFramePr/>
                      <a:graphic xmlns:a="http://schemas.openxmlformats.org/drawingml/2006/main">
                        <a:graphicData uri="http://schemas.microsoft.com/office/word/2010/wordprocessingShape">
                          <wps:wsp>
                            <wps:cNvSpPr txBox="1"/>
                            <wps:spPr>
                              <a:xfrm>
                                <a:off x="5212715" y="3550285"/>
                                <a:ext cx="60325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b/>
                                      <w:bCs/>
                                      <w:color w:val="FF0000"/>
                                    </w:rPr>
                                  </w:pPr>
                                  <w:r>
                                    <w:rPr>
                                      <w:rFonts w:ascii="Times New Roman" w:hAnsi="Times New Roman"/>
                                      <w:b/>
                                      <w:bCs/>
                                      <w:color w:val="FF0000"/>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9pt;margin-top:199.3pt;height:18.75pt;width:47.5pt;z-index:251668480;mso-width-relative:page;mso-height-relative:page;" filled="f" stroked="f" coordsize="21600,21600" o:gfxdata="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eE52wAAAAsBAAAPAAAAAAAA&#10;AAEAIAAAACIAAABkcnMvZG93bnJldi54bWxQSwECFAAUAAAACACHTuJAFu+bm0gCAABzBAAADgAA&#10;AAAAAAABACAAAAAqAQAAZHJzL2Uyb0RvYy54bWxQSwUGAAAAAAYABgBZAQAA5AUAAAAA&#10;">
                      <v:fill on="f" focussize="0,0"/>
                      <v:stroke on="f" weight="0.5pt"/>
                      <v:imagedata o:title=""/>
                      <o:lock v:ext="edit" aspectratio="f"/>
                      <v:textbox>
                        <w:txbxContent>
                          <w:p>
                            <w:pPr>
                              <w:rPr>
                                <w:rFonts w:ascii="Times New Roman" w:hAnsi="Times New Roman"/>
                                <w:b/>
                                <w:bCs/>
                                <w:color w:val="FF0000"/>
                              </w:rPr>
                            </w:pPr>
                            <w:r>
                              <w:rPr>
                                <w:rFonts w:ascii="Times New Roman" w:hAnsi="Times New Roman"/>
                                <w:b/>
                                <w:bCs/>
                                <w:color w:val="FF0000"/>
                              </w:rPr>
                              <w:t>50m</w:t>
                            </w:r>
                          </w:p>
                        </w:txbxContent>
                      </v:textbox>
                    </v:shape>
                  </w:pict>
                </mc:Fallback>
              </mc:AlternateContent>
            </w:r>
            <w:r>
              <w:rPr>
                <w:rFonts w:hint="default"/>
              </w:rPr>
              <mc:AlternateContent>
                <mc:Choice Requires="wps">
                  <w:drawing>
                    <wp:anchor distT="0" distB="0" distL="114300" distR="114300" simplePos="0" relativeHeight="251667456" behindDoc="0" locked="0" layoutInCell="1" allowOverlap="1">
                      <wp:simplePos x="0" y="0"/>
                      <wp:positionH relativeFrom="column">
                        <wp:posOffset>3670935</wp:posOffset>
                      </wp:positionH>
                      <wp:positionV relativeFrom="paragraph">
                        <wp:posOffset>2816860</wp:posOffset>
                      </wp:positionV>
                      <wp:extent cx="681355" cy="6985"/>
                      <wp:effectExtent l="0" t="0" r="0" b="0"/>
                      <wp:wrapNone/>
                      <wp:docPr id="33" name="直接连接符 33"/>
                      <wp:cNvGraphicFramePr/>
                      <a:graphic xmlns:a="http://schemas.openxmlformats.org/drawingml/2006/main">
                        <a:graphicData uri="http://schemas.microsoft.com/office/word/2010/wordprocessingShape">
                          <wps:wsp>
                            <wps:cNvCnPr/>
                            <wps:spPr>
                              <a:xfrm flipV="1">
                                <a:off x="5160010" y="3881755"/>
                                <a:ext cx="681355" cy="69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9.05pt;margin-top:221.8pt;height:0.55pt;width:53.65pt;z-index:251667456;mso-width-relative:page;mso-height-relative:page;" filled="f" stroked="t" coordsize="21600,21600" o:gfxdata="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osRI9cAAAALAQAADwAAAAAAAAABACAAAAAiAAAAZHJzL2Rvd25yZXYueG1sUEsBAhQA&#10;FAAAAAgAh07iQPfEXojzAQAAtQMAAA4AAAAAAAAAAQAgAAAAJgEAAGRycy9lMm9Eb2MueG1sUEsF&#10;BgAAAAAGAAYAWQEAAIsFAAAAAA==&#10;">
                      <v:fill on="f" focussize="0,0"/>
                      <v:stroke weight="2pt" color="#FF0000 [3204]" joinstyle="round"/>
                      <v:imagedata o:title=""/>
                      <o:lock v:ext="edit" aspectratio="f"/>
                    </v:line>
                  </w:pict>
                </mc:Fallback>
              </mc:AlternateContent>
            </w:r>
            <w:r>
              <w:rPr>
                <w:rFonts w:hint="default"/>
              </w:rPr>
              <mc:AlternateContent>
                <mc:Choice Requires="wps">
                  <w:drawing>
                    <wp:anchor distT="0" distB="0" distL="114300" distR="114300" simplePos="0" relativeHeight="251666432" behindDoc="0" locked="0" layoutInCell="1" allowOverlap="1">
                      <wp:simplePos x="0" y="0"/>
                      <wp:positionH relativeFrom="column">
                        <wp:posOffset>483235</wp:posOffset>
                      </wp:positionH>
                      <wp:positionV relativeFrom="paragraph">
                        <wp:posOffset>2757170</wp:posOffset>
                      </wp:positionV>
                      <wp:extent cx="144780" cy="144145"/>
                      <wp:effectExtent l="9525" t="9525" r="17145" b="17780"/>
                      <wp:wrapNone/>
                      <wp:docPr id="1948569064" name="椭圆 1948569064"/>
                      <wp:cNvGraphicFramePr/>
                      <a:graphic xmlns:a="http://schemas.openxmlformats.org/drawingml/2006/main">
                        <a:graphicData uri="http://schemas.microsoft.com/office/word/2010/wordprocessingShape">
                          <wps:wsp>
                            <wps:cNvSpPr/>
                            <wps:spPr>
                              <a:xfrm>
                                <a:off x="5869940" y="1696085"/>
                                <a:ext cx="172720" cy="18224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05pt;margin-top:217.1pt;height:11.35pt;width:11.4pt;z-index:251666432;v-text-anchor:middle;mso-width-relative:page;mso-height-relative:page;" filled="f" stroked="t" coordsize="21600,21600" o:gfxdata="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&#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8jKpP1wAAAAkBAAAPAAAAAAAAAAEAIAAAACIAAABk&#10;cnMvZG93bnJldi54bWxQSwECFAAUAAAACACHTuJASd33hXkCAADiBAAADgAAAAAAAAABACAAAAAm&#10;AQAAZHJzL2Uyb0RvYy54bWxQSwUGAAAAAAYABgBZAQAAEQYAAAAA&#10;">
                      <v:fill on="f" focussize="0,0"/>
                      <v:stroke weight="1.5pt" color="#FF0000" joinstyle="round"/>
                      <v:imagedata o:title=""/>
                      <o:lock v:ext="edit" aspectratio="f"/>
                    </v:shape>
                  </w:pict>
                </mc:Fallback>
              </mc:AlternateContent>
            </w:r>
            <w:r>
              <w:rPr>
                <w:rFonts w:hint="default"/>
              </w:rPr>
              <mc:AlternateContent>
                <mc:Choice Requires="wps">
                  <w:drawing>
                    <wp:anchor distT="0" distB="0" distL="114300" distR="114300" simplePos="0" relativeHeight="251661312" behindDoc="0" locked="0" layoutInCell="1" allowOverlap="1">
                      <wp:simplePos x="0" y="0"/>
                      <wp:positionH relativeFrom="column">
                        <wp:posOffset>2215515</wp:posOffset>
                      </wp:positionH>
                      <wp:positionV relativeFrom="paragraph">
                        <wp:posOffset>386715</wp:posOffset>
                      </wp:positionV>
                      <wp:extent cx="561975" cy="906145"/>
                      <wp:effectExtent l="12700" t="12700" r="15875" b="14605"/>
                      <wp:wrapNone/>
                      <wp:docPr id="37" name="任意多边形 37"/>
                      <wp:cNvGraphicFramePr/>
                      <a:graphic xmlns:a="http://schemas.openxmlformats.org/drawingml/2006/main">
                        <a:graphicData uri="http://schemas.microsoft.com/office/word/2010/wordprocessingShape">
                          <wps:wsp>
                            <wps:cNvSpPr/>
                            <wps:spPr>
                              <a:xfrm>
                                <a:off x="5075555" y="1861820"/>
                                <a:ext cx="561975" cy="906145"/>
                              </a:xfrm>
                              <a:custGeom>
                                <a:avLst/>
                                <a:gdLst>
                                  <a:gd name="connisteX0" fmla="*/ 174625 w 756285"/>
                                  <a:gd name="connsiteY0" fmla="*/ 0 h 1148080"/>
                                  <a:gd name="connisteX1" fmla="*/ 751205 w 756285"/>
                                  <a:gd name="connsiteY1" fmla="*/ 195580 h 1148080"/>
                                  <a:gd name="connisteX2" fmla="*/ 756285 w 756285"/>
                                  <a:gd name="connsiteY2" fmla="*/ 460375 h 1148080"/>
                                  <a:gd name="connisteX3" fmla="*/ 650875 w 756285"/>
                                  <a:gd name="connsiteY3" fmla="*/ 613410 h 1148080"/>
                                  <a:gd name="connisteX4" fmla="*/ 597535 w 756285"/>
                                  <a:gd name="connsiteY4" fmla="*/ 756285 h 1148080"/>
                                  <a:gd name="connisteX5" fmla="*/ 433705 w 756285"/>
                                  <a:gd name="connsiteY5" fmla="*/ 846455 h 1148080"/>
                                  <a:gd name="connisteX6" fmla="*/ 322580 w 756285"/>
                                  <a:gd name="connsiteY6" fmla="*/ 1042035 h 1148080"/>
                                  <a:gd name="connisteX7" fmla="*/ 264160 w 756285"/>
                                  <a:gd name="connsiteY7" fmla="*/ 1148080 h 1148080"/>
                                  <a:gd name="connisteX8" fmla="*/ 238125 w 756285"/>
                                  <a:gd name="connsiteY8" fmla="*/ 1137285 h 1148080"/>
                                  <a:gd name="connisteX9" fmla="*/ 179705 w 756285"/>
                                  <a:gd name="connsiteY9" fmla="*/ 1116330 h 1148080"/>
                                  <a:gd name="connisteX10" fmla="*/ 52705 w 756285"/>
                                  <a:gd name="connsiteY10" fmla="*/ 730250 h 1148080"/>
                                  <a:gd name="connisteX11" fmla="*/ 73660 w 756285"/>
                                  <a:gd name="connsiteY11" fmla="*/ 549910 h 1148080"/>
                                  <a:gd name="connisteX12" fmla="*/ 73660 w 756285"/>
                                  <a:gd name="connsiteY12" fmla="*/ 454660 h 1148080"/>
                                  <a:gd name="connisteX13" fmla="*/ 0 w 756285"/>
                                  <a:gd name="connsiteY13" fmla="*/ 386080 h 1148080"/>
                                  <a:gd name="connisteX14" fmla="*/ 174625 w 756285"/>
                                  <a:gd name="connsiteY14" fmla="*/ 0 h 114808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756285" h="1148080">
                                    <a:moveTo>
                                      <a:pt x="174625" y="0"/>
                                    </a:moveTo>
                                    <a:lnTo>
                                      <a:pt x="751205" y="195580"/>
                                    </a:lnTo>
                                    <a:lnTo>
                                      <a:pt x="756285" y="460375"/>
                                    </a:lnTo>
                                    <a:lnTo>
                                      <a:pt x="650875" y="613410"/>
                                    </a:lnTo>
                                    <a:lnTo>
                                      <a:pt x="597535" y="756285"/>
                                    </a:lnTo>
                                    <a:lnTo>
                                      <a:pt x="433705" y="846455"/>
                                    </a:lnTo>
                                    <a:lnTo>
                                      <a:pt x="322580" y="1042035"/>
                                    </a:lnTo>
                                    <a:lnTo>
                                      <a:pt x="264160" y="1148080"/>
                                    </a:lnTo>
                                    <a:lnTo>
                                      <a:pt x="238125" y="1137285"/>
                                    </a:lnTo>
                                    <a:lnTo>
                                      <a:pt x="179705" y="1116330"/>
                                    </a:lnTo>
                                    <a:lnTo>
                                      <a:pt x="52705" y="730250"/>
                                    </a:lnTo>
                                    <a:lnTo>
                                      <a:pt x="73660" y="549910"/>
                                    </a:lnTo>
                                    <a:lnTo>
                                      <a:pt x="73660" y="454660"/>
                                    </a:lnTo>
                                    <a:lnTo>
                                      <a:pt x="0" y="386080"/>
                                    </a:lnTo>
                                    <a:lnTo>
                                      <a:pt x="174625" y="0"/>
                                    </a:lnTo>
                                    <a:close/>
                                  </a:path>
                                </a:pathLst>
                              </a:custGeom>
                              <a:noFill/>
                              <a:ln w="25400" cap="flat" cmpd="sng" algn="ctr">
                                <a:solidFill>
                                  <a:srgbClr val="FF0000"/>
                                </a:solidFill>
                                <a:prstDash val="solid"/>
                              </a:ln>
                              <a:effectLst/>
                            </wps:spPr>
                            <wps:bodyPr/>
                          </wps:wsp>
                        </a:graphicData>
                      </a:graphic>
                    </wp:anchor>
                  </w:drawing>
                </mc:Choice>
                <mc:Fallback>
                  <w:pict>
                    <v:shape id="_x0000_s1026" o:spid="_x0000_s1026" o:spt="100" style="position:absolute;left:0pt;margin-left:174.45pt;margin-top:30.45pt;height:71.35pt;width:44.25pt;z-index:251661312;mso-width-relative:page;mso-height-relative:page;" filled="f" stroked="t" coordsize="756285,1148080" o:gfxdata="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JBHv9vZAAAACgEAAA8AAAAAAAAAAQAgAAAAIgAAAGRycy9kb3du&#10;cmV2LnhtbFBLAQIUABQAAAAIAIdO4kD+UrqqcQQAAJUQAAAOAAAAAAAAAAEAIAAAACgBAABkcnMv&#10;ZTJvRG9jLnhtbFBLBQYAAAAABgAGAFkBAAALCAAAAAA=&#10;" path="m174625,0l751205,195580,756285,460375,650875,613410,597535,756285,433705,846455,322580,1042035,264160,1148080,238125,1137285,179705,1116330,52705,730250,73660,549910,73660,454660,0,386080,174625,0xe">
                      <v:path o:connectlocs="129759,0;558200,154365;561975,363360;483647,484146;444012,596912;322274,668081;239700,822446;196290,906145;176944,897624;133533,881085;39163,576364;54734,434027;54734,358849;0,304721;129759,0" o:connectangles="0,0,0,0,0,0,0,0,0,0,0,0,0,0,0"/>
                      <v:fill on="f" focussize="0,0"/>
                      <v:stroke weight="2pt" color="#FF0000" joinstyle="round"/>
                      <v:imagedata o:title=""/>
                      <o:lock v:ext="edit" aspectratio="f"/>
                    </v:shape>
                  </w:pict>
                </mc:Fallback>
              </mc:AlternateContent>
            </w:r>
            <w:r>
              <w:rPr>
                <w:rFonts w:hint="default"/>
              </w:rPr>
              <mc:AlternateContent>
                <mc:Choice Requires="wps">
                  <w:drawing>
                    <wp:anchor distT="0" distB="0" distL="114300" distR="114300" simplePos="0" relativeHeight="251663360" behindDoc="0" locked="0" layoutInCell="1" allowOverlap="1">
                      <wp:simplePos x="0" y="0"/>
                      <wp:positionH relativeFrom="column">
                        <wp:posOffset>2799080</wp:posOffset>
                      </wp:positionH>
                      <wp:positionV relativeFrom="paragraph">
                        <wp:posOffset>252095</wp:posOffset>
                      </wp:positionV>
                      <wp:extent cx="601980" cy="290195"/>
                      <wp:effectExtent l="0" t="0" r="0" b="0"/>
                      <wp:wrapNone/>
                      <wp:docPr id="42" name="文本框 42"/>
                      <wp:cNvGraphicFramePr/>
                      <a:graphic xmlns:a="http://schemas.openxmlformats.org/drawingml/2006/main">
                        <a:graphicData uri="http://schemas.microsoft.com/office/word/2010/wordprocessingShape">
                          <wps:wsp>
                            <wps:cNvSpPr txBox="1"/>
                            <wps:spPr>
                              <a:xfrm>
                                <a:off x="6031865" y="1627505"/>
                                <a:ext cx="601980" cy="290195"/>
                              </a:xfrm>
                              <a:prstGeom prst="rect">
                                <a:avLst/>
                              </a:prstGeom>
                              <a:noFill/>
                              <a:ln w="6350">
                                <a:noFill/>
                              </a:ln>
                              <a:effectLst/>
                            </wps:spPr>
                            <wps:txbx>
                              <w:txbxContent>
                                <w:p>
                                  <w:pPr>
                                    <w:rPr>
                                      <w:color w:val="FF0000"/>
                                    </w:rPr>
                                  </w:pPr>
                                  <w:r>
                                    <w:rPr>
                                      <w:rFonts w:hint="eastAsia"/>
                                      <w:color w:val="FF0000"/>
                                    </w:rPr>
                                    <w:t>Q1#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4pt;margin-top:19.85pt;height:22.85pt;width:47.4pt;z-index:251663360;mso-width-relative:page;mso-height-relative:page;" filled="f" stroked="f" coordsize="21600,21600" o:gfxdata="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3ZUlHbAAAACQEAAA8A&#10;AAAAAAAAAQAgAAAAIgAAAGRycy9kb3ducmV2LnhtbFBLAQIUABQAAAAIAIdO4kDzh+daTQIAAIEE&#10;AAAOAAAAAAAAAAEAIAAAACoBAABkcnMvZTJvRG9jLnhtbFBLBQYAAAAABgAGAFkBAADpBQAAAAA=&#10;">
                      <v:fill on="f" focussize="0,0"/>
                      <v:stroke on="f" weight="0.5pt"/>
                      <v:imagedata o:title=""/>
                      <o:lock v:ext="edit" aspectratio="f"/>
                      <v:textbox>
                        <w:txbxContent>
                          <w:p>
                            <w:pPr>
                              <w:rPr>
                                <w:color w:val="FF0000"/>
                              </w:rPr>
                            </w:pPr>
                            <w:r>
                              <w:rPr>
                                <w:rFonts w:hint="eastAsia"/>
                                <w:color w:val="FF0000"/>
                              </w:rPr>
                              <w:t>Q1#</w:t>
                            </w:r>
                          </w:p>
                        </w:txbxContent>
                      </v:textbox>
                    </v:shape>
                  </w:pict>
                </mc:Fallback>
              </mc:AlternateContent>
            </w:r>
            <w:r>
              <w:rPr>
                <w:rFonts w:hint="default"/>
              </w:rPr>
              <mc:AlternateContent>
                <mc:Choice Requires="wps">
                  <w:drawing>
                    <wp:anchor distT="0" distB="0" distL="114300" distR="114300" simplePos="0" relativeHeight="251662336" behindDoc="0" locked="0" layoutInCell="1" allowOverlap="1">
                      <wp:simplePos x="0" y="0"/>
                      <wp:positionH relativeFrom="column">
                        <wp:posOffset>2675255</wp:posOffset>
                      </wp:positionH>
                      <wp:positionV relativeFrom="paragraph">
                        <wp:posOffset>315595</wp:posOffset>
                      </wp:positionV>
                      <wp:extent cx="144780" cy="144145"/>
                      <wp:effectExtent l="9525" t="9525" r="17145" b="17780"/>
                      <wp:wrapNone/>
                      <wp:docPr id="41" name="椭圆 41"/>
                      <wp:cNvGraphicFramePr/>
                      <a:graphic xmlns:a="http://schemas.openxmlformats.org/drawingml/2006/main">
                        <a:graphicData uri="http://schemas.microsoft.com/office/word/2010/wordprocessingShape">
                          <wps:wsp>
                            <wps:cNvSpPr/>
                            <wps:spPr>
                              <a:xfrm>
                                <a:off x="5869940" y="1696085"/>
                                <a:ext cx="172720" cy="18224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0.65pt;margin-top:24.85pt;height:11.35pt;width:11.4pt;z-index:251662336;v-text-anchor:middle;mso-width-relative:page;mso-height-relative:page;" filled="f" stroked="t" coordsize="21600,21600" o:gfxdata="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Yd05TYAAAACQEAAA8AAAAAAAAAAQAgAAAAIgAAAGRycy9kb3du&#10;cmV2LnhtbFBLAQIUABQAAAAIAIdO4kDusONWcQIAANIEAAAOAAAAAAAAAAEAIAAAACcBAABkcnMv&#10;ZTJvRG9jLnhtbFBLBQYAAAAABgAGAFkBAAAKBgAAAAA=&#10;">
                      <v:fill on="f" focussize="0,0"/>
                      <v:stroke weight="1.5pt" color="#FF0000" joinstyle="round"/>
                      <v:imagedata o:title=""/>
                      <o:lock v:ext="edit" aspectratio="f"/>
                    </v:shape>
                  </w:pict>
                </mc:Fallback>
              </mc:AlternateContent>
            </w:r>
          </w:p>
          <w:p>
            <w:pPr>
              <w:pStyle w:val="22"/>
              <w:keepNext/>
              <w:keepLines w:val="0"/>
              <w:suppressLineNumbers w:val="0"/>
              <w:adjustRightInd w:val="0"/>
              <w:snapToGrid w:val="0"/>
              <w:spacing w:before="120" w:beforeLines="50" w:beforeAutospacing="0" w:after="0" w:afterAutospacing="0" w:line="240" w:lineRule="auto"/>
              <w:ind w:left="0" w:right="0"/>
              <w:outlineLvl w:val="9"/>
              <w:rPr>
                <w:rFonts w:hint="default" w:ascii="Times New Roman" w:hAnsi="Times New Roman" w:eastAsia="黑体"/>
                <w:b w:val="0"/>
                <w:bCs w:val="0"/>
              </w:rPr>
            </w:pPr>
            <w:r>
              <w:rPr>
                <w:rFonts w:hint="default" w:ascii="Times New Roman" w:hAnsi="Times New Roman" w:eastAsia="黑体"/>
                <w:bCs w:val="0"/>
                <w:sz w:val="21"/>
                <w:szCs w:val="21"/>
              </w:rPr>
              <w:t>图</w:t>
            </w:r>
            <w:r>
              <w:rPr>
                <w:rFonts w:hint="eastAsia" w:ascii="Times New Roman" w:hAnsi="Times New Roman" w:eastAsia="黑体"/>
                <w:bCs w:val="0"/>
                <w:sz w:val="21"/>
                <w:szCs w:val="21"/>
              </w:rPr>
              <w:t>3.1-1</w:t>
            </w:r>
            <w:r>
              <w:rPr>
                <w:rFonts w:hint="default" w:ascii="Times New Roman" w:hAnsi="Times New Roman" w:eastAsia="黑体"/>
                <w:bCs w:val="0"/>
                <w:sz w:val="21"/>
                <w:szCs w:val="21"/>
              </w:rPr>
              <w:t>项目</w:t>
            </w:r>
            <w:r>
              <w:rPr>
                <w:rFonts w:hint="eastAsia" w:ascii="Times New Roman" w:hAnsi="Times New Roman" w:eastAsia="黑体"/>
                <w:bCs w:val="0"/>
                <w:sz w:val="21"/>
                <w:szCs w:val="21"/>
              </w:rPr>
              <w:t>环境空气监测点位图</w:t>
            </w:r>
          </w:p>
          <w:p>
            <w:pPr>
              <w:keepNext w:val="0"/>
              <w:keepLines w:val="0"/>
              <w:suppressLineNumbers w:val="0"/>
              <w:spacing w:before="0" w:beforeAutospacing="0" w:after="0" w:afterAutospacing="0" w:line="430" w:lineRule="exact"/>
              <w:ind w:left="0" w:right="0"/>
              <w:jc w:val="left"/>
              <w:rPr>
                <w:rFonts w:hint="default" w:ascii="Times New Roman" w:hAnsi="Times New Roman" w:eastAsia="黑体"/>
                <w:b/>
                <w:bCs/>
                <w:kern w:val="0"/>
                <w:szCs w:val="20"/>
              </w:rPr>
            </w:pPr>
            <w:r>
              <w:rPr>
                <w:rFonts w:hint="default" w:ascii="Times New Roman" w:hAnsi="Times New Roman" w:eastAsia="黑体"/>
                <w:b/>
                <w:bCs/>
                <w:kern w:val="0"/>
                <w:szCs w:val="20"/>
              </w:rPr>
              <w:t>3.1.2地表水环境</w:t>
            </w:r>
          </w:p>
          <w:p>
            <w:pPr>
              <w:pStyle w:val="4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80" w:firstLineChars="200"/>
              <w:textAlignment w:val="auto"/>
              <w:rPr>
                <w:rFonts w:hint="default" w:ascii="Times New Roman" w:hAnsi="Times New Roman"/>
              </w:rPr>
            </w:pPr>
            <w:r>
              <w:rPr>
                <w:rFonts w:hint="eastAsia" w:ascii="Times New Roman" w:hAnsi="Times New Roman"/>
                <w:lang w:eastAsia="zh-CN"/>
              </w:rPr>
              <w:t>（</w:t>
            </w:r>
            <w:r>
              <w:rPr>
                <w:rFonts w:hint="eastAsia" w:ascii="Times New Roman" w:hAnsi="Times New Roman"/>
                <w:lang w:val="en-US" w:eastAsia="zh-CN"/>
              </w:rPr>
              <w:t>1</w:t>
            </w:r>
            <w:r>
              <w:rPr>
                <w:rFonts w:hint="eastAsia" w:ascii="Times New Roman" w:hAnsi="Times New Roman"/>
                <w:lang w:eastAsia="zh-CN"/>
              </w:rPr>
              <w:t>）</w:t>
            </w:r>
            <w:r>
              <w:rPr>
                <w:rFonts w:hint="default" w:ascii="Times New Roman" w:hAnsi="Times New Roman"/>
              </w:rPr>
              <w:t>排水去向</w:t>
            </w:r>
          </w:p>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0" w:firstLineChars="200"/>
              <w:textAlignment w:val="auto"/>
              <w:rPr>
                <w:rFonts w:hint="default" w:ascii="Times New Roman" w:hAnsi="Times New Roman"/>
              </w:rPr>
            </w:pPr>
            <w:r>
              <w:rPr>
                <w:rFonts w:hint="default" w:ascii="Times New Roman" w:hAnsi="Times New Roman"/>
              </w:rPr>
              <w:t>本项目无生产废水外排，生活污水经地埋式生活污水处理设施处理后用于周边山林地</w:t>
            </w:r>
            <w:r>
              <w:rPr>
                <w:rFonts w:hint="eastAsia" w:ascii="Times New Roman" w:hAnsi="Times New Roman"/>
              </w:rPr>
              <w:t>灌溉</w:t>
            </w:r>
            <w:r>
              <w:rPr>
                <w:rFonts w:hint="default" w:ascii="Times New Roman" w:hAnsi="Times New Roman"/>
              </w:rPr>
              <w:t>。</w:t>
            </w:r>
          </w:p>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0" w:firstLineChars="200"/>
              <w:textAlignment w:val="auto"/>
              <w:rPr>
                <w:rFonts w:hint="default" w:ascii="Times New Roman" w:hAnsi="Times New Roman"/>
              </w:rPr>
            </w:pPr>
            <w:r>
              <w:rPr>
                <w:rFonts w:hint="default" w:ascii="Times New Roman" w:hAnsi="Times New Roman"/>
              </w:rPr>
              <w:t>（2）环境功能区划及质量标准</w:t>
            </w:r>
          </w:p>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0" w:firstLineChars="200"/>
              <w:textAlignment w:val="auto"/>
              <w:rPr>
                <w:rFonts w:hint="default" w:ascii="Times New Roman" w:hAnsi="Times New Roman"/>
                <w:color w:val="auto"/>
              </w:rPr>
            </w:pPr>
            <w:r>
              <w:rPr>
                <w:rFonts w:hint="default" w:ascii="Times New Roman" w:hAnsi="Times New Roman"/>
              </w:rPr>
              <w:t>项目所在区域主要地表水体</w:t>
            </w:r>
            <w:r>
              <w:rPr>
                <w:rFonts w:hint="default" w:ascii="Times New Roman" w:hAnsi="Times New Roman"/>
                <w:color w:val="auto"/>
              </w:rPr>
              <w:t>为均溪</w:t>
            </w:r>
            <w:r>
              <w:rPr>
                <w:rFonts w:hint="eastAsia" w:ascii="Times New Roman" w:hAnsi="Times New Roman"/>
                <w:color w:val="auto"/>
                <w:lang w:val="en-US" w:eastAsia="zh-CN"/>
              </w:rPr>
              <w:t>支流</w:t>
            </w:r>
            <w:r>
              <w:rPr>
                <w:rFonts w:hint="default" w:ascii="Times New Roman" w:hAnsi="Times New Roman"/>
                <w:color w:val="auto"/>
              </w:rPr>
              <w:t>，</w:t>
            </w:r>
            <w:r>
              <w:rPr>
                <w:rFonts w:hint="eastAsia" w:ascii="Times New Roman" w:hAnsi="Times New Roman"/>
                <w:color w:val="auto"/>
                <w:lang w:val="en-US" w:eastAsia="zh-CN"/>
              </w:rPr>
              <w:t>属于尤溪流域。</w:t>
            </w:r>
            <w:r>
              <w:rPr>
                <w:rFonts w:hint="default" w:ascii="Times New Roman" w:hAnsi="Times New Roman"/>
                <w:color w:val="auto"/>
              </w:rPr>
              <w:t>水体主要功能为农灌、工业和景观用水，地表水环境功能区类别为《地表水环境质量标准》（GB3838-2002）中的Ⅲ类水体，水质执行《地表水环境质量标准》（GB3838-2002）中的Ⅲ类标准。</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firstLine="480" w:firstLineChars="200"/>
              <w:textAlignment w:val="auto"/>
              <w:rPr>
                <w:rFonts w:hint="default" w:ascii="Times New Roman" w:hAnsi="Times New Roman" w:eastAsiaTheme="minorEastAsia"/>
                <w:color w:val="auto"/>
              </w:rPr>
            </w:pPr>
            <w:r>
              <w:rPr>
                <w:rFonts w:hint="default" w:ascii="Times New Roman" w:hAnsi="Times New Roman" w:eastAsiaTheme="minorEastAsia"/>
                <w:color w:val="auto"/>
              </w:rPr>
              <w:t>（3）地表水环境质量现状</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firstLine="480" w:firstLineChars="200"/>
              <w:textAlignment w:val="auto"/>
              <w:rPr>
                <w:rFonts w:hint="default" w:ascii="Times New Roman" w:hAnsi="Times New Roman"/>
              </w:rPr>
            </w:pPr>
            <w:r>
              <w:rPr>
                <w:rFonts w:hint="default" w:ascii="Times New Roman" w:hAnsi="Times New Roman" w:eastAsiaTheme="minorEastAsia"/>
                <w:color w:val="auto"/>
              </w:rPr>
              <w:t>项目所在水域下游为均溪，均溪设有一个国控监测断面“大田高才”，位于厂区下游</w:t>
            </w:r>
            <w:r>
              <w:rPr>
                <w:rFonts w:hint="eastAsia" w:ascii="Times New Roman" w:hAnsi="Times New Roman" w:eastAsiaTheme="minorEastAsia"/>
                <w:color w:val="auto"/>
                <w:lang w:eastAsia="zh-CN"/>
              </w:rPr>
              <w:t>，</w:t>
            </w:r>
            <w:r>
              <w:rPr>
                <w:rFonts w:hint="eastAsia" w:ascii="Times New Roman" w:hAnsi="Times New Roman" w:eastAsiaTheme="minorEastAsia"/>
                <w:color w:val="auto"/>
                <w:lang w:val="en-US" w:eastAsia="zh-CN"/>
              </w:rPr>
              <w:t>属于尤溪流域</w:t>
            </w:r>
            <w:r>
              <w:rPr>
                <w:rFonts w:hint="default" w:ascii="Times New Roman" w:hAnsi="Times New Roman" w:eastAsiaTheme="minorEastAsia"/>
                <w:color w:val="auto"/>
              </w:rPr>
              <w:t>。</w:t>
            </w:r>
            <w:r>
              <w:rPr>
                <w:rFonts w:hint="default" w:ascii="Times New Roman" w:hAnsi="Times New Roman"/>
                <w:color w:val="auto"/>
              </w:rPr>
              <w:t>根据《三明</w:t>
            </w:r>
            <w:r>
              <w:rPr>
                <w:rFonts w:hint="default" w:ascii="Times New Roman" w:hAnsi="Times New Roman"/>
              </w:rPr>
              <w:t>市水环境质量月报（2023年</w:t>
            </w:r>
            <w:r>
              <w:rPr>
                <w:rFonts w:hint="eastAsia" w:ascii="Times New Roman" w:hAnsi="Times New Roman"/>
              </w:rPr>
              <w:t>12月</w:t>
            </w:r>
            <w:r>
              <w:rPr>
                <w:rFonts w:hint="default" w:ascii="Times New Roman" w:hAnsi="Times New Roman"/>
              </w:rPr>
              <w:t>-</w:t>
            </w:r>
            <w:r>
              <w:rPr>
                <w:rFonts w:hint="eastAsia" w:ascii="Times New Roman" w:hAnsi="Times New Roman"/>
              </w:rPr>
              <w:t>2024年2</w:t>
            </w:r>
            <w:r>
              <w:rPr>
                <w:rFonts w:hint="default" w:ascii="Times New Roman" w:hAnsi="Times New Roman"/>
              </w:rPr>
              <w:t>月）》（三明市生态环境局）</w:t>
            </w:r>
            <w:r>
              <w:rPr>
                <w:rFonts w:hint="default" w:ascii="Times New Roman" w:hAnsi="Times New Roman" w:eastAsiaTheme="minorEastAsia"/>
              </w:rPr>
              <w:t>，</w:t>
            </w:r>
            <w:r>
              <w:rPr>
                <w:rFonts w:hint="default" w:ascii="Times New Roman" w:hAnsi="Times New Roman"/>
              </w:rPr>
              <w:t>2023年</w:t>
            </w:r>
            <w:r>
              <w:rPr>
                <w:rFonts w:hint="eastAsia" w:ascii="Times New Roman" w:hAnsi="Times New Roman"/>
              </w:rPr>
              <w:t>12月</w:t>
            </w:r>
            <w:r>
              <w:rPr>
                <w:rFonts w:hint="default" w:ascii="Times New Roman" w:hAnsi="Times New Roman"/>
              </w:rPr>
              <w:t>-</w:t>
            </w:r>
            <w:r>
              <w:rPr>
                <w:rFonts w:hint="eastAsia" w:ascii="Times New Roman" w:hAnsi="Times New Roman"/>
              </w:rPr>
              <w:t>2024年2</w:t>
            </w:r>
            <w:r>
              <w:rPr>
                <w:rFonts w:hint="default" w:ascii="Times New Roman" w:hAnsi="Times New Roman"/>
              </w:rPr>
              <w:t>月“大田高才”水质监测结果均</w:t>
            </w:r>
            <w:r>
              <w:rPr>
                <w:rFonts w:hint="eastAsia" w:ascii="Times New Roman" w:hAnsi="Times New Roman"/>
              </w:rPr>
              <w:t>达到</w:t>
            </w:r>
            <w:r>
              <w:rPr>
                <w:rFonts w:hint="default" w:ascii="Times New Roman" w:hAnsi="Times New Roman"/>
              </w:rPr>
              <w:t>《地表水环境质量标准》（GB3838-2002）</w:t>
            </w:r>
            <w:r>
              <w:rPr>
                <w:rFonts w:hint="default" w:ascii="Times New Roman" w:hAnsi="Times New Roman" w:eastAsia="MS Gothic"/>
              </w:rPr>
              <w:t>Ⅰ</w:t>
            </w:r>
            <w:r>
              <w:rPr>
                <w:rFonts w:hint="default" w:ascii="Times New Roman" w:hAnsi="Times New Roman"/>
              </w:rPr>
              <w:t>类</w:t>
            </w:r>
            <w:r>
              <w:rPr>
                <w:rFonts w:hint="eastAsia" w:ascii="Times New Roman" w:hAnsi="Times New Roman"/>
              </w:rPr>
              <w:t>。</w:t>
            </w:r>
            <w:r>
              <w:rPr>
                <w:rFonts w:hint="default" w:ascii="Times New Roman" w:hAnsi="Times New Roman"/>
              </w:rPr>
              <w:t>因此，项目所在区域水质可以达到Ⅲ类标准，属于地表水达标区。具体详见表3.1-</w:t>
            </w:r>
            <w:r>
              <w:rPr>
                <w:rFonts w:hint="eastAsia" w:ascii="Times New Roman" w:hAnsi="Times New Roman"/>
              </w:rPr>
              <w:t>4</w:t>
            </w:r>
            <w:r>
              <w:rPr>
                <w:rFonts w:hint="default" w:ascii="Times New Roman" w:hAnsi="Times New Roman"/>
              </w:rPr>
              <w:t>。</w:t>
            </w:r>
          </w:p>
          <w:p>
            <w:pPr>
              <w:pStyle w:val="22"/>
              <w:keepNext/>
              <w:keepLines w:val="0"/>
              <w:pageBreakBefore w:val="0"/>
              <w:widowControl w:val="0"/>
              <w:suppressLineNumbers w:val="0"/>
              <w:tabs>
                <w:tab w:val="left" w:pos="360"/>
              </w:tabs>
              <w:kinsoku/>
              <w:wordWrap/>
              <w:overflowPunct/>
              <w:topLinePunct w:val="0"/>
              <w:autoSpaceDE/>
              <w:autoSpaceDN/>
              <w:bidi w:val="0"/>
              <w:adjustRightInd w:val="0"/>
              <w:snapToGrid w:val="0"/>
              <w:spacing w:before="0" w:beforeAutospacing="0" w:after="0" w:afterAutospacing="0" w:line="440" w:lineRule="exact"/>
              <w:ind w:left="0" w:right="0"/>
              <w:textAlignment w:val="auto"/>
              <w:outlineLvl w:val="9"/>
              <w:rPr>
                <w:rFonts w:hint="default" w:ascii="Times New Roman" w:hAnsi="Times New Roman" w:eastAsia="黑体"/>
                <w:b w:val="0"/>
                <w:bCs w:val="0"/>
                <w:sz w:val="24"/>
                <w:szCs w:val="24"/>
              </w:rPr>
            </w:pPr>
            <w:r>
              <w:rPr>
                <w:rFonts w:hint="default" w:ascii="Times New Roman" w:hAnsi="Times New Roman" w:eastAsia="黑体"/>
                <w:b w:val="0"/>
                <w:bCs w:val="0"/>
                <w:sz w:val="24"/>
                <w:szCs w:val="24"/>
              </w:rPr>
              <w:t>表3.1-</w:t>
            </w:r>
            <w:r>
              <w:rPr>
                <w:rFonts w:hint="eastAsia" w:ascii="Times New Roman" w:hAnsi="Times New Roman" w:eastAsia="黑体"/>
                <w:b w:val="0"/>
                <w:bCs w:val="0"/>
                <w:color w:val="auto"/>
                <w:sz w:val="24"/>
                <w:szCs w:val="24"/>
              </w:rPr>
              <w:t>4</w:t>
            </w:r>
            <w:r>
              <w:rPr>
                <w:rFonts w:hint="default" w:ascii="Times New Roman" w:hAnsi="Times New Roman" w:eastAsia="黑体"/>
                <w:b w:val="0"/>
                <w:bCs w:val="0"/>
                <w:color w:val="auto"/>
                <w:sz w:val="24"/>
                <w:szCs w:val="24"/>
              </w:rPr>
              <w:t>“大田高才”断面水环境质量表（2023年</w:t>
            </w:r>
            <w:r>
              <w:rPr>
                <w:rFonts w:hint="eastAsia" w:ascii="Times New Roman" w:hAnsi="Times New Roman" w:eastAsia="黑体"/>
                <w:b w:val="0"/>
                <w:bCs w:val="0"/>
                <w:color w:val="auto"/>
                <w:sz w:val="24"/>
                <w:szCs w:val="24"/>
              </w:rPr>
              <w:t>12</w:t>
            </w:r>
            <w:r>
              <w:rPr>
                <w:rFonts w:hint="default" w:ascii="Times New Roman" w:hAnsi="Times New Roman" w:eastAsia="黑体"/>
                <w:b w:val="0"/>
                <w:bCs w:val="0"/>
                <w:color w:val="auto"/>
                <w:sz w:val="24"/>
                <w:szCs w:val="24"/>
              </w:rPr>
              <w:t>月-</w:t>
            </w:r>
            <w:r>
              <w:rPr>
                <w:rFonts w:hint="eastAsia" w:ascii="Times New Roman" w:hAnsi="Times New Roman" w:eastAsia="黑体"/>
                <w:b w:val="0"/>
                <w:bCs w:val="0"/>
                <w:color w:val="auto"/>
                <w:sz w:val="24"/>
                <w:szCs w:val="24"/>
              </w:rPr>
              <w:t>2024年2</w:t>
            </w:r>
            <w:r>
              <w:rPr>
                <w:rFonts w:hint="default" w:ascii="Times New Roman" w:hAnsi="Times New Roman" w:eastAsia="黑体"/>
                <w:b w:val="0"/>
                <w:bCs w:val="0"/>
                <w:color w:val="auto"/>
                <w:sz w:val="24"/>
                <w:szCs w:val="24"/>
              </w:rPr>
              <w:t>月）</w:t>
            </w:r>
          </w:p>
          <w:tbl>
            <w:tblPr>
              <w:tblStyle w:val="25"/>
              <w:tblW w:w="80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0"/>
              <w:gridCol w:w="2001"/>
              <w:gridCol w:w="2003"/>
              <w:gridCol w:w="20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00"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月份</w:t>
                  </w:r>
                </w:p>
              </w:tc>
              <w:tc>
                <w:tcPr>
                  <w:tcW w:w="2001"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水环境功能类别</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eastAsia" w:ascii="Times New Roman" w:hAnsi="Times New Roman"/>
                      <w:sz w:val="21"/>
                      <w:szCs w:val="21"/>
                    </w:rPr>
                    <w:t>现状</w:t>
                  </w:r>
                  <w:r>
                    <w:rPr>
                      <w:rFonts w:hint="default" w:ascii="Times New Roman" w:hAnsi="Times New Roman"/>
                      <w:sz w:val="21"/>
                      <w:szCs w:val="21"/>
                    </w:rPr>
                    <w:t>水质类别</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00"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2023年</w:t>
                  </w:r>
                  <w:r>
                    <w:rPr>
                      <w:rFonts w:hint="eastAsia" w:ascii="Times New Roman" w:hAnsi="Times New Roman"/>
                      <w:sz w:val="21"/>
                      <w:szCs w:val="21"/>
                    </w:rPr>
                    <w:t>12</w:t>
                  </w:r>
                  <w:r>
                    <w:rPr>
                      <w:rFonts w:hint="default" w:ascii="Times New Roman" w:hAnsi="Times New Roman"/>
                      <w:sz w:val="21"/>
                      <w:szCs w:val="21"/>
                    </w:rPr>
                    <w:t>月</w:t>
                  </w:r>
                </w:p>
              </w:tc>
              <w:tc>
                <w:tcPr>
                  <w:tcW w:w="2001"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III类</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eastAsia="MS Gothic"/>
                      <w:sz w:val="21"/>
                      <w:szCs w:val="21"/>
                    </w:rPr>
                    <w:t>Ⅰ</w:t>
                  </w:r>
                  <w:r>
                    <w:rPr>
                      <w:rFonts w:hint="default" w:ascii="Times New Roman" w:hAnsi="Times New Roman"/>
                      <w:sz w:val="21"/>
                      <w:szCs w:val="21"/>
                    </w:rPr>
                    <w:t>类</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00"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20</w:t>
                  </w:r>
                  <w:r>
                    <w:rPr>
                      <w:rFonts w:hint="eastAsia" w:ascii="Times New Roman" w:hAnsi="Times New Roman"/>
                      <w:sz w:val="21"/>
                      <w:szCs w:val="21"/>
                    </w:rPr>
                    <w:t>24</w:t>
                  </w:r>
                  <w:r>
                    <w:rPr>
                      <w:rFonts w:hint="default" w:ascii="Times New Roman" w:hAnsi="Times New Roman"/>
                      <w:sz w:val="21"/>
                      <w:szCs w:val="21"/>
                    </w:rPr>
                    <w:t>年</w:t>
                  </w:r>
                  <w:r>
                    <w:rPr>
                      <w:rFonts w:hint="eastAsia" w:ascii="Times New Roman" w:hAnsi="Times New Roman"/>
                      <w:sz w:val="21"/>
                      <w:szCs w:val="21"/>
                    </w:rPr>
                    <w:t>1</w:t>
                  </w:r>
                  <w:r>
                    <w:rPr>
                      <w:rFonts w:hint="default" w:ascii="Times New Roman" w:hAnsi="Times New Roman"/>
                      <w:sz w:val="21"/>
                      <w:szCs w:val="21"/>
                    </w:rPr>
                    <w:t>月</w:t>
                  </w:r>
                </w:p>
              </w:tc>
              <w:tc>
                <w:tcPr>
                  <w:tcW w:w="2001"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III类</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eastAsia="MS Gothic"/>
                      <w:sz w:val="21"/>
                      <w:szCs w:val="21"/>
                    </w:rPr>
                    <w:t>Ⅰ</w:t>
                  </w:r>
                  <w:r>
                    <w:rPr>
                      <w:rFonts w:hint="default" w:ascii="Times New Roman" w:hAnsi="Times New Roman"/>
                      <w:sz w:val="21"/>
                      <w:szCs w:val="21"/>
                    </w:rPr>
                    <w:t>类</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00"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20</w:t>
                  </w:r>
                  <w:r>
                    <w:rPr>
                      <w:rFonts w:hint="eastAsia" w:ascii="Times New Roman" w:hAnsi="Times New Roman"/>
                      <w:sz w:val="21"/>
                      <w:szCs w:val="21"/>
                    </w:rPr>
                    <w:t>24</w:t>
                  </w:r>
                  <w:r>
                    <w:rPr>
                      <w:rFonts w:hint="default" w:ascii="Times New Roman" w:hAnsi="Times New Roman"/>
                      <w:sz w:val="21"/>
                      <w:szCs w:val="21"/>
                    </w:rPr>
                    <w:t>年</w:t>
                  </w:r>
                  <w:r>
                    <w:rPr>
                      <w:rFonts w:hint="eastAsia" w:ascii="Times New Roman" w:hAnsi="Times New Roman"/>
                      <w:sz w:val="21"/>
                      <w:szCs w:val="21"/>
                    </w:rPr>
                    <w:t>2</w:t>
                  </w:r>
                  <w:r>
                    <w:rPr>
                      <w:rFonts w:hint="default" w:ascii="Times New Roman" w:hAnsi="Times New Roman"/>
                      <w:sz w:val="21"/>
                      <w:szCs w:val="21"/>
                    </w:rPr>
                    <w:t>月</w:t>
                  </w:r>
                </w:p>
              </w:tc>
              <w:tc>
                <w:tcPr>
                  <w:tcW w:w="2001"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III类</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eastAsia="MS Gothic"/>
                      <w:sz w:val="21"/>
                      <w:szCs w:val="21"/>
                    </w:rPr>
                    <w:t>Ⅰ</w:t>
                  </w:r>
                  <w:r>
                    <w:rPr>
                      <w:rFonts w:hint="default" w:ascii="Times New Roman" w:hAnsi="Times New Roman"/>
                      <w:sz w:val="21"/>
                      <w:szCs w:val="21"/>
                    </w:rPr>
                    <w:t>类</w:t>
                  </w:r>
                </w:p>
              </w:tc>
              <w:tc>
                <w:tcPr>
                  <w:tcW w:w="2003"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sz w:val="21"/>
                      <w:szCs w:val="21"/>
                    </w:rPr>
                  </w:pPr>
                  <w:r>
                    <w:rPr>
                      <w:rFonts w:hint="default" w:ascii="Times New Roman" w:hAnsi="Times New Roman"/>
                      <w:sz w:val="21"/>
                      <w:szCs w:val="21"/>
                    </w:rPr>
                    <w:t>是</w:t>
                  </w:r>
                </w:p>
              </w:tc>
            </w:tr>
          </w:tbl>
          <w:p>
            <w:pPr>
              <w:keepNext w:val="0"/>
              <w:keepLines w:val="0"/>
              <w:suppressLineNumbers w:val="0"/>
              <w:spacing w:before="0" w:beforeAutospacing="0" w:after="0" w:afterAutospacing="0" w:line="430" w:lineRule="exact"/>
              <w:ind w:left="0" w:right="0"/>
              <w:jc w:val="left"/>
              <w:rPr>
                <w:rFonts w:hint="default" w:ascii="Times New Roman" w:hAnsi="Times New Roman" w:eastAsia="黑体"/>
                <w:b/>
                <w:bCs/>
                <w:kern w:val="0"/>
                <w:szCs w:val="20"/>
              </w:rPr>
            </w:pPr>
            <w:r>
              <w:rPr>
                <w:rFonts w:hint="default" w:ascii="Times New Roman" w:hAnsi="Times New Roman" w:eastAsia="黑体"/>
                <w:b/>
                <w:bCs/>
                <w:kern w:val="0"/>
                <w:szCs w:val="20"/>
              </w:rPr>
              <w:t>3.1.3声环境</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kern w:val="0"/>
                <w:szCs w:val="20"/>
              </w:rPr>
              <w:t>根据《建设项目环境影响报告表编制技术指南》（污染影响类）（试行）中规定，“厂界外周边50米范围内存在声环境保护目标的建设项目，应监测保护目标声环境质量现状并评价达标情况。”项目厂界周边50米范围内无声环境保护目标，本项目不开展周边声环境质量现状调查及评价。</w:t>
            </w:r>
          </w:p>
          <w:p>
            <w:pPr>
              <w:keepNext w:val="0"/>
              <w:keepLines w:val="0"/>
              <w:suppressLineNumbers w:val="0"/>
              <w:spacing w:before="0" w:beforeAutospacing="0" w:after="0" w:afterAutospacing="0" w:line="440" w:lineRule="exact"/>
              <w:ind w:left="0" w:right="0"/>
              <w:jc w:val="left"/>
              <w:rPr>
                <w:rFonts w:hint="default" w:ascii="Times New Roman" w:hAnsi="Times New Roman" w:eastAsia="黑体"/>
                <w:b/>
                <w:bCs/>
                <w:kern w:val="0"/>
                <w:szCs w:val="20"/>
              </w:rPr>
            </w:pPr>
            <w:r>
              <w:rPr>
                <w:rFonts w:hint="default" w:ascii="Times New Roman" w:hAnsi="Times New Roman" w:eastAsia="黑体"/>
                <w:b/>
                <w:bCs/>
                <w:kern w:val="0"/>
                <w:szCs w:val="20"/>
              </w:rPr>
              <w:t>3.1.4生态环境</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kern w:val="0"/>
                <w:szCs w:val="20"/>
              </w:rPr>
            </w:pPr>
            <w:r>
              <w:rPr>
                <w:rFonts w:hint="default" w:ascii="Times New Roman" w:hAnsi="Times New Roman"/>
                <w:kern w:val="0"/>
                <w:szCs w:val="20"/>
              </w:rPr>
              <w:t>本项目租用大田县前坪乡下地村民委员会</w:t>
            </w:r>
            <w:r>
              <w:rPr>
                <w:rFonts w:hint="default" w:ascii="Times New Roman" w:hAnsi="Times New Roman"/>
                <w:color w:val="auto"/>
                <w:kern w:val="0"/>
                <w:szCs w:val="20"/>
              </w:rPr>
              <w:t>的</w:t>
            </w:r>
            <w:r>
              <w:rPr>
                <w:rFonts w:hint="eastAsia" w:ascii="Times New Roman" w:hAnsi="Times New Roman"/>
                <w:color w:val="auto"/>
                <w:kern w:val="0"/>
                <w:szCs w:val="20"/>
                <w:lang w:val="en-US" w:eastAsia="zh-CN"/>
              </w:rPr>
              <w:t>空置厂房</w:t>
            </w:r>
            <w:r>
              <w:rPr>
                <w:rFonts w:hint="default" w:ascii="Times New Roman" w:hAnsi="Times New Roman"/>
                <w:color w:val="auto"/>
                <w:kern w:val="0"/>
                <w:szCs w:val="20"/>
              </w:rPr>
              <w:t>，</w:t>
            </w:r>
            <w:r>
              <w:rPr>
                <w:rFonts w:hint="default" w:ascii="Times New Roman" w:hAnsi="Times New Roman"/>
                <w:kern w:val="0"/>
                <w:szCs w:val="20"/>
              </w:rPr>
              <w:t>无新增用地，用地周边无珍稀濒危物种、自然保护区、风景名胜区等生态敏感目标，不属于生态敏感区，对周边生态环境造成的影响很小。</w:t>
            </w:r>
            <w:r>
              <w:rPr>
                <w:rFonts w:hint="default" w:ascii="Times New Roman" w:hAnsi="Times New Roman"/>
              </w:rPr>
              <w:t>项目生产运营不会造成评价区域内生物量和物种多样性的锐减，不会引起荒漠化、水和土地的理化性质恶化，对生态环境造成的影响很小，本评价不进行生态环境影响评价</w:t>
            </w:r>
            <w:r>
              <w:rPr>
                <w:rFonts w:hint="default" w:ascii="Times New Roman" w:hAnsi="Times New Roman"/>
                <w:kern w:val="0"/>
                <w:szCs w:val="20"/>
              </w:rPr>
              <w:t>。</w:t>
            </w:r>
          </w:p>
          <w:p>
            <w:pPr>
              <w:keepNext w:val="0"/>
              <w:keepLines w:val="0"/>
              <w:suppressLineNumbers w:val="0"/>
              <w:spacing w:before="0" w:beforeAutospacing="0" w:after="0" w:afterAutospacing="0" w:line="440" w:lineRule="exact"/>
              <w:ind w:left="0" w:right="0"/>
              <w:jc w:val="left"/>
              <w:rPr>
                <w:rFonts w:hint="default" w:ascii="Times New Roman" w:hAnsi="Times New Roman" w:eastAsia="黑体"/>
                <w:b/>
                <w:bCs/>
                <w:kern w:val="0"/>
                <w:szCs w:val="20"/>
              </w:rPr>
            </w:pPr>
            <w:r>
              <w:rPr>
                <w:rFonts w:hint="default" w:ascii="Times New Roman" w:hAnsi="Times New Roman" w:eastAsia="黑体"/>
                <w:b/>
                <w:bCs/>
                <w:kern w:val="0"/>
                <w:szCs w:val="20"/>
              </w:rPr>
              <w:t>3.1.5地下水、土壤环境</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eastAsia="仿宋"/>
                <w:sz w:val="30"/>
              </w:rPr>
            </w:pPr>
            <w:r>
              <w:rPr>
                <w:rFonts w:hint="default" w:ascii="Times New Roman" w:hAnsi="Times New Roman"/>
                <w:kern w:val="0"/>
                <w:szCs w:val="20"/>
              </w:rPr>
              <w:t>项目主要从事</w:t>
            </w:r>
            <w:r>
              <w:rPr>
                <w:rFonts w:hint="eastAsia" w:ascii="Times New Roman" w:hAnsi="Times New Roman"/>
                <w:kern w:val="0"/>
                <w:szCs w:val="20"/>
              </w:rPr>
              <w:t>矿渣</w:t>
            </w:r>
            <w:r>
              <w:rPr>
                <w:rFonts w:hint="default" w:ascii="Times New Roman" w:hAnsi="Times New Roman"/>
                <w:kern w:val="0"/>
                <w:szCs w:val="20"/>
              </w:rPr>
              <w:t>石料</w:t>
            </w:r>
            <w:r>
              <w:rPr>
                <w:rFonts w:hint="eastAsia" w:ascii="Times New Roman" w:hAnsi="Times New Roman"/>
                <w:kern w:val="0"/>
                <w:szCs w:val="20"/>
              </w:rPr>
              <w:t>的破碎</w:t>
            </w:r>
            <w:r>
              <w:rPr>
                <w:rFonts w:hint="default" w:ascii="Times New Roman" w:hAnsi="Times New Roman"/>
                <w:kern w:val="0"/>
                <w:szCs w:val="20"/>
              </w:rPr>
              <w:t>加工，</w:t>
            </w:r>
            <w:r>
              <w:rPr>
                <w:rFonts w:hint="default" w:ascii="Times New Roman" w:hAnsi="Times New Roman"/>
                <w:bCs/>
              </w:rPr>
              <w:t>主要污染物为粉尘颗粒物</w:t>
            </w:r>
            <w:r>
              <w:rPr>
                <w:rFonts w:hint="eastAsia" w:ascii="Times New Roman" w:hAnsi="Times New Roman"/>
                <w:bCs/>
              </w:rPr>
              <w:t>、洗砂废水</w:t>
            </w:r>
            <w:r>
              <w:rPr>
                <w:rFonts w:hint="default" w:ascii="Times New Roman" w:hAnsi="Times New Roman"/>
                <w:bCs/>
              </w:rPr>
              <w:t>及</w:t>
            </w:r>
            <w:r>
              <w:rPr>
                <w:rFonts w:hint="eastAsia" w:ascii="Times New Roman" w:hAnsi="Times New Roman"/>
                <w:bCs/>
              </w:rPr>
              <w:t>设备运行产生的</w:t>
            </w:r>
            <w:r>
              <w:rPr>
                <w:rFonts w:hint="default" w:ascii="Times New Roman" w:hAnsi="Times New Roman"/>
                <w:bCs/>
              </w:rPr>
              <w:t>噪声，项目地面采用防渗混凝土防渗，生产废水循环使用不外排、生活污水经地埋式生活污水处理设施处理后用于周边山林地</w:t>
            </w:r>
            <w:r>
              <w:rPr>
                <w:rFonts w:hint="eastAsia" w:ascii="Times New Roman" w:hAnsi="Times New Roman"/>
                <w:bCs/>
              </w:rPr>
              <w:t>灌溉</w:t>
            </w:r>
            <w:r>
              <w:rPr>
                <w:rFonts w:hint="default" w:ascii="Times New Roman" w:hAnsi="Times New Roman"/>
                <w:bCs/>
              </w:rPr>
              <w:t>，基本不会对地下水、土壤造成污染影响，根</w:t>
            </w:r>
            <w:r>
              <w:rPr>
                <w:rFonts w:hint="default" w:ascii="Times New Roman" w:hAnsi="Times New Roman"/>
              </w:rPr>
              <w:t>据《建设项目环境影响报告表编制技术指南（污染影响类）（试行）》，</w:t>
            </w:r>
            <w:r>
              <w:rPr>
                <w:rFonts w:hint="default" w:ascii="Times New Roman" w:hAnsi="Times New Roman"/>
                <w:bCs/>
              </w:rPr>
              <w:t>不开展土壤、地下水环境现状监测</w:t>
            </w:r>
            <w:r>
              <w:rPr>
                <w:rFonts w:hint="default" w:ascii="Times New Roman" w:hAnsi="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76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default" w:ascii="Times New Roman" w:hAnsi="Times New Roman"/>
                <w:kern w:val="0"/>
                <w:szCs w:val="21"/>
              </w:rPr>
              <w:t>目标</w:t>
            </w:r>
          </w:p>
        </w:tc>
        <w:tc>
          <w:tcPr>
            <w:tcW w:w="8226" w:type="dxa"/>
            <w:vAlign w:val="center"/>
          </w:tcPr>
          <w:p>
            <w:pPr>
              <w:pStyle w:val="6"/>
              <w:keepLines w:val="0"/>
              <w:suppressLineNumbers w:val="0"/>
              <w:spacing w:beforeAutospacing="0" w:afterAutospacing="0"/>
              <w:ind w:left="311" w:right="0"/>
              <w:rPr>
                <w:rFonts w:hint="default"/>
                <w:color w:val="auto"/>
              </w:rPr>
            </w:pPr>
            <w:r>
              <w:rPr>
                <w:rFonts w:hint="default"/>
                <w:color w:val="auto"/>
              </w:rPr>
              <w:t>3.2环境保护目标</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rPr>
            </w:pPr>
            <w:bookmarkStart w:id="9" w:name="_Hlk65135411"/>
            <w:r>
              <w:rPr>
                <w:rFonts w:hint="default" w:ascii="Times New Roman" w:hAnsi="Times New Roman"/>
              </w:rPr>
              <w:t>项目位于大田县前坪乡下地村石克盂（下地坑），</w:t>
            </w:r>
            <w:bookmarkEnd w:id="9"/>
            <w:r>
              <w:rPr>
                <w:rFonts w:hint="default" w:ascii="Times New Roman" w:hAnsi="Times New Roman"/>
              </w:rPr>
              <w:t>厂界四周均为山坡地</w:t>
            </w:r>
            <w:r>
              <w:rPr>
                <w:rFonts w:hint="eastAsia" w:ascii="Times New Roman" w:hAnsi="Times New Roman"/>
              </w:rPr>
              <w:t>，</w:t>
            </w:r>
            <w:r>
              <w:rPr>
                <w:rFonts w:hint="default" w:ascii="Times New Roman" w:hAnsi="Times New Roman"/>
              </w:rPr>
              <w:t>不涉及生态环境保护目标</w:t>
            </w:r>
            <w:r>
              <w:rPr>
                <w:rFonts w:hint="eastAsia" w:ascii="Times New Roman" w:hAnsi="Times New Roman"/>
              </w:rPr>
              <w:t>。</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rPr>
            </w:pPr>
            <w:r>
              <w:rPr>
                <w:rFonts w:hint="default" w:ascii="Times New Roman" w:hAnsi="Times New Roman"/>
              </w:rPr>
              <w:t>耀辉公司厂界外500m范围内，不涉及地下水集中式饮用水水源和热水、矿泉水、温泉等特殊地下水资源，无地下水环境保护目标</w:t>
            </w:r>
            <w:r>
              <w:rPr>
                <w:rFonts w:hint="eastAsia" w:ascii="Times New Roman" w:hAnsi="Times New Roman"/>
              </w:rPr>
              <w:t>。项</w:t>
            </w:r>
            <w:r>
              <w:rPr>
                <w:rFonts w:hint="default" w:ascii="Times New Roman" w:hAnsi="Times New Roman"/>
              </w:rPr>
              <w:t>目</w:t>
            </w:r>
            <w:r>
              <w:rPr>
                <w:rFonts w:hint="eastAsia" w:ascii="Times New Roman" w:hAnsi="Times New Roman"/>
              </w:rPr>
              <w:t>租用现有闲置厂房进行建设</w:t>
            </w:r>
            <w:r>
              <w:rPr>
                <w:rFonts w:hint="default" w:ascii="Times New Roman" w:hAnsi="Times New Roman"/>
              </w:rPr>
              <w:t>，</w:t>
            </w:r>
            <w:r>
              <w:rPr>
                <w:rFonts w:hint="eastAsia" w:ascii="Times New Roman" w:hAnsi="Times New Roman"/>
              </w:rPr>
              <w:t>无新增开发用地，</w:t>
            </w:r>
            <w:r>
              <w:rPr>
                <w:rFonts w:hint="default" w:ascii="Times New Roman" w:hAnsi="Times New Roman"/>
              </w:rPr>
              <w:t>不涉及生态环境保护目标。</w:t>
            </w:r>
            <w:r>
              <w:rPr>
                <w:rFonts w:hint="eastAsia" w:ascii="Times New Roman" w:hAnsi="Times New Roman"/>
              </w:rPr>
              <w:t>无地表水饮用水源。</w:t>
            </w:r>
          </w:p>
          <w:p>
            <w:pPr>
              <w:pStyle w:val="41"/>
              <w:keepNext w:val="0"/>
              <w:keepLines w:val="0"/>
              <w:suppressLineNumbers w:val="0"/>
              <w:spacing w:before="0" w:beforeAutospacing="0" w:after="0" w:afterAutospacing="0" w:line="440" w:lineRule="exact"/>
              <w:ind w:left="0" w:right="0" w:firstLine="480"/>
              <w:rPr>
                <w:rFonts w:hint="eastAsia" w:ascii="Times New Roman" w:hAnsi="Times New Roman"/>
              </w:rPr>
            </w:pPr>
            <w:r>
              <w:rPr>
                <w:rFonts w:hint="default" w:ascii="Times New Roman" w:hAnsi="Times New Roman"/>
              </w:rPr>
              <w:t>项目环境保护目标主要为</w:t>
            </w:r>
            <w:r>
              <w:rPr>
                <w:rFonts w:hint="eastAsia" w:ascii="Times New Roman" w:hAnsi="Times New Roman"/>
              </w:rPr>
              <w:t>大气环境保护目标和水环境保护目标。大气环境保护目标为项目</w:t>
            </w:r>
            <w:r>
              <w:rPr>
                <w:rFonts w:hint="default" w:ascii="Times New Roman" w:hAnsi="Times New Roman"/>
              </w:rPr>
              <w:t>厂界东侧</w:t>
            </w:r>
            <w:r>
              <w:rPr>
                <w:rFonts w:hint="eastAsia" w:ascii="Times New Roman" w:hAnsi="Times New Roman"/>
              </w:rPr>
              <w:t>300m</w:t>
            </w:r>
            <w:r>
              <w:rPr>
                <w:rFonts w:hint="default" w:ascii="Times New Roman" w:hAnsi="Times New Roman"/>
              </w:rPr>
              <w:t>的下地村</w:t>
            </w:r>
            <w:r>
              <w:rPr>
                <w:rFonts w:hint="eastAsia" w:ascii="Times New Roman" w:hAnsi="Times New Roman"/>
              </w:rPr>
              <w:t>。水环境保护目标为厂界南侧180m的均溪支流（见附图4）</w:t>
            </w:r>
            <w:r>
              <w:rPr>
                <w:rFonts w:hint="default" w:ascii="Times New Roman" w:hAnsi="Times New Roman"/>
              </w:rPr>
              <w:t>，</w:t>
            </w:r>
            <w:r>
              <w:rPr>
                <w:rFonts w:hint="eastAsia" w:ascii="Times New Roman" w:hAnsi="Times New Roman"/>
              </w:rPr>
              <w:t>详见表3.2-1及表3.2-2。</w:t>
            </w:r>
          </w:p>
          <w:p>
            <w:pPr>
              <w:pStyle w:val="41"/>
              <w:keepNext w:val="0"/>
              <w:keepLines w:val="0"/>
              <w:suppressLineNumbers w:val="0"/>
              <w:spacing w:before="0" w:beforeAutospacing="0" w:after="0" w:afterAutospacing="0" w:line="440" w:lineRule="exact"/>
              <w:ind w:left="0" w:right="0" w:firstLine="480"/>
              <w:rPr>
                <w:rFonts w:hint="eastAsia" w:ascii="Times New Roman" w:hAnsi="Times New Roman"/>
              </w:rPr>
            </w:pPr>
          </w:p>
          <w:p>
            <w:pPr>
              <w:pStyle w:val="41"/>
              <w:keepNext w:val="0"/>
              <w:keepLines w:val="0"/>
              <w:suppressLineNumbers w:val="0"/>
              <w:spacing w:before="0" w:beforeAutospacing="0" w:after="0" w:afterAutospacing="0" w:line="440" w:lineRule="exact"/>
              <w:ind w:left="0" w:right="0" w:firstLine="480"/>
              <w:rPr>
                <w:rFonts w:hint="eastAsia" w:ascii="Times New Roman" w:hAnsi="Times New Roman"/>
              </w:rPr>
            </w:pPr>
          </w:p>
          <w:p>
            <w:pPr>
              <w:keepNext w:val="0"/>
              <w:keepLines w:val="0"/>
              <w:suppressLineNumbers w:val="0"/>
              <w:tabs>
                <w:tab w:val="left" w:pos="602"/>
              </w:tabs>
              <w:spacing w:before="0" w:beforeAutospacing="0" w:after="0" w:afterAutospacing="0"/>
              <w:ind w:left="0" w:right="0"/>
              <w:jc w:val="center"/>
              <w:rPr>
                <w:rFonts w:hint="default" w:ascii="Times New Roman" w:hAnsi="Times New Roman" w:eastAsia="黑体"/>
                <w:b/>
                <w:sz w:val="21"/>
                <w:szCs w:val="21"/>
              </w:rPr>
            </w:pPr>
            <w:r>
              <w:rPr>
                <w:rFonts w:hint="default" w:ascii="Times New Roman" w:hAnsi="Times New Roman" w:eastAsia="黑体"/>
                <w:b/>
                <w:sz w:val="21"/>
                <w:szCs w:val="21"/>
              </w:rPr>
              <w:t>表3.2-1 环境</w:t>
            </w:r>
            <w:r>
              <w:rPr>
                <w:rFonts w:hint="eastAsia" w:ascii="Times New Roman" w:hAnsi="Times New Roman" w:eastAsia="黑体"/>
                <w:b/>
                <w:sz w:val="21"/>
                <w:szCs w:val="21"/>
              </w:rPr>
              <w:t>空气</w:t>
            </w:r>
            <w:r>
              <w:rPr>
                <w:rFonts w:hint="default" w:ascii="Times New Roman" w:hAnsi="Times New Roman" w:eastAsia="黑体"/>
                <w:b/>
                <w:sz w:val="21"/>
                <w:szCs w:val="21"/>
              </w:rPr>
              <w:t>保护目标一览表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136"/>
              <w:gridCol w:w="926"/>
              <w:gridCol w:w="1960"/>
              <w:gridCol w:w="1195"/>
              <w:gridCol w:w="1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名称</w:t>
                  </w:r>
                </w:p>
              </w:tc>
              <w:tc>
                <w:tcPr>
                  <w:tcW w:w="709" w:type="pct"/>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保护对象</w:t>
                  </w:r>
                </w:p>
              </w:tc>
              <w:tc>
                <w:tcPr>
                  <w:tcW w:w="578" w:type="pct"/>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保护内容</w:t>
                  </w:r>
                </w:p>
              </w:tc>
              <w:tc>
                <w:tcPr>
                  <w:tcW w:w="1223" w:type="pct"/>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环境功能区</w:t>
                  </w:r>
                </w:p>
              </w:tc>
              <w:tc>
                <w:tcPr>
                  <w:tcW w:w="746" w:type="pct"/>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相对厂址方位</w:t>
                  </w:r>
                </w:p>
              </w:tc>
              <w:tc>
                <w:tcPr>
                  <w:tcW w:w="651" w:type="pct"/>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Align w:val="center"/>
                </w:tcPr>
                <w:p>
                  <w:pPr>
                    <w:pStyle w:val="43"/>
                    <w:keepNext w:val="0"/>
                    <w:keepLines w:val="0"/>
                    <w:suppressLineNumbers w:val="0"/>
                    <w:spacing w:before="0" w:beforeAutospacing="0" w:after="0" w:afterAutospacing="0" w:line="240" w:lineRule="exact"/>
                    <w:ind w:left="-72" w:leftChars="-30" w:right="-72" w:rightChars="-30"/>
                    <w:rPr>
                      <w:rFonts w:hint="default" w:ascii="Times New Roman" w:hAnsi="Times New Roman"/>
                      <w:sz w:val="18"/>
                      <w:szCs w:val="18"/>
                    </w:rPr>
                  </w:pPr>
                  <w:r>
                    <w:rPr>
                      <w:rFonts w:hint="default" w:ascii="Times New Roman" w:hAnsi="Times New Roman"/>
                      <w:sz w:val="18"/>
                      <w:szCs w:val="18"/>
                    </w:rPr>
                    <w:t>下地村</w:t>
                  </w:r>
                </w:p>
              </w:tc>
              <w:tc>
                <w:tcPr>
                  <w:tcW w:w="70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居住区</w:t>
                  </w:r>
                </w:p>
              </w:tc>
              <w:tc>
                <w:tcPr>
                  <w:tcW w:w="57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人群</w:t>
                  </w:r>
                </w:p>
              </w:tc>
              <w:tc>
                <w:tcPr>
                  <w:tcW w:w="1223" w:type="pct"/>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环境空气二类区</w:t>
                  </w:r>
                </w:p>
              </w:tc>
              <w:tc>
                <w:tcPr>
                  <w:tcW w:w="746"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E</w:t>
                  </w:r>
                </w:p>
              </w:tc>
              <w:tc>
                <w:tcPr>
                  <w:tcW w:w="651"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r>
                    <w:rPr>
                      <w:rFonts w:hint="default" w:ascii="Times New Roman" w:hAnsi="Times New Roman"/>
                      <w:sz w:val="18"/>
                      <w:szCs w:val="18"/>
                    </w:rPr>
                    <w:t>350</w:t>
                  </w:r>
                </w:p>
              </w:tc>
            </w:tr>
          </w:tbl>
          <w:p>
            <w:pPr>
              <w:keepNext w:val="0"/>
              <w:keepLines w:val="0"/>
              <w:suppressLineNumbers w:val="0"/>
              <w:tabs>
                <w:tab w:val="left" w:pos="602"/>
              </w:tabs>
              <w:spacing w:before="0" w:beforeAutospacing="0" w:after="0" w:afterAutospacing="0"/>
              <w:ind w:left="0" w:right="0"/>
              <w:jc w:val="center"/>
              <w:rPr>
                <w:rFonts w:hint="default" w:ascii="Times New Roman" w:hAnsi="Times New Roman"/>
                <w:b/>
                <w:sz w:val="21"/>
                <w:szCs w:val="21"/>
              </w:rPr>
            </w:pPr>
            <w:r>
              <w:rPr>
                <w:rFonts w:hint="default" w:ascii="Times New Roman" w:hAnsi="Times New Roman" w:eastAsia="黑体"/>
                <w:b/>
                <w:sz w:val="21"/>
                <w:szCs w:val="21"/>
              </w:rPr>
              <w:t>表3.2-</w:t>
            </w:r>
            <w:r>
              <w:rPr>
                <w:rFonts w:hint="eastAsia" w:ascii="Times New Roman" w:hAnsi="Times New Roman" w:eastAsia="黑体"/>
                <w:b/>
                <w:sz w:val="21"/>
                <w:szCs w:val="21"/>
              </w:rPr>
              <w:t>2</w:t>
            </w:r>
            <w:r>
              <w:rPr>
                <w:rFonts w:hint="default" w:ascii="Times New Roman" w:hAnsi="Times New Roman" w:eastAsia="黑体"/>
                <w:b/>
                <w:sz w:val="21"/>
                <w:szCs w:val="21"/>
              </w:rPr>
              <w:t xml:space="preserve"> 水环境保护目标</w:t>
            </w:r>
          </w:p>
          <w:tbl>
            <w:tblPr>
              <w:tblStyle w:val="25"/>
              <w:tblW w:w="80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486"/>
              <w:gridCol w:w="1096"/>
              <w:gridCol w:w="2429"/>
              <w:gridCol w:w="1003"/>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3"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环境要素</w:t>
                  </w:r>
                </w:p>
              </w:tc>
              <w:tc>
                <w:tcPr>
                  <w:tcW w:w="1486"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环保目标名称</w:t>
                  </w:r>
                </w:p>
              </w:tc>
              <w:tc>
                <w:tcPr>
                  <w:tcW w:w="1096"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环境功能区划</w:t>
                  </w:r>
                </w:p>
              </w:tc>
              <w:tc>
                <w:tcPr>
                  <w:tcW w:w="2429"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环境质量标准或环保要求</w:t>
                  </w:r>
                </w:p>
              </w:tc>
              <w:tc>
                <w:tcPr>
                  <w:tcW w:w="1003"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相对厂址方位</w:t>
                  </w:r>
                </w:p>
              </w:tc>
              <w:tc>
                <w:tcPr>
                  <w:tcW w:w="943"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地表水环境</w:t>
                  </w:r>
                </w:p>
              </w:tc>
              <w:tc>
                <w:tcPr>
                  <w:tcW w:w="1486"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eastAsia" w:ascii="Times New Roman" w:hAnsi="Times New Roman"/>
                      <w:sz w:val="18"/>
                      <w:szCs w:val="18"/>
                    </w:rPr>
                    <w:t>均溪支流</w:t>
                  </w:r>
                </w:p>
              </w:tc>
              <w:tc>
                <w:tcPr>
                  <w:tcW w:w="1096"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Ⅲ类</w:t>
                  </w:r>
                </w:p>
              </w:tc>
              <w:tc>
                <w:tcPr>
                  <w:tcW w:w="2429"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eastAsia" w:ascii="Times New Roman" w:hAnsi="Times New Roman"/>
                      <w:sz w:val="18"/>
                      <w:szCs w:val="18"/>
                      <w:lang w:val="en-US" w:eastAsia="zh-CN"/>
                    </w:rPr>
                  </w:pPr>
                  <w:r>
                    <w:rPr>
                      <w:rFonts w:hint="default" w:ascii="Times New Roman" w:hAnsi="Times New Roman"/>
                      <w:sz w:val="18"/>
                      <w:szCs w:val="18"/>
                    </w:rPr>
                    <w:t>执行GB3838-2002中</w:t>
                  </w:r>
                  <w:r>
                    <w:rPr>
                      <w:rFonts w:hint="eastAsia" w:ascii="Times New Roman" w:hAnsi="Times New Roman"/>
                      <w:sz w:val="18"/>
                      <w:szCs w:val="18"/>
                      <w:lang w:val="en-US" w:eastAsia="zh-CN"/>
                    </w:rPr>
                    <w:t>的</w:t>
                  </w:r>
                </w:p>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sz w:val="18"/>
                      <w:szCs w:val="18"/>
                    </w:rPr>
                  </w:pPr>
                  <w:r>
                    <w:rPr>
                      <w:rFonts w:hint="default" w:ascii="Times New Roman" w:hAnsi="Times New Roman"/>
                      <w:sz w:val="18"/>
                      <w:szCs w:val="18"/>
                    </w:rPr>
                    <w:t>Ⅲ类标准</w:t>
                  </w:r>
                </w:p>
              </w:tc>
              <w:tc>
                <w:tcPr>
                  <w:tcW w:w="1003"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w:t>
                  </w:r>
                </w:p>
              </w:tc>
              <w:tc>
                <w:tcPr>
                  <w:tcW w:w="943" w:type="dxa"/>
                  <w:tcBorders>
                    <w:tl2br w:val="nil"/>
                    <w:tr2bl w:val="nil"/>
                  </w:tcBorders>
                  <w:vAlign w:val="center"/>
                </w:tcPr>
                <w:p>
                  <w:pPr>
                    <w:keepNext w:val="0"/>
                    <w:keepLines w:val="0"/>
                    <w:suppressLineNumbers w:val="0"/>
                    <w:spacing w:before="0" w:beforeAutospacing="0" w:after="0" w:afterAutospacing="0" w:line="240" w:lineRule="atLeast"/>
                    <w:ind w:left="-72" w:leftChars="-30" w:right="-72" w:rightChars="-30"/>
                    <w:jc w:val="center"/>
                    <w:rPr>
                      <w:rFonts w:hint="default"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180m</w:t>
                  </w:r>
                </w:p>
              </w:tc>
            </w:tr>
          </w:tbl>
          <w:p>
            <w:pPr>
              <w:pStyle w:val="3"/>
              <w:keepNext w:val="0"/>
              <w:keepLines w:val="0"/>
              <w:suppressLineNumbers w:val="0"/>
              <w:spacing w:beforeAutospacing="0" w:afterAutospacing="0"/>
              <w:ind w:left="0" w:firstLine="0" w:firstLineChars="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0"/>
                <w:szCs w:val="21"/>
              </w:rPr>
            </w:pPr>
            <w:r>
              <w:rPr>
                <w:rFonts w:hint="eastAsia" w:ascii="Times New Roman" w:hAnsi="Times New Roman"/>
                <w:kern w:val="0"/>
                <w:szCs w:val="21"/>
              </w:rPr>
              <w:t>总量控制指标</w:t>
            </w:r>
          </w:p>
        </w:tc>
        <w:tc>
          <w:tcPr>
            <w:tcW w:w="8226" w:type="dxa"/>
            <w:vAlign w:val="center"/>
          </w:tcPr>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5"/>
              </w:rPr>
            </w:pPr>
            <w:r>
              <w:rPr>
                <w:rFonts w:hint="eastAsia" w:ascii="Times New Roman" w:hAnsi="Times New Roman"/>
                <w:kern w:val="0"/>
                <w:szCs w:val="25"/>
              </w:rPr>
              <w:t>（1）水污染物排放总量控制指标</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5"/>
              </w:rPr>
            </w:pPr>
            <w:r>
              <w:rPr>
                <w:rFonts w:hint="eastAsia" w:ascii="Times New Roman" w:hAnsi="Times New Roman"/>
                <w:kern w:val="0"/>
                <w:szCs w:val="25"/>
              </w:rPr>
              <w:t>项目生产废水处理后完全回用，不外排；生活污水经地埋式污水处理设施处理后用于周边山林地灌溉。根据《福建省环保厅关于进一步明确排污权工作有关问题的通知》（闽环保财[2017]22号），生活污水</w:t>
            </w:r>
            <w:r>
              <w:rPr>
                <w:rFonts w:hint="eastAsia"/>
              </w:rPr>
              <w:t>排放不纳入建设项目主要污染物排放总量指标管理范围，无需进行排污权交易</w:t>
            </w:r>
            <w:r>
              <w:rPr>
                <w:rFonts w:hint="eastAsia" w:ascii="Times New Roman" w:hAnsi="Times New Roman"/>
                <w:kern w:val="0"/>
                <w:szCs w:val="25"/>
              </w:rPr>
              <w:t>。因此项目不涉及废水总量控制指标。</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kern w:val="0"/>
                <w:szCs w:val="25"/>
              </w:rPr>
            </w:pPr>
            <w:r>
              <w:rPr>
                <w:rFonts w:hint="eastAsia" w:ascii="Times New Roman" w:hAnsi="Times New Roman"/>
                <w:kern w:val="0"/>
                <w:szCs w:val="25"/>
              </w:rPr>
              <w:t>（2）大气污染物污染物排放总量控制指标</w:t>
            </w:r>
          </w:p>
          <w:p>
            <w:pPr>
              <w:keepNext w:val="0"/>
              <w:keepLines w:val="0"/>
              <w:suppressLineNumbers w:val="0"/>
              <w:spacing w:before="0" w:beforeAutospacing="0" w:after="0" w:afterAutospacing="0" w:line="440" w:lineRule="exact"/>
              <w:ind w:left="0" w:right="0" w:firstLine="480" w:firstLineChars="200"/>
              <w:rPr>
                <w:rFonts w:hint="default"/>
              </w:rPr>
            </w:pPr>
            <w:r>
              <w:rPr>
                <w:rFonts w:hint="eastAsia" w:ascii="Times New Roman" w:hAnsi="Times New Roman"/>
                <w:kern w:val="0"/>
                <w:szCs w:val="25"/>
              </w:rPr>
              <w:t>本项目大气污染物为颗粒物，不涉</w:t>
            </w:r>
            <w:r>
              <w:rPr>
                <w:rFonts w:hint="default" w:ascii="Times New Roman" w:hAnsi="Times New Roman"/>
                <w:kern w:val="0"/>
                <w:szCs w:val="25"/>
              </w:rPr>
              <w:t>及SO</w:t>
            </w:r>
            <w:r>
              <w:rPr>
                <w:rFonts w:hint="default" w:ascii="Times New Roman" w:hAnsi="Times New Roman"/>
                <w:kern w:val="0"/>
                <w:szCs w:val="25"/>
                <w:vertAlign w:val="subscript"/>
              </w:rPr>
              <w:t>2</w:t>
            </w:r>
            <w:r>
              <w:rPr>
                <w:rFonts w:hint="default" w:ascii="Times New Roman" w:hAnsi="Times New Roman"/>
                <w:kern w:val="0"/>
                <w:szCs w:val="25"/>
              </w:rPr>
              <w:t>和NOx</w:t>
            </w:r>
            <w:r>
              <w:rPr>
                <w:rFonts w:hint="eastAsia" w:ascii="Times New Roman" w:hAnsi="Times New Roman"/>
                <w:kern w:val="0"/>
                <w:szCs w:val="25"/>
              </w:rPr>
              <w:t>等总量控制因子。</w:t>
            </w:r>
          </w:p>
          <w:p>
            <w:pPr>
              <w:pStyle w:val="34"/>
              <w:keepNext w:val="0"/>
              <w:keepLines w:val="0"/>
              <w:suppressLineNumbers w:val="0"/>
              <w:spacing w:before="0" w:beforeAutospacing="0" w:after="0" w:afterAutospacing="0"/>
              <w:ind w:left="0" w:right="0" w:firstLine="0" w:firstLineChars="0"/>
              <w:jc w:val="center"/>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p>
            <w:pPr>
              <w:pStyle w:val="34"/>
              <w:keepNext w:val="0"/>
              <w:keepLines w:val="0"/>
              <w:suppressLineNumbers w:val="0"/>
              <w:spacing w:before="0" w:beforeAutospacing="0" w:after="0" w:afterAutospacing="0"/>
              <w:ind w:left="0" w:right="0" w:firstLine="0" w:firstLineChars="0"/>
              <w:jc w:val="both"/>
              <w:rPr>
                <w:rFonts w:hint="default"/>
              </w:rPr>
            </w:pPr>
          </w:p>
        </w:tc>
      </w:tr>
    </w:tbl>
    <w:p>
      <w:pPr>
        <w:pStyle w:val="23"/>
      </w:pPr>
      <w:r>
        <w:rPr>
          <w:sz w:val="36"/>
          <w:szCs w:val="36"/>
          <w:highlight w:val="red"/>
        </w:rPr>
        <w:br w:type="page"/>
      </w:r>
      <w:r>
        <w:rPr>
          <w:color w:val="auto"/>
        </w:rPr>
        <w:t>四、主要环境影响和保护措施</w:t>
      </w:r>
    </w:p>
    <w:tbl>
      <w:tblPr>
        <w:tblStyle w:val="2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9"/>
        <w:gridCol w:w="86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60" w:type="pct"/>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施工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境保</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护措</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施</w:t>
            </w:r>
          </w:p>
        </w:tc>
        <w:tc>
          <w:tcPr>
            <w:tcW w:w="4839" w:type="pct"/>
            <w:vAlign w:val="center"/>
          </w:tcPr>
          <w:p>
            <w:pPr>
              <w:pStyle w:val="7"/>
              <w:suppressLineNumbers w:val="0"/>
              <w:spacing w:before="200" w:beforeAutospacing="0" w:after="200" w:afterAutospacing="0" w:line="440" w:lineRule="exact"/>
              <w:ind w:left="0" w:right="0"/>
              <w:rPr>
                <w:rFonts w:hint="default" w:ascii="Times New Roman" w:hAnsi="Times New Roman"/>
                <w:sz w:val="28"/>
                <w:szCs w:val="28"/>
              </w:rPr>
            </w:pPr>
            <w:r>
              <w:rPr>
                <w:rFonts w:hint="default" w:ascii="Times New Roman" w:hAnsi="Times New Roman"/>
                <w:sz w:val="28"/>
                <w:szCs w:val="28"/>
              </w:rPr>
              <w:t>4.1施工期环境保护措施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rPr>
            </w:pPr>
            <w:r>
              <w:rPr>
                <w:rFonts w:hint="eastAsia" w:ascii="Times New Roman" w:hAnsi="Times New Roman"/>
              </w:rPr>
              <w:t>项目迁建后与大田县前坪乡下地村民委员会签订了租赁合同，租用下地村相关用地（含厂房），将迁建前的设备搬迁至本地块临时存放。施工期活动主要为设备安装、池体开挖等活动，施工期环境保护措施如下：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rPr>
            </w:pPr>
            <w:r>
              <w:rPr>
                <w:rFonts w:hint="eastAsia" w:ascii="Times New Roman" w:hAnsi="Times New Roman"/>
              </w:rPr>
              <w:t>（1）大气环境保护措施：本项目施工期对环境空气的影响主要为池体开挖、材料运输产生的扬尘污染，项目四周皆为山坡地，周围200m无敏感目标，通过采取围挡、洒水降尘等防治措施及管理措施，施对周围环境的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rPr>
            </w:pPr>
            <w:r>
              <w:rPr>
                <w:rFonts w:hint="eastAsia" w:ascii="Times New Roman" w:hAnsi="Times New Roman"/>
              </w:rPr>
              <w:t>（2）水环境保护措施：施工期产生的废水主要为车辆冲洗水、设施养护废水、施工抑尘产生的废水等。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rPr>
            </w:pPr>
            <w:r>
              <w:rPr>
                <w:rFonts w:hint="eastAsia" w:ascii="Times New Roman" w:hAnsi="Times New Roman"/>
              </w:rPr>
              <w:t>施工期施车辆冲洗废水、养护废水产生量较少，经简易沉淀处理后可全部回用，不外排；抑尘洒水由土壤吸收和蒸发；施工人员均不住施工现场，无生活污水产生。综上，项目施工期无生产废水外排，对周围水环境影响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rPr>
            </w:pPr>
            <w:r>
              <w:rPr>
                <w:rFonts w:hint="eastAsia" w:ascii="Times New Roman" w:hAnsi="Times New Roman"/>
              </w:rPr>
              <w:t>（3）噪声环境保护措施：项目周边最近敏感目标为项目东侧300m处下地村居民区，施工期采用了低噪声设备施工，且避开午间及夜间施工，对周边环境影响很小；</w:t>
            </w:r>
          </w:p>
          <w:p>
            <w:pPr>
              <w:keepNext w:val="0"/>
              <w:keepLines w:val="0"/>
              <w:suppressLineNumbers w:val="0"/>
              <w:spacing w:before="0" w:beforeAutospacing="0" w:after="0" w:afterAutospacing="0" w:line="360" w:lineRule="auto"/>
              <w:ind w:left="0" w:right="0" w:firstLine="480" w:firstLineChars="200"/>
              <w:rPr>
                <w:rFonts w:hint="default"/>
              </w:rPr>
            </w:pPr>
            <w:r>
              <w:rPr>
                <w:rFonts w:hint="eastAsia" w:ascii="Times New Roman" w:hAnsi="Times New Roman"/>
              </w:rPr>
              <w:t>（4）固体废物环境保护措施：施工期的固体废物主要为建筑垃圾，项目建筑垃圾产生量少，经采取措施妥善处理后不排放，不会对区域环境产生不良影响。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eastAsia" w:ascii="Times New Roman" w:hAnsi="Times New Roman"/>
                <w:bCs/>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境保</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Cs w:val="21"/>
              </w:rPr>
            </w:pPr>
            <w:r>
              <w:rPr>
                <w:rFonts w:hint="default" w:ascii="Times New Roman" w:hAnsi="Times New Roman"/>
                <w:bCs/>
                <w:szCs w:val="21"/>
              </w:rPr>
              <w:t>护措</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sz w:val="21"/>
                <w:szCs w:val="21"/>
              </w:rPr>
            </w:pPr>
            <w:r>
              <w:rPr>
                <w:rFonts w:hint="default" w:ascii="Times New Roman" w:hAnsi="Times New Roman"/>
                <w:bCs/>
                <w:szCs w:val="21"/>
              </w:rPr>
              <w:t>施</w:t>
            </w:r>
          </w:p>
        </w:tc>
        <w:tc>
          <w:tcPr>
            <w:tcW w:w="4839" w:type="pct"/>
            <w:vAlign w:val="center"/>
          </w:tcPr>
          <w:p>
            <w:pPr>
              <w:pStyle w:val="7"/>
              <w:suppressLineNumbers w:val="0"/>
              <w:spacing w:before="200" w:beforeAutospacing="0" w:after="200" w:afterAutospacing="0" w:line="440" w:lineRule="exact"/>
              <w:ind w:left="0" w:right="0"/>
              <w:rPr>
                <w:rFonts w:hint="default" w:ascii="Times New Roman" w:hAnsi="Times New Roman"/>
                <w:sz w:val="28"/>
                <w:szCs w:val="28"/>
              </w:rPr>
            </w:pPr>
            <w:bookmarkStart w:id="10" w:name="_Toc83203087"/>
            <w:r>
              <w:rPr>
                <w:rFonts w:hint="default" w:ascii="Times New Roman" w:hAnsi="Times New Roman"/>
                <w:sz w:val="28"/>
                <w:szCs w:val="28"/>
              </w:rPr>
              <w:t>4.2运营期环境影响和保护措施</w:t>
            </w:r>
            <w:bookmarkEnd w:id="10"/>
          </w:p>
          <w:p>
            <w:pPr>
              <w:pStyle w:val="8"/>
              <w:numPr>
                <w:ilvl w:val="0"/>
                <w:numId w:val="0"/>
              </w:numPr>
              <w:suppressLineNumbers w:val="0"/>
              <w:spacing w:before="0" w:beforeAutospacing="0" w:after="0" w:afterAutospacing="0" w:line="400" w:lineRule="exact"/>
              <w:ind w:left="0" w:right="0"/>
              <w:rPr>
                <w:rFonts w:hint="default"/>
              </w:rPr>
            </w:pPr>
            <w:r>
              <w:rPr>
                <w:rFonts w:hint="default" w:ascii="Times New Roman" w:hAnsi="Times New Roman"/>
              </w:rPr>
              <w:t>4.2.1</w:t>
            </w:r>
            <w:r>
              <w:rPr>
                <w:rFonts w:hint="eastAsia" w:ascii="Times New Roman" w:hAnsi="Times New Roman"/>
              </w:rPr>
              <w:t>核算方法</w:t>
            </w:r>
          </w:p>
          <w:p>
            <w:pPr>
              <w:keepNext w:val="0"/>
              <w:keepLines w:val="0"/>
              <w:suppressLineNumbers w:val="0"/>
              <w:snapToGrid w:val="0"/>
              <w:spacing w:before="0" w:beforeAutospacing="0" w:after="0" w:afterAutospacing="0" w:line="440" w:lineRule="exact"/>
              <w:ind w:left="0" w:right="0" w:firstLine="480" w:firstLineChars="200"/>
              <w:rPr>
                <w:rFonts w:hint="default" w:ascii="Times New Roman" w:hAnsi="Times New Roman" w:eastAsiaTheme="minorEastAsia"/>
                <w:bCs/>
              </w:rPr>
            </w:pPr>
            <w:r>
              <w:rPr>
                <w:rFonts w:hint="default" w:ascii="Times New Roman" w:hAnsi="Times New Roman" w:eastAsiaTheme="minorEastAsia"/>
                <w:bCs/>
                <w:color w:val="auto"/>
              </w:rPr>
              <w:t>本项目</w:t>
            </w:r>
            <w:r>
              <w:rPr>
                <w:rFonts w:hint="eastAsia" w:ascii="Times New Roman" w:hAnsi="Times New Roman" w:eastAsiaTheme="minorEastAsia"/>
                <w:bCs/>
                <w:color w:val="auto"/>
              </w:rPr>
              <w:t>主要从事</w:t>
            </w:r>
            <w:r>
              <w:rPr>
                <w:rFonts w:hint="eastAsia" w:ascii="Times New Roman" w:hAnsi="Times New Roman" w:eastAsiaTheme="minorEastAsia"/>
                <w:bCs/>
                <w:color w:val="auto"/>
                <w:lang w:val="en-US" w:eastAsia="zh-CN"/>
              </w:rPr>
              <w:t>矿渣石料的加工</w:t>
            </w:r>
            <w:r>
              <w:rPr>
                <w:rFonts w:hint="default" w:ascii="Times New Roman" w:hAnsi="Times New Roman" w:eastAsiaTheme="minorEastAsia"/>
                <w:bCs/>
                <w:color w:val="auto"/>
              </w:rPr>
              <w:t>，目前</w:t>
            </w:r>
            <w:r>
              <w:rPr>
                <w:rFonts w:hint="default" w:ascii="Times New Roman" w:hAnsi="Times New Roman" w:eastAsiaTheme="minorEastAsia"/>
                <w:bCs/>
              </w:rPr>
              <w:t>尚未发布相关污染源强核算技术指南，根据《污染源源强核算技术指南 准则》，本项目污染源强核算方法汇总如下表。</w:t>
            </w:r>
          </w:p>
          <w:p>
            <w:pPr>
              <w:pStyle w:val="2"/>
              <w:keepNext w:val="0"/>
              <w:keepLines w:val="0"/>
              <w:suppressLineNumbers w:val="0"/>
              <w:spacing w:before="0" w:beforeAutospacing="0" w:after="0" w:afterAutospacing="0"/>
              <w:ind w:right="0"/>
              <w:rPr>
                <w:rFonts w:hint="default" w:ascii="Times New Roman" w:hAnsi="Times New Roman" w:eastAsiaTheme="minorEastAsia"/>
              </w:rPr>
            </w:pPr>
          </w:p>
          <w:p>
            <w:pPr>
              <w:pStyle w:val="3"/>
              <w:keepNext w:val="0"/>
              <w:keepLines w:val="0"/>
              <w:suppressLineNumbers w:val="0"/>
              <w:spacing w:beforeAutospacing="0" w:afterAutospacing="0"/>
              <w:ind w:left="0" w:firstLine="240"/>
              <w:rPr>
                <w:rFonts w:hint="default" w:ascii="Times New Roman" w:hAnsi="Times New Roman" w:eastAsiaTheme="minorEastAsia"/>
                <w:bCs/>
              </w:rPr>
            </w:pPr>
          </w:p>
          <w:p>
            <w:pPr>
              <w:keepNext w:val="0"/>
              <w:keepLines w:val="0"/>
              <w:suppressLineNumbers w:val="0"/>
              <w:spacing w:before="0" w:beforeAutospacing="0" w:after="0" w:afterAutospacing="0"/>
              <w:ind w:left="0" w:right="0"/>
              <w:rPr>
                <w:rFonts w:hint="default" w:ascii="Times New Roman" w:hAnsi="Times New Roman" w:eastAsiaTheme="minorEastAsia"/>
                <w:bCs/>
              </w:rPr>
            </w:pPr>
          </w:p>
          <w:p>
            <w:pPr>
              <w:pStyle w:val="33"/>
              <w:keepNext w:val="0"/>
              <w:keepLines w:val="0"/>
              <w:suppressLineNumbers w:val="0"/>
              <w:spacing w:before="120" w:beforeAutospacing="0" w:after="0" w:afterAutospacing="0" w:line="440" w:lineRule="exact"/>
              <w:ind w:left="0" w:right="0" w:firstLine="422"/>
              <w:rPr>
                <w:rFonts w:hint="default" w:ascii="Times New Roman" w:hAnsi="Times New Roman"/>
                <w:b/>
                <w:bCs/>
                <w:sz w:val="21"/>
                <w:szCs w:val="21"/>
              </w:rPr>
            </w:pPr>
            <w:r>
              <w:rPr>
                <w:rFonts w:hint="default" w:ascii="Times New Roman" w:hAnsi="Times New Roman"/>
                <w:b/>
                <w:bCs/>
                <w:sz w:val="21"/>
                <w:szCs w:val="21"/>
              </w:rPr>
              <w:t>表4.2-1  本项目污染源强核算方法汇总</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951"/>
              <w:gridCol w:w="1863"/>
              <w:gridCol w:w="3144"/>
              <w:gridCol w:w="1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序号</w:t>
                  </w:r>
                </w:p>
              </w:tc>
              <w:tc>
                <w:tcPr>
                  <w:tcW w:w="561"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要素</w:t>
                  </w:r>
                </w:p>
              </w:tc>
              <w:tc>
                <w:tcPr>
                  <w:tcW w:w="1099"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污染源</w:t>
                  </w:r>
                </w:p>
              </w:tc>
              <w:tc>
                <w:tcPr>
                  <w:tcW w:w="1855"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核算物或核算因子</w:t>
                  </w:r>
                </w:p>
              </w:tc>
              <w:tc>
                <w:tcPr>
                  <w:tcW w:w="1038"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6" w:type="pct"/>
                  <w:vMerge w:val="restar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1</w:t>
                  </w:r>
                </w:p>
              </w:tc>
              <w:tc>
                <w:tcPr>
                  <w:tcW w:w="561" w:type="pct"/>
                  <w:vMerge w:val="restar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废气</w:t>
                  </w:r>
                </w:p>
              </w:tc>
              <w:tc>
                <w:tcPr>
                  <w:tcW w:w="1099"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堆放、装卸粉尘</w:t>
                  </w:r>
                </w:p>
              </w:tc>
              <w:tc>
                <w:tcPr>
                  <w:tcW w:w="1855"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颗粒物</w:t>
                  </w:r>
                </w:p>
              </w:tc>
              <w:tc>
                <w:tcPr>
                  <w:tcW w:w="1038"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产污系数法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vAlign w:val="center"/>
                </w:tcPr>
                <w:p>
                  <w:pPr>
                    <w:pStyle w:val="68"/>
                    <w:keepNext w:val="0"/>
                    <w:keepLines w:val="0"/>
                    <w:suppressLineNumbers w:val="0"/>
                    <w:spacing w:before="0" w:beforeAutospacing="0" w:after="0" w:afterAutospacing="0"/>
                    <w:ind w:left="0" w:right="0"/>
                    <w:jc w:val="center"/>
                    <w:rPr>
                      <w:rFonts w:hint="default"/>
                      <w:sz w:val="21"/>
                      <w:szCs w:val="21"/>
                    </w:rPr>
                  </w:pPr>
                </w:p>
              </w:tc>
              <w:tc>
                <w:tcPr>
                  <w:tcW w:w="561" w:type="pct"/>
                  <w:vMerge w:val="continue"/>
                  <w:vAlign w:val="center"/>
                </w:tcPr>
                <w:p>
                  <w:pPr>
                    <w:pStyle w:val="68"/>
                    <w:keepNext w:val="0"/>
                    <w:keepLines w:val="0"/>
                    <w:suppressLineNumbers w:val="0"/>
                    <w:spacing w:before="0" w:beforeAutospacing="0" w:after="0" w:afterAutospacing="0"/>
                    <w:ind w:left="0" w:right="0"/>
                    <w:jc w:val="center"/>
                    <w:rPr>
                      <w:rFonts w:hint="default"/>
                      <w:sz w:val="21"/>
                      <w:szCs w:val="21"/>
                    </w:rPr>
                  </w:pPr>
                </w:p>
              </w:tc>
              <w:tc>
                <w:tcPr>
                  <w:tcW w:w="1099"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eastAsia"/>
                      <w:sz w:val="21"/>
                      <w:szCs w:val="21"/>
                    </w:rPr>
                    <w:t>破碎、筛分粉尘</w:t>
                  </w:r>
                </w:p>
              </w:tc>
              <w:tc>
                <w:tcPr>
                  <w:tcW w:w="1855"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eastAsia"/>
                      <w:sz w:val="21"/>
                      <w:szCs w:val="21"/>
                    </w:rPr>
                    <w:t>颗粒物</w:t>
                  </w:r>
                </w:p>
              </w:tc>
              <w:tc>
                <w:tcPr>
                  <w:tcW w:w="1038"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产污系数法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vAlign w:val="center"/>
                </w:tcPr>
                <w:p>
                  <w:pPr>
                    <w:pStyle w:val="68"/>
                    <w:keepNext w:val="0"/>
                    <w:keepLines w:val="0"/>
                    <w:suppressLineNumbers w:val="0"/>
                    <w:spacing w:before="0" w:beforeAutospacing="0" w:after="0" w:afterAutospacing="0"/>
                    <w:ind w:left="0" w:right="0"/>
                    <w:jc w:val="center"/>
                    <w:rPr>
                      <w:rFonts w:hint="default"/>
                      <w:sz w:val="21"/>
                      <w:szCs w:val="21"/>
                    </w:rPr>
                  </w:pPr>
                </w:p>
              </w:tc>
              <w:tc>
                <w:tcPr>
                  <w:tcW w:w="561" w:type="pct"/>
                  <w:vMerge w:val="continue"/>
                  <w:vAlign w:val="center"/>
                </w:tcPr>
                <w:p>
                  <w:pPr>
                    <w:pStyle w:val="68"/>
                    <w:keepNext w:val="0"/>
                    <w:keepLines w:val="0"/>
                    <w:suppressLineNumbers w:val="0"/>
                    <w:spacing w:before="0" w:beforeAutospacing="0" w:after="0" w:afterAutospacing="0"/>
                    <w:ind w:left="0" w:right="0"/>
                    <w:jc w:val="center"/>
                    <w:rPr>
                      <w:rFonts w:hint="default"/>
                      <w:sz w:val="21"/>
                      <w:szCs w:val="21"/>
                    </w:rPr>
                  </w:pPr>
                </w:p>
              </w:tc>
              <w:tc>
                <w:tcPr>
                  <w:tcW w:w="1099"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eastAsia"/>
                      <w:sz w:val="21"/>
                      <w:szCs w:val="21"/>
                    </w:rPr>
                    <w:t>车辆运输行驶扬尘</w:t>
                  </w:r>
                </w:p>
              </w:tc>
              <w:tc>
                <w:tcPr>
                  <w:tcW w:w="1855"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eastAsia"/>
                      <w:sz w:val="21"/>
                      <w:szCs w:val="21"/>
                    </w:rPr>
                    <w:t>颗粒物</w:t>
                  </w:r>
                </w:p>
              </w:tc>
              <w:tc>
                <w:tcPr>
                  <w:tcW w:w="1038"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产污系数法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2</w:t>
                  </w:r>
                </w:p>
              </w:tc>
              <w:tc>
                <w:tcPr>
                  <w:tcW w:w="561"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废水</w:t>
                  </w:r>
                </w:p>
              </w:tc>
              <w:tc>
                <w:tcPr>
                  <w:tcW w:w="1099"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生产废水</w:t>
                  </w:r>
                </w:p>
              </w:tc>
              <w:tc>
                <w:tcPr>
                  <w:tcW w:w="1855"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废水量</w:t>
                  </w:r>
                </w:p>
              </w:tc>
              <w:tc>
                <w:tcPr>
                  <w:tcW w:w="1038"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物料衡算法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3</w:t>
                  </w:r>
                </w:p>
              </w:tc>
              <w:tc>
                <w:tcPr>
                  <w:tcW w:w="561"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噪声</w:t>
                  </w:r>
                </w:p>
              </w:tc>
              <w:tc>
                <w:tcPr>
                  <w:tcW w:w="1099"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主要高噪声设备</w:t>
                  </w:r>
                </w:p>
              </w:tc>
              <w:tc>
                <w:tcPr>
                  <w:tcW w:w="1855"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设备噪声声压级</w:t>
                  </w:r>
                </w:p>
              </w:tc>
              <w:tc>
                <w:tcPr>
                  <w:tcW w:w="1038"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eastAsia"/>
                      <w:sz w:val="21"/>
                      <w:szCs w:val="21"/>
                    </w:rPr>
                    <w:t>类比法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4</w:t>
                  </w:r>
                </w:p>
              </w:tc>
              <w:tc>
                <w:tcPr>
                  <w:tcW w:w="561"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固废</w:t>
                  </w:r>
                </w:p>
              </w:tc>
              <w:tc>
                <w:tcPr>
                  <w:tcW w:w="1099"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一般工业固废</w:t>
                  </w:r>
                </w:p>
              </w:tc>
              <w:tc>
                <w:tcPr>
                  <w:tcW w:w="1855"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eastAsia"/>
                      <w:sz w:val="21"/>
                      <w:szCs w:val="21"/>
                    </w:rPr>
                    <w:t>废滤布、污泥等</w:t>
                  </w:r>
                </w:p>
              </w:tc>
              <w:tc>
                <w:tcPr>
                  <w:tcW w:w="1038" w:type="pct"/>
                  <w:vAlign w:val="center"/>
                </w:tcPr>
                <w:p>
                  <w:pPr>
                    <w:pStyle w:val="68"/>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物料衡算法</w:t>
                  </w:r>
                </w:p>
              </w:tc>
            </w:tr>
          </w:tbl>
          <w:p>
            <w:pPr>
              <w:pStyle w:val="8"/>
              <w:numPr>
                <w:ilvl w:val="0"/>
                <w:numId w:val="0"/>
              </w:numPr>
              <w:suppressLineNumbers w:val="0"/>
              <w:spacing w:before="0" w:beforeAutospacing="0" w:after="0" w:afterAutospacing="0" w:line="400" w:lineRule="exact"/>
              <w:ind w:left="0" w:right="0"/>
              <w:rPr>
                <w:rFonts w:hint="default" w:ascii="Times New Roman" w:hAnsi="Times New Roman"/>
              </w:rPr>
            </w:pPr>
            <w:r>
              <w:rPr>
                <w:rFonts w:hint="default" w:ascii="Times New Roman" w:hAnsi="Times New Roman"/>
              </w:rPr>
              <w:t>4.2.</w:t>
            </w:r>
            <w:r>
              <w:rPr>
                <w:rFonts w:hint="eastAsia" w:ascii="Times New Roman" w:hAnsi="Times New Roman"/>
              </w:rPr>
              <w:t>2</w:t>
            </w:r>
            <w:r>
              <w:rPr>
                <w:rFonts w:hint="default" w:ascii="Times New Roman" w:hAnsi="Times New Roman"/>
              </w:rPr>
              <w:t>废气</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color w:val="auto"/>
              </w:rPr>
            </w:pPr>
            <w:r>
              <w:rPr>
                <w:rFonts w:hint="default" w:ascii="Times New Roman" w:hAnsi="Times New Roman" w:eastAsia="黑体"/>
                <w:b/>
                <w:bCs/>
              </w:rPr>
              <w:t>4.2.</w:t>
            </w:r>
            <w:r>
              <w:rPr>
                <w:rFonts w:hint="eastAsia" w:ascii="Times New Roman" w:hAnsi="Times New Roman" w:eastAsia="黑体"/>
                <w:b/>
                <w:bCs/>
              </w:rPr>
              <w:t>2</w:t>
            </w:r>
            <w:r>
              <w:rPr>
                <w:rFonts w:hint="default" w:ascii="Times New Roman" w:hAnsi="Times New Roman" w:eastAsia="黑体"/>
                <w:b/>
                <w:bCs/>
              </w:rPr>
              <w:t>.1污染源强核算</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color w:val="auto"/>
              </w:rPr>
            </w:pPr>
            <w:r>
              <w:rPr>
                <w:rFonts w:hint="default" w:ascii="Times New Roman" w:hAnsi="Times New Roman"/>
                <w:color w:val="auto"/>
              </w:rPr>
              <w:t>本项目生产废气主要为</w:t>
            </w:r>
            <w:r>
              <w:rPr>
                <w:rFonts w:hint="eastAsia" w:ascii="Times New Roman" w:hAnsi="Times New Roman"/>
                <w:color w:val="auto"/>
              </w:rPr>
              <w:t>车辆运输行驶扬尘（G1）、堆场扬尘（G2、G9）及破碎、筛分过程中</w:t>
            </w:r>
            <w:r>
              <w:rPr>
                <w:rFonts w:hint="default" w:ascii="Times New Roman" w:hAnsi="Times New Roman"/>
                <w:color w:val="auto"/>
              </w:rPr>
              <w:t>产生的粉尘</w:t>
            </w:r>
            <w:r>
              <w:rPr>
                <w:rFonts w:hint="eastAsia" w:ascii="Times New Roman" w:hAnsi="Times New Roman"/>
                <w:color w:val="auto"/>
              </w:rPr>
              <w:t>（G3-G8）。</w:t>
            </w:r>
          </w:p>
          <w:p>
            <w:pPr>
              <w:pStyle w:val="11"/>
              <w:keepNext w:val="0"/>
              <w:keepLines w:val="0"/>
              <w:suppressLineNumbers w:val="0"/>
              <w:spacing w:before="0" w:beforeAutospacing="0" w:after="0" w:afterAutospacing="0" w:line="440" w:lineRule="exact"/>
              <w:ind w:left="0" w:right="0" w:firstLine="48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车辆运输行驶扬尘</w:t>
            </w:r>
            <w:r>
              <w:rPr>
                <w:rFonts w:hint="eastAsia" w:ascii="Times New Roman" w:hAnsi="Times New Roman"/>
                <w:color w:val="auto"/>
              </w:rPr>
              <w:t>（G1）</w:t>
            </w:r>
          </w:p>
          <w:p>
            <w:pPr>
              <w:pStyle w:val="1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color w:val="auto"/>
              </w:rPr>
              <w:t>项目的主要运输工具有铲车等，在</w:t>
            </w:r>
            <w:r>
              <w:rPr>
                <w:rFonts w:hint="default" w:ascii="Times New Roman" w:hAnsi="Times New Roman"/>
              </w:rPr>
              <w:t>运输过程中不可避免地要产生扬尘，特别是当气候条件不利时，扬尘现象就更严重。项目运输起尘采用下述公式进行计算：</w:t>
            </w:r>
          </w:p>
          <w:p>
            <w:pPr>
              <w:pStyle w:val="11"/>
              <w:keepNext w:val="0"/>
              <w:keepLines w:val="0"/>
              <w:suppressLineNumbers w:val="0"/>
              <w:spacing w:before="0" w:beforeAutospacing="0" w:after="0" w:afterAutospacing="0"/>
              <w:ind w:left="0" w:right="0" w:firstLine="480"/>
              <w:rPr>
                <w:rFonts w:hint="default" w:ascii="Times New Roman" w:hAnsi="Times New Roman"/>
              </w:rPr>
            </w:pPr>
            <w:r>
              <w:rPr>
                <w:rFonts w:hint="default" w:ascii="Times New Roman" w:hAnsi="Times New Roman"/>
              </w:rPr>
              <w:drawing>
                <wp:inline distT="0" distB="0" distL="0" distR="0">
                  <wp:extent cx="2087880" cy="414020"/>
                  <wp:effectExtent l="0" t="0" r="7620" b="4445"/>
                  <wp:docPr id="8439762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76277"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b="51111"/>
                          <a:stretch>
                            <a:fillRect/>
                          </a:stretch>
                        </pic:blipFill>
                        <pic:spPr>
                          <a:xfrm>
                            <a:off x="0" y="0"/>
                            <a:ext cx="2087880" cy="414020"/>
                          </a:xfrm>
                          <a:prstGeom prst="rect">
                            <a:avLst/>
                          </a:prstGeom>
                          <a:noFill/>
                          <a:ln>
                            <a:noFill/>
                          </a:ln>
                        </pic:spPr>
                      </pic:pic>
                    </a:graphicData>
                  </a:graphic>
                </wp:inline>
              </w:drawing>
            </w:r>
          </w:p>
          <w:p>
            <w:pPr>
              <w:pStyle w:val="11"/>
              <w:keepNext w:val="0"/>
              <w:keepLines w:val="0"/>
              <w:suppressLineNumbers w:val="0"/>
              <w:spacing w:before="0" w:beforeAutospacing="0" w:after="0" w:afterAutospacing="0"/>
              <w:ind w:left="0" w:right="0" w:firstLine="480"/>
              <w:rPr>
                <w:rFonts w:hint="default" w:ascii="Times New Roman" w:hAnsi="Times New Roman"/>
              </w:rPr>
            </w:pPr>
            <w:r>
              <w:rPr>
                <w:rFonts w:hint="default" w:ascii="Times New Roman" w:hAnsi="Times New Roman"/>
              </w:rPr>
              <w:drawing>
                <wp:inline distT="0" distB="0" distL="0" distR="0">
                  <wp:extent cx="1975485" cy="379730"/>
                  <wp:effectExtent l="0" t="0" r="0" b="1270"/>
                  <wp:docPr id="5481820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82037"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t="53055"/>
                          <a:stretch>
                            <a:fillRect/>
                          </a:stretch>
                        </pic:blipFill>
                        <pic:spPr>
                          <a:xfrm>
                            <a:off x="0" y="0"/>
                            <a:ext cx="1975485" cy="379730"/>
                          </a:xfrm>
                          <a:prstGeom prst="rect">
                            <a:avLst/>
                          </a:prstGeom>
                          <a:noFill/>
                          <a:ln>
                            <a:noFill/>
                          </a:ln>
                        </pic:spPr>
                      </pic:pic>
                    </a:graphicData>
                  </a:graphic>
                </wp:inline>
              </w:drawing>
            </w:r>
          </w:p>
          <w:p>
            <w:pPr>
              <w:pStyle w:val="1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式中：Q</w:t>
            </w:r>
            <w:r>
              <w:rPr>
                <w:rFonts w:hint="default" w:ascii="Times New Roman" w:hAnsi="Times New Roman"/>
                <w:vertAlign w:val="subscript"/>
              </w:rPr>
              <w:t>y</w:t>
            </w:r>
            <w:r>
              <w:rPr>
                <w:rFonts w:hint="eastAsia" w:ascii="Times New Roman" w:hAnsi="Times New Roman"/>
                <w:vertAlign w:val="subscript"/>
              </w:rPr>
              <w:t xml:space="preserve"> </w:t>
            </w:r>
            <w:r>
              <w:rPr>
                <w:rFonts w:hint="default" w:ascii="Times New Roman" w:hAnsi="Times New Roman"/>
              </w:rPr>
              <w:t>——交通运输起尘量，kg/km·辆；</w:t>
            </w:r>
          </w:p>
          <w:p>
            <w:pPr>
              <w:pStyle w:val="11"/>
              <w:keepNext w:val="0"/>
              <w:keepLines w:val="0"/>
              <w:suppressLineNumbers w:val="0"/>
              <w:spacing w:before="0" w:beforeAutospacing="0" w:after="0" w:afterAutospacing="0" w:line="440" w:lineRule="exact"/>
              <w:ind w:left="0" w:right="0" w:firstLine="1200" w:firstLineChars="500"/>
              <w:rPr>
                <w:rFonts w:hint="default" w:ascii="Times New Roman" w:hAnsi="Times New Roman"/>
              </w:rPr>
            </w:pPr>
            <w:r>
              <w:rPr>
                <w:rFonts w:hint="default" w:ascii="Times New Roman" w:hAnsi="Times New Roman"/>
              </w:rPr>
              <w:t>Q</w:t>
            </w:r>
            <w:r>
              <w:rPr>
                <w:rFonts w:hint="default" w:ascii="Times New Roman" w:hAnsi="Times New Roman"/>
                <w:vertAlign w:val="subscript"/>
              </w:rPr>
              <w:t>t</w:t>
            </w:r>
            <w:r>
              <w:rPr>
                <w:rFonts w:hint="default" w:ascii="Times New Roman" w:hAnsi="Times New Roman"/>
              </w:rPr>
              <w:t xml:space="preserve"> ——运输途中起尘量，</w:t>
            </w:r>
            <w:r>
              <w:rPr>
                <w:rFonts w:hint="eastAsia" w:ascii="Times New Roman" w:hAnsi="Times New Roman"/>
              </w:rPr>
              <w:t>kg</w:t>
            </w:r>
            <w:r>
              <w:rPr>
                <w:rFonts w:hint="default" w:ascii="Times New Roman" w:hAnsi="Times New Roman"/>
              </w:rPr>
              <w:t>/a；</w:t>
            </w:r>
          </w:p>
          <w:p>
            <w:pPr>
              <w:pStyle w:val="11"/>
              <w:keepNext w:val="0"/>
              <w:keepLines w:val="0"/>
              <w:suppressLineNumbers w:val="0"/>
              <w:spacing w:before="0" w:beforeAutospacing="0" w:after="0" w:afterAutospacing="0" w:line="440" w:lineRule="exact"/>
              <w:ind w:left="0" w:right="0" w:firstLine="1200" w:firstLineChars="500"/>
              <w:rPr>
                <w:rFonts w:hint="default" w:ascii="Times New Roman" w:hAnsi="Times New Roman"/>
              </w:rPr>
            </w:pPr>
            <w:r>
              <w:rPr>
                <w:rFonts w:hint="default" w:ascii="Times New Roman" w:hAnsi="Times New Roman"/>
              </w:rPr>
              <w:t>V ——车辆行驶速度，km/h；取 15km/h；</w:t>
            </w:r>
          </w:p>
          <w:p>
            <w:pPr>
              <w:pStyle w:val="11"/>
              <w:keepNext w:val="0"/>
              <w:keepLines w:val="0"/>
              <w:suppressLineNumbers w:val="0"/>
              <w:spacing w:before="0" w:beforeAutospacing="0" w:after="0" w:afterAutospacing="0" w:line="440" w:lineRule="exact"/>
              <w:ind w:left="0" w:right="0" w:firstLine="1200" w:firstLineChars="500"/>
              <w:rPr>
                <w:rFonts w:hint="default" w:ascii="Times New Roman" w:hAnsi="Times New Roman"/>
              </w:rPr>
            </w:pPr>
            <w:r>
              <w:rPr>
                <w:rFonts w:hint="default" w:ascii="Times New Roman" w:hAnsi="Times New Roman"/>
              </w:rPr>
              <w:t>P ——路面状况，以每平方米路面灰尘覆盖率表示，kg/m</w:t>
            </w:r>
            <w:r>
              <w:rPr>
                <w:rFonts w:hint="default" w:ascii="Times New Roman" w:hAnsi="Times New Roman"/>
                <w:vertAlign w:val="superscript"/>
              </w:rPr>
              <w:t>2</w:t>
            </w:r>
            <w:r>
              <w:rPr>
                <w:rFonts w:hint="default" w:ascii="Times New Roman" w:hAnsi="Times New Roman"/>
              </w:rPr>
              <w:t>；取 0.01 kg/m</w:t>
            </w:r>
            <w:r>
              <w:rPr>
                <w:rFonts w:hint="default" w:ascii="Times New Roman" w:hAnsi="Times New Roman"/>
                <w:vertAlign w:val="superscript"/>
              </w:rPr>
              <w:t>2</w:t>
            </w:r>
          </w:p>
          <w:p>
            <w:pPr>
              <w:pStyle w:val="11"/>
              <w:keepNext w:val="0"/>
              <w:keepLines w:val="0"/>
              <w:suppressLineNumbers w:val="0"/>
              <w:spacing w:before="0" w:beforeAutospacing="0" w:after="0" w:afterAutospacing="0" w:line="440" w:lineRule="exact"/>
              <w:ind w:left="0" w:right="0" w:firstLine="1200" w:firstLineChars="500"/>
              <w:rPr>
                <w:rFonts w:hint="default" w:ascii="Times New Roman" w:hAnsi="Times New Roman"/>
              </w:rPr>
            </w:pPr>
            <w:r>
              <w:rPr>
                <w:rFonts w:hint="default" w:ascii="Times New Roman" w:hAnsi="Times New Roman"/>
              </w:rPr>
              <w:t>M ——车辆载重，t/辆；取30t/辆；</w:t>
            </w:r>
          </w:p>
          <w:p>
            <w:pPr>
              <w:pStyle w:val="11"/>
              <w:keepNext w:val="0"/>
              <w:keepLines w:val="0"/>
              <w:suppressLineNumbers w:val="0"/>
              <w:spacing w:before="0" w:beforeAutospacing="0" w:after="0" w:afterAutospacing="0" w:line="440" w:lineRule="exact"/>
              <w:ind w:left="0" w:right="0" w:firstLine="1200" w:firstLineChars="500"/>
              <w:rPr>
                <w:rFonts w:hint="default" w:ascii="Times New Roman" w:hAnsi="Times New Roman"/>
              </w:rPr>
            </w:pPr>
            <w:r>
              <w:rPr>
                <w:rFonts w:hint="default" w:ascii="Times New Roman" w:hAnsi="Times New Roman"/>
              </w:rPr>
              <w:t>L ——运输距离，km；单车在厂内的运输距离取；0.2km</w:t>
            </w:r>
          </w:p>
          <w:p>
            <w:pPr>
              <w:pStyle w:val="11"/>
              <w:keepNext w:val="0"/>
              <w:keepLines w:val="0"/>
              <w:suppressLineNumbers w:val="0"/>
              <w:spacing w:before="0" w:beforeAutospacing="0" w:after="0" w:afterAutospacing="0" w:line="440" w:lineRule="exact"/>
              <w:ind w:left="0" w:right="0" w:firstLine="1200" w:firstLineChars="500"/>
              <w:rPr>
                <w:rFonts w:hint="default" w:ascii="Times New Roman" w:hAnsi="Times New Roman"/>
              </w:rPr>
            </w:pPr>
            <w:r>
              <w:rPr>
                <w:rFonts w:hint="default" w:ascii="Times New Roman" w:hAnsi="Times New Roman"/>
              </w:rPr>
              <w:t>Q ——运输量，t/a。20万t/a产品，20</w:t>
            </w:r>
            <w:r>
              <w:rPr>
                <w:rFonts w:hint="eastAsia" w:ascii="Times New Roman" w:hAnsi="Times New Roman"/>
              </w:rPr>
              <w:t>.</w:t>
            </w:r>
            <w:r>
              <w:rPr>
                <w:rFonts w:hint="eastAsia" w:ascii="Times New Roman" w:hAnsi="Times New Roman"/>
                <w:lang w:val="en-US" w:eastAsia="zh-CN"/>
              </w:rPr>
              <w:t>18</w:t>
            </w:r>
            <w:r>
              <w:rPr>
                <w:rFonts w:hint="default" w:ascii="Times New Roman" w:hAnsi="Times New Roman"/>
              </w:rPr>
              <w:t>万t/a原料。</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运输起尘量计算可知，200m道路运输起尘量约为0.</w:t>
            </w:r>
            <w:r>
              <w:rPr>
                <w:rFonts w:hint="eastAsia" w:ascii="Times New Roman" w:hAnsi="Times New Roman"/>
              </w:rPr>
              <w:t>2</w:t>
            </w:r>
            <w:r>
              <w:rPr>
                <w:rFonts w:hint="default" w:ascii="Times New Roman" w:hAnsi="Times New Roman"/>
              </w:rPr>
              <w:t>t/a，经洒水抑尘作用后，可减少70%以上的粉尘，则车辆运输行驶扬尘产生量约0.0</w:t>
            </w:r>
            <w:r>
              <w:rPr>
                <w:rFonts w:hint="eastAsia" w:ascii="Times New Roman" w:hAnsi="Times New Roman"/>
              </w:rPr>
              <w:t>6</w:t>
            </w:r>
            <w:r>
              <w:rPr>
                <w:rFonts w:hint="default" w:ascii="Times New Roman" w:hAnsi="Times New Roman"/>
              </w:rPr>
              <w:t>t/a</w:t>
            </w:r>
            <w:r>
              <w:rPr>
                <w:rFonts w:hint="eastAsia" w:ascii="Times New Roman" w:hAnsi="Times New Roman"/>
              </w:rPr>
              <w:t>（0.02kg/h）</w:t>
            </w:r>
            <w:r>
              <w:rPr>
                <w:rFonts w:hint="default" w:ascii="Times New Roman" w:hAnsi="Times New Roma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color w:val="FF0000"/>
              </w:rPr>
            </w:pPr>
            <w:r>
              <w:rPr>
                <w:rFonts w:hint="default" w:ascii="Times New Roman" w:hAnsi="Times New Roman"/>
              </w:rPr>
              <w:t>（</w:t>
            </w:r>
            <w:r>
              <w:rPr>
                <w:rFonts w:hint="eastAsia" w:ascii="Times New Roman" w:hAnsi="Times New Roman"/>
              </w:rPr>
              <w:t>2</w:t>
            </w:r>
            <w:r>
              <w:rPr>
                <w:rFonts w:hint="default" w:ascii="Times New Roman" w:hAnsi="Times New Roman"/>
              </w:rPr>
              <w:t>）</w:t>
            </w:r>
            <w:r>
              <w:rPr>
                <w:rFonts w:hint="eastAsia" w:ascii="Times New Roman" w:hAnsi="Times New Roman"/>
              </w:rPr>
              <w:t>堆场扬</w:t>
            </w:r>
            <w:r>
              <w:rPr>
                <w:rFonts w:hint="eastAsia" w:ascii="Times New Roman" w:hAnsi="Times New Roman"/>
                <w:color w:val="auto"/>
              </w:rPr>
              <w:t>尘（G2、G9）</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场扬尘主要包括原料、产品装卸过程中产生的扬尘和堆放过程中产生的扬尘。扬尘排放量</w:t>
            </w:r>
            <w:r>
              <w:rPr>
                <w:rFonts w:hint="default" w:ascii="Times New Roman" w:hAnsi="Times New Roman"/>
              </w:rPr>
              <w:t>采用</w:t>
            </w:r>
            <w:r>
              <w:rPr>
                <w:rFonts w:hint="eastAsia" w:ascii="Times New Roman" w:hAnsi="Times New Roman"/>
              </w:rPr>
              <w:t>《扬尘颗粒物排放清单编制技术指南（试行）》（公告2014年第92号）（以下简称“扬尘指南”）计算</w:t>
            </w:r>
            <w:r>
              <w:rPr>
                <w:rFonts w:hint="default" w:ascii="Times New Roman" w:hAnsi="Times New Roman"/>
              </w:rPr>
              <w:t>：</w:t>
            </w:r>
          </w:p>
          <w:tbl>
            <w:tblPr>
              <w:tblStyle w:val="26"/>
              <w:tblW w:w="8644" w:type="dxa"/>
              <w:tblInd w:w="9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545"/>
              <w:gridCol w:w="4099"/>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45" w:hRule="atLeast"/>
              </w:trPr>
              <w:tc>
                <w:tcPr>
                  <w:tcW w:w="454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rPr>
                  </w:pPr>
                  <w:r>
                    <w:rPr>
                      <w:rFonts w:hint="default"/>
                    </w:rPr>
                    <w:drawing>
                      <wp:inline distT="0" distB="0" distL="114300" distR="114300">
                        <wp:extent cx="2428875" cy="428625"/>
                        <wp:effectExtent l="0" t="0" r="0" b="825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5"/>
                                <a:stretch>
                                  <a:fillRect/>
                                </a:stretch>
                              </pic:blipFill>
                              <pic:spPr>
                                <a:xfrm>
                                  <a:off x="0" y="0"/>
                                  <a:ext cx="2428875" cy="428625"/>
                                </a:xfrm>
                                <a:prstGeom prst="rect">
                                  <a:avLst/>
                                </a:prstGeom>
                                <a:noFill/>
                                <a:ln>
                                  <a:noFill/>
                                </a:ln>
                              </pic:spPr>
                            </pic:pic>
                          </a:graphicData>
                        </a:graphic>
                      </wp:inline>
                    </w:drawing>
                  </w:r>
                </w:p>
              </w:tc>
              <w:tc>
                <w:tcPr>
                  <w:tcW w:w="409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rPr>
                  </w:pPr>
                  <w:r>
                    <w:rPr>
                      <w:rFonts w:hint="eastAsia" w:ascii="Times New Roman" w:hAnsi="Times New Roman"/>
                    </w:rPr>
                    <w:t>（1）</w:t>
                  </w:r>
                </w:p>
              </w:tc>
            </w:tr>
          </w:tbl>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公式（1）中：</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1）W</w:t>
            </w:r>
            <w:r>
              <w:rPr>
                <w:rFonts w:hint="eastAsia" w:ascii="Times New Roman" w:hAnsi="Times New Roman"/>
                <w:vertAlign w:val="subscript"/>
              </w:rPr>
              <w:t xml:space="preserve">Y </w:t>
            </w:r>
            <w:r>
              <w:rPr>
                <w:rFonts w:hint="eastAsia" w:ascii="Times New Roman" w:hAnsi="Times New Roman"/>
              </w:rPr>
              <w:t>为堆场扬尘源中颗粒物总排放量，t/a。</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2）E</w:t>
            </w:r>
            <w:r>
              <w:rPr>
                <w:rFonts w:hint="eastAsia" w:ascii="Times New Roman" w:hAnsi="Times New Roman"/>
                <w:vertAlign w:val="subscript"/>
              </w:rPr>
              <w:t>h</w:t>
            </w:r>
            <w:r>
              <w:rPr>
                <w:rFonts w:hint="eastAsia" w:ascii="Times New Roman" w:hAnsi="Times New Roman"/>
              </w:rPr>
              <w:t>为堆场装卸运输过程的扬尘颗粒物排放系数，kg/t，估算公式见（2）。</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3）m为每年料堆物料装卸总次数。</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4）G</w:t>
            </w:r>
            <w:r>
              <w:rPr>
                <w:rFonts w:hint="eastAsia" w:ascii="Times New Roman" w:hAnsi="Times New Roman"/>
                <w:vertAlign w:val="subscript"/>
              </w:rPr>
              <w:t>Yi</w:t>
            </w:r>
            <w:r>
              <w:rPr>
                <w:rFonts w:hint="eastAsia" w:ascii="Times New Roman" w:hAnsi="Times New Roman"/>
              </w:rPr>
              <w:t>为第i次装卸过程的物料装卸量，t。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5）E</w:t>
            </w:r>
            <w:r>
              <w:rPr>
                <w:rFonts w:hint="eastAsia" w:ascii="Times New Roman" w:hAnsi="Times New Roman"/>
                <w:vertAlign w:val="subscript"/>
              </w:rPr>
              <w:t>w</w:t>
            </w:r>
            <w:r>
              <w:rPr>
                <w:rFonts w:hint="eastAsia" w:ascii="Times New Roman" w:hAnsi="Times New Roman"/>
              </w:rPr>
              <w:t>为料堆受到风蚀作用的颗粒物排放系数，kg/m</w:t>
            </w:r>
            <w:r>
              <w:rPr>
                <w:rFonts w:hint="eastAsia" w:ascii="Times New Roman" w:hAnsi="Times New Roman"/>
                <w:vertAlign w:val="superscript"/>
              </w:rPr>
              <w:t>2</w:t>
            </w:r>
            <w:r>
              <w:rPr>
                <w:rFonts w:hint="eastAsia" w:ascii="Times New Roman" w:hAnsi="Times New Roman"/>
              </w:rPr>
              <w:t>，估算公式见公式（3）。</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vertAlign w:val="superscript"/>
              </w:rPr>
            </w:pPr>
            <w:r>
              <w:rPr>
                <w:rFonts w:hint="eastAsia" w:ascii="Times New Roman" w:hAnsi="Times New Roman"/>
              </w:rPr>
              <w:t>6）Ay为料堆表面积，m</w:t>
            </w:r>
            <w:r>
              <w:rPr>
                <w:rFonts w:hint="eastAsia" w:ascii="Times New Roman" w:hAnsi="Times New Roman"/>
                <w:vertAlign w:val="superscript"/>
              </w:rPr>
              <w:t>2</w:t>
            </w:r>
          </w:p>
          <w:tbl>
            <w:tblPr>
              <w:tblStyle w:val="26"/>
              <w:tblW w:w="8729"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421"/>
              <w:gridCol w:w="330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45" w:hRule="atLeast"/>
              </w:trPr>
              <w:tc>
                <w:tcPr>
                  <w:tcW w:w="542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rPr>
                  </w:pPr>
                  <w:r>
                    <w:rPr>
                      <w:rFonts w:hint="default"/>
                    </w:rPr>
                    <w:drawing>
                      <wp:inline distT="0" distB="0" distL="114300" distR="114300">
                        <wp:extent cx="2990850" cy="228600"/>
                        <wp:effectExtent l="0" t="0" r="0" b="0"/>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16"/>
                                <a:stretch>
                                  <a:fillRect/>
                                </a:stretch>
                              </pic:blipFill>
                              <pic:spPr>
                                <a:xfrm>
                                  <a:off x="0" y="0"/>
                                  <a:ext cx="2990850" cy="228600"/>
                                </a:xfrm>
                                <a:prstGeom prst="rect">
                                  <a:avLst/>
                                </a:prstGeom>
                                <a:noFill/>
                                <a:ln>
                                  <a:noFill/>
                                </a:ln>
                              </pic:spPr>
                            </pic:pic>
                          </a:graphicData>
                        </a:graphic>
                      </wp:inline>
                    </w:drawing>
                  </w:r>
                </w:p>
              </w:tc>
              <w:tc>
                <w:tcPr>
                  <w:tcW w:w="330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firstLine="960" w:firstLineChars="400"/>
                    <w:rPr>
                      <w:rFonts w:hint="default" w:ascii="Times New Roman" w:hAnsi="Times New Roman"/>
                    </w:rPr>
                  </w:pPr>
                  <w:r>
                    <w:rPr>
                      <w:rFonts w:hint="eastAsia" w:ascii="Times New Roman" w:hAnsi="Times New Roman"/>
                    </w:rPr>
                    <w:t>（2）</w:t>
                  </w:r>
                </w:p>
              </w:tc>
            </w:tr>
          </w:tbl>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公式（2）中：</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1）E</w:t>
            </w:r>
            <w:r>
              <w:rPr>
                <w:rFonts w:hint="eastAsia" w:ascii="Times New Roman" w:hAnsi="Times New Roman"/>
                <w:vertAlign w:val="subscript"/>
              </w:rPr>
              <w:t>h</w:t>
            </w:r>
            <w:r>
              <w:rPr>
                <w:rFonts w:hint="eastAsia" w:ascii="Times New Roman" w:hAnsi="Times New Roman"/>
              </w:rPr>
              <w:t>为堆场装卸扬尘的排放系数，kg/t。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2）K</w:t>
            </w:r>
            <w:r>
              <w:rPr>
                <w:rFonts w:hint="eastAsia" w:ascii="Times New Roman" w:hAnsi="Times New Roman"/>
                <w:vertAlign w:val="subscript"/>
              </w:rPr>
              <w:t>i</w:t>
            </w:r>
            <w:r>
              <w:rPr>
                <w:rFonts w:hint="eastAsia" w:ascii="Times New Roman" w:hAnsi="Times New Roman"/>
              </w:rPr>
              <w:t>为物料的粒度乘数，根据“扬尘指南”表10颗粒物粒度乘数，取0.74</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3）u为地面平均风速，取1.5m/s。</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color w:val="auto"/>
              </w:rPr>
            </w:pPr>
            <w:r>
              <w:rPr>
                <w:rFonts w:hint="eastAsia" w:ascii="Times New Roman" w:hAnsi="Times New Roman"/>
              </w:rPr>
              <w:t>4）M为物料含水率</w:t>
            </w:r>
            <w:r>
              <w:rPr>
                <w:rFonts w:hint="eastAsia" w:ascii="Times New Roman" w:hAnsi="Times New Roman"/>
                <w:color w:val="auto"/>
              </w:rPr>
              <w:t>，矿渣石料取10%，碎石取10%，细砂取10%。</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color w:val="auto"/>
              </w:rPr>
              <w:t>5）</w:t>
            </w:r>
            <w:r>
              <w:rPr>
                <w:rFonts w:hint="eastAsia" w:ascii="微软雅黑" w:hAnsi="微软雅黑" w:eastAsia="微软雅黑" w:cs="微软雅黑"/>
                <w:color w:val="auto"/>
              </w:rPr>
              <w:t>η</w:t>
            </w:r>
            <w:r>
              <w:rPr>
                <w:rFonts w:hint="default" w:ascii="Times New Roman" w:hAnsi="Times New Roman"/>
                <w:color w:val="auto"/>
              </w:rPr>
              <w:t>为污染控制技术对扬尘的去除效率，%。</w:t>
            </w:r>
            <w:r>
              <w:rPr>
                <w:rFonts w:hint="eastAsia" w:ascii="Times New Roman" w:hAnsi="Times New Roman"/>
                <w:color w:val="auto"/>
              </w:rPr>
              <w:t>本项目原料、产品卸料过</w:t>
            </w:r>
            <w:r>
              <w:rPr>
                <w:rFonts w:hint="eastAsia" w:ascii="Times New Roman" w:hAnsi="Times New Roman"/>
              </w:rPr>
              <w:t>程中采取喷水抑尘；产品装卸过程中尽量降低高差，减少粉尘排放；堆场周边围挡，根据“扬尘指南”表12，去除效率取90%。</w:t>
            </w:r>
          </w:p>
          <w:tbl>
            <w:tblPr>
              <w:tblStyle w:val="26"/>
              <w:tblW w:w="872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4"/>
              <w:gridCol w:w="2064"/>
              <w:gridCol w:w="2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5" w:hRule="atLeast"/>
              </w:trPr>
              <w:tc>
                <w:tcPr>
                  <w:tcW w:w="394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rPr>
                  </w:pPr>
                  <w:r>
                    <w:rPr>
                      <w:rFonts w:hint="default"/>
                    </w:rPr>
                    <w:drawing>
                      <wp:inline distT="0" distB="0" distL="114300" distR="114300">
                        <wp:extent cx="1885950" cy="428625"/>
                        <wp:effectExtent l="0" t="0" r="0" b="8255"/>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17"/>
                                <a:stretch>
                                  <a:fillRect/>
                                </a:stretch>
                              </pic:blipFill>
                              <pic:spPr>
                                <a:xfrm>
                                  <a:off x="0" y="0"/>
                                  <a:ext cx="1885950" cy="428625"/>
                                </a:xfrm>
                                <a:prstGeom prst="rect">
                                  <a:avLst/>
                                </a:prstGeom>
                                <a:noFill/>
                                <a:ln>
                                  <a:noFill/>
                                </a:ln>
                              </pic:spPr>
                            </pic:pic>
                          </a:graphicData>
                        </a:graphic>
                      </wp:inline>
                    </w:drawing>
                  </w:r>
                </w:p>
              </w:tc>
              <w:tc>
                <w:tcPr>
                  <w:tcW w:w="4785" w:type="dxa"/>
                  <w:gridSpan w:val="2"/>
                  <w:tcBorders>
                    <w:tl2br w:val="nil"/>
                    <w:tr2bl w:val="nil"/>
                  </w:tcBorders>
                  <w:vAlign w:val="center"/>
                </w:tcPr>
                <w:p>
                  <w:pPr>
                    <w:keepNext w:val="0"/>
                    <w:keepLines w:val="0"/>
                    <w:suppressLineNumbers w:val="0"/>
                    <w:adjustRightInd w:val="0"/>
                    <w:snapToGrid w:val="0"/>
                    <w:spacing w:before="0" w:beforeAutospacing="0" w:after="0" w:afterAutospacing="0"/>
                    <w:ind w:left="0" w:right="0" w:firstLine="2640" w:firstLineChars="1100"/>
                    <w:rPr>
                      <w:rFonts w:hint="default" w:ascii="Times New Roman" w:hAnsi="Times New Roman"/>
                    </w:rPr>
                  </w:pPr>
                  <w:r>
                    <w:rPr>
                      <w:rFonts w:hint="eastAsia" w:ascii="Times New Roman" w:hAnsi="Times New Roma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008" w:type="dxa"/>
                  <w:gridSpan w:val="2"/>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rPr>
                  </w:pPr>
                  <w:r>
                    <w:rPr>
                      <w:rFonts w:hint="default"/>
                    </w:rPr>
                    <w:drawing>
                      <wp:inline distT="0" distB="0" distL="114300" distR="114300">
                        <wp:extent cx="3219450" cy="504825"/>
                        <wp:effectExtent l="0" t="0" r="0" b="8890"/>
                        <wp:docPr id="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
                                <pic:cNvPicPr>
                                  <a:picLocks noChangeAspect="1"/>
                                </pic:cNvPicPr>
                              </pic:nvPicPr>
                              <pic:blipFill>
                                <a:blip r:embed="rId18"/>
                                <a:stretch>
                                  <a:fillRect/>
                                </a:stretch>
                              </pic:blipFill>
                              <pic:spPr>
                                <a:xfrm>
                                  <a:off x="0" y="0"/>
                                  <a:ext cx="3219450" cy="504825"/>
                                </a:xfrm>
                                <a:prstGeom prst="rect">
                                  <a:avLst/>
                                </a:prstGeom>
                                <a:noFill/>
                                <a:ln>
                                  <a:noFill/>
                                </a:ln>
                              </pic:spPr>
                            </pic:pic>
                          </a:graphicData>
                        </a:graphic>
                      </wp:inline>
                    </w:drawing>
                  </w:r>
                </w:p>
              </w:tc>
              <w:tc>
                <w:tcPr>
                  <w:tcW w:w="272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firstLine="720" w:firstLineChars="300"/>
                    <w:rPr>
                      <w:rFonts w:hint="default" w:ascii="Times New Roman" w:hAnsi="Times New Roman"/>
                    </w:rPr>
                  </w:pPr>
                  <w:r>
                    <w:rPr>
                      <w:rFonts w:hint="eastAsia" w:ascii="Times New Roman" w:hAnsi="Times New Roman"/>
                    </w:rPr>
                    <w:t>（4）</w:t>
                  </w:r>
                </w:p>
              </w:tc>
            </w:tr>
          </w:tbl>
          <w:p>
            <w:pPr>
              <w:keepNext w:val="0"/>
              <w:keepLines w:val="0"/>
              <w:suppressLineNumbers w:val="0"/>
              <w:adjustRightInd w:val="0"/>
              <w:snapToGrid w:val="0"/>
              <w:spacing w:before="0" w:beforeAutospacing="0" w:after="0" w:afterAutospacing="0"/>
              <w:ind w:left="0" w:right="0" w:firstLine="480" w:firstLineChars="200"/>
              <w:rPr>
                <w:rFonts w:hint="default"/>
              </w:rPr>
            </w:pPr>
            <w:r>
              <w:rPr>
                <w:rFonts w:hint="eastAsia"/>
              </w:rPr>
              <w:t>公式（3）及（4）中：</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1</w:t>
            </w:r>
            <w:r>
              <w:rPr>
                <w:rFonts w:hint="eastAsia" w:ascii="Times New Roman" w:hAnsi="Times New Roman"/>
              </w:rPr>
              <w:t>）</w:t>
            </w:r>
            <w:r>
              <w:rPr>
                <w:rFonts w:hint="default" w:ascii="Times New Roman" w:hAnsi="Times New Roman"/>
              </w:rPr>
              <w:t>Ew为堆场风蚀</w:t>
            </w:r>
            <w:r>
              <w:rPr>
                <w:rFonts w:hint="eastAsia" w:ascii="Times New Roman" w:hAnsi="Times New Roman"/>
              </w:rPr>
              <w:t>扬尘</w:t>
            </w:r>
            <w:r>
              <w:rPr>
                <w:rFonts w:hint="default" w:ascii="Times New Roman" w:hAnsi="Times New Roman"/>
              </w:rPr>
              <w:t>的排放系数，kg/m</w:t>
            </w:r>
            <w:r>
              <w:rPr>
                <w:rFonts w:hint="default" w:ascii="Times New Roman" w:hAnsi="Times New Roman"/>
                <w:vertAlign w:val="superscript"/>
              </w:rPr>
              <w:t>2</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2</w:t>
            </w:r>
            <w:r>
              <w:rPr>
                <w:rFonts w:hint="eastAsia" w:ascii="Times New Roman" w:hAnsi="Times New Roman"/>
              </w:rPr>
              <w:t>）</w:t>
            </w:r>
            <w:r>
              <w:rPr>
                <w:rFonts w:hint="default" w:ascii="Times New Roman" w:hAnsi="Times New Roman"/>
              </w:rPr>
              <w:t>K为物料的粒度乘数，</w:t>
            </w:r>
            <w:r>
              <w:rPr>
                <w:rFonts w:hint="eastAsia" w:ascii="Times New Roman" w:hAnsi="Times New Roman"/>
              </w:rPr>
              <w:t>根据“扬尘指南”</w:t>
            </w:r>
            <w:r>
              <w:rPr>
                <w:rFonts w:hint="default" w:ascii="Times New Roman" w:hAnsi="Times New Roman"/>
              </w:rPr>
              <w:t>表13</w:t>
            </w:r>
            <w:r>
              <w:rPr>
                <w:rFonts w:hint="eastAsia" w:ascii="Times New Roman" w:hAnsi="Times New Roman"/>
              </w:rPr>
              <w:t>，取1.0</w:t>
            </w:r>
            <w:r>
              <w:rPr>
                <w:rFonts w:hint="default" w:ascii="Times New Roman" w:hAnsi="Times New Roma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3</w:t>
            </w:r>
            <w:r>
              <w:rPr>
                <w:rFonts w:hint="eastAsia" w:ascii="Times New Roman" w:hAnsi="Times New Roman"/>
              </w:rPr>
              <w:t>）</w:t>
            </w:r>
            <w:r>
              <w:rPr>
                <w:rFonts w:hint="default" w:ascii="Times New Roman" w:hAnsi="Times New Roman"/>
              </w:rPr>
              <w:t>n为料堆每年受扰动的次数。</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4</w:t>
            </w:r>
            <w:r>
              <w:rPr>
                <w:rFonts w:hint="eastAsia" w:ascii="Times New Roman" w:hAnsi="Times New Roman"/>
              </w:rPr>
              <w:t>）</w:t>
            </w:r>
            <w:r>
              <w:rPr>
                <w:rFonts w:hint="default" w:ascii="Times New Roman" w:hAnsi="Times New Roman"/>
              </w:rPr>
              <w:t>Pi为第i次扰动中观测的最大风速的风潜势，g/m</w:t>
            </w:r>
            <w:r>
              <w:rPr>
                <w:rFonts w:hint="default" w:ascii="Times New Roman" w:hAnsi="Times New Roman"/>
                <w:vertAlign w:val="superscript"/>
              </w:rPr>
              <w:t>2</w:t>
            </w:r>
            <w:r>
              <w:rPr>
                <w:rFonts w:hint="default" w:ascii="Times New Roman" w:hAnsi="Times New Roma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5</w:t>
            </w:r>
            <w:r>
              <w:rPr>
                <w:rFonts w:hint="eastAsia" w:ascii="Times New Roman" w:hAnsi="Times New Roman"/>
              </w:rPr>
              <w:t>）</w:t>
            </w:r>
            <w:r>
              <w:rPr>
                <w:rFonts w:hint="eastAsia" w:ascii="微软雅黑" w:hAnsi="微软雅黑" w:eastAsia="微软雅黑" w:cs="微软雅黑"/>
              </w:rPr>
              <w:t>η</w:t>
            </w:r>
            <w:r>
              <w:rPr>
                <w:rFonts w:hint="default" w:ascii="Times New Roman" w:hAnsi="Times New Roman"/>
              </w:rPr>
              <w:t>为污染控制技术对扬尘的去除效率，%。</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6</w:t>
            </w:r>
            <w:r>
              <w:rPr>
                <w:rFonts w:hint="eastAsia" w:ascii="Times New Roman" w:hAnsi="Times New Roman"/>
              </w:rPr>
              <w:t>）</w:t>
            </w:r>
            <w:r>
              <w:rPr>
                <w:rFonts w:hint="default" w:ascii="Times New Roman" w:hAnsi="Times New Roman"/>
              </w:rPr>
              <w:t>u*为摩擦风速，m/s。计算方法见公式(</w:t>
            </w:r>
            <w:r>
              <w:rPr>
                <w:rFonts w:hint="eastAsia" w:ascii="Times New Roman" w:hAnsi="Times New Roman"/>
              </w:rPr>
              <w:t>5</w:t>
            </w:r>
            <w:r>
              <w:rPr>
                <w:rFonts w:hint="default" w:ascii="Times New Roman" w:hAnsi="Times New Roma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7</w:t>
            </w:r>
            <w:r>
              <w:rPr>
                <w:rFonts w:hint="eastAsia" w:ascii="Times New Roman" w:hAnsi="Times New Roman"/>
              </w:rPr>
              <w:t>）</w:t>
            </w:r>
            <w:r>
              <w:rPr>
                <w:rFonts w:hint="default" w:ascii="Times New Roman" w:hAnsi="Times New Roman"/>
              </w:rPr>
              <w:t>u</w:t>
            </w:r>
            <w:r>
              <w:rPr>
                <w:rFonts w:hint="eastAsia" w:ascii="Times New Roman" w:hAnsi="Times New Roman"/>
                <w:vertAlign w:val="subscript"/>
              </w:rPr>
              <w:t>t</w:t>
            </w:r>
            <w:r>
              <w:rPr>
                <w:rFonts w:hint="default" w:ascii="Times New Roman" w:hAnsi="Times New Roman"/>
              </w:rPr>
              <w:t>*为</w:t>
            </w:r>
            <w:r>
              <w:rPr>
                <w:rFonts w:hint="eastAsia" w:ascii="Times New Roman" w:hAnsi="Times New Roman"/>
              </w:rPr>
              <w:t>阈值</w:t>
            </w:r>
            <w:r>
              <w:rPr>
                <w:rFonts w:hint="default" w:ascii="Times New Roman" w:hAnsi="Times New Roman"/>
              </w:rPr>
              <w:t>摩擦风速，即起尘的临界摩擦风速，m/s，</w:t>
            </w:r>
            <w:r>
              <w:rPr>
                <w:rFonts w:hint="eastAsia" w:ascii="Times New Roman" w:hAnsi="Times New Roman"/>
              </w:rPr>
              <w:t>根据“扬尘指南”表15，本项目取1.33m/s。</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U*=0.4u（z）/ln（z/z</w:t>
            </w:r>
            <w:r>
              <w:rPr>
                <w:rFonts w:hint="eastAsia" w:ascii="Times New Roman" w:hAnsi="Times New Roman"/>
                <w:vertAlign w:val="subscript"/>
              </w:rPr>
              <w:t>0</w:t>
            </w:r>
            <w:r>
              <w:rPr>
                <w:rFonts w:hint="eastAsia" w:ascii="Times New Roman" w:hAnsi="Times New Roman"/>
              </w:rPr>
              <w:t>）（z＞z</w:t>
            </w:r>
            <w:r>
              <w:rPr>
                <w:rFonts w:hint="eastAsia" w:ascii="Times New Roman" w:hAnsi="Times New Roman"/>
                <w:vertAlign w:val="subscript"/>
              </w:rPr>
              <w:t>0</w:t>
            </w:r>
            <w:r>
              <w:rPr>
                <w:rFonts w:hint="eastAsia" w:ascii="Times New Roman" w:hAnsi="Times New Roman"/>
              </w:rPr>
              <w:t>）                        （5）</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公式（5）中：</w:t>
            </w:r>
          </w:p>
          <w:p>
            <w:pPr>
              <w:keepNext w:val="0"/>
              <w:keepLines w:val="0"/>
              <w:numPr>
                <w:ilvl w:val="0"/>
                <w:numId w:val="6"/>
              </w:numPr>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u（z）为地面风速，m/s，按大田县多年平均风速取1.5m/s；</w:t>
            </w:r>
          </w:p>
          <w:p>
            <w:pPr>
              <w:keepNext w:val="0"/>
              <w:keepLines w:val="0"/>
              <w:numPr>
                <w:ilvl w:val="0"/>
                <w:numId w:val="6"/>
              </w:numPr>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z为地面风速检测高度，m，取2m。</w:t>
            </w:r>
          </w:p>
          <w:p>
            <w:pPr>
              <w:keepNext w:val="0"/>
              <w:keepLines w:val="0"/>
              <w:numPr>
                <w:ilvl w:val="0"/>
                <w:numId w:val="6"/>
              </w:numPr>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z</w:t>
            </w:r>
            <w:r>
              <w:rPr>
                <w:rFonts w:hint="eastAsia" w:ascii="Times New Roman" w:hAnsi="Times New Roman"/>
                <w:vertAlign w:val="subscript"/>
              </w:rPr>
              <w:t>0</w:t>
            </w:r>
            <w:r>
              <w:rPr>
                <w:rFonts w:hint="eastAsia" w:ascii="Times New Roman" w:hAnsi="Times New Roman"/>
              </w:rPr>
              <w:t>为地面粗糙度，m，城市取值0.6，郊区取值0.2。取0.2。</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①堆场装卸扬尘</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不同含水率的物料装卸过程的扬尘颗粒物排放系数E</w:t>
            </w:r>
            <w:r>
              <w:rPr>
                <w:rFonts w:hint="eastAsia" w:ascii="Times New Roman" w:hAnsi="Times New Roman"/>
                <w:vertAlign w:val="subscript"/>
              </w:rPr>
              <w:t>h</w:t>
            </w:r>
            <w:r>
              <w:rPr>
                <w:rFonts w:hint="eastAsia" w:ascii="Times New Roman" w:hAnsi="Times New Roman"/>
              </w:rPr>
              <w:t>不同，堆场装卸扬尘排放量计算结果如下表：</w:t>
            </w:r>
          </w:p>
          <w:p>
            <w:pPr>
              <w:pStyle w:val="33"/>
              <w:keepNext w:val="0"/>
              <w:keepLines w:val="0"/>
              <w:suppressLineNumbers w:val="0"/>
              <w:spacing w:before="0" w:beforeLines="0" w:beforeAutospacing="0" w:after="0" w:afterAutospacing="0" w:line="440" w:lineRule="exact"/>
              <w:ind w:left="0" w:right="0" w:firstLine="420"/>
              <w:rPr>
                <w:rFonts w:hint="default" w:ascii="Times New Roman" w:hAnsi="Times New Roman"/>
              </w:rPr>
            </w:pPr>
            <w:r>
              <w:rPr>
                <w:rFonts w:hint="default" w:ascii="Times New Roman" w:hAnsi="Times New Roman"/>
                <w:b/>
                <w:bCs/>
                <w:sz w:val="21"/>
                <w:szCs w:val="21"/>
              </w:rPr>
              <w:t>表4.2-</w:t>
            </w:r>
            <w:r>
              <w:rPr>
                <w:rFonts w:hint="eastAsia" w:ascii="Times New Roman" w:hAnsi="Times New Roman"/>
                <w:b/>
                <w:bCs/>
                <w:sz w:val="21"/>
                <w:szCs w:val="21"/>
              </w:rPr>
              <w:t>2</w:t>
            </w:r>
            <w:r>
              <w:rPr>
                <w:rFonts w:hint="default" w:ascii="Times New Roman" w:hAnsi="Times New Roman"/>
                <w:b/>
                <w:bCs/>
                <w:sz w:val="21"/>
                <w:szCs w:val="21"/>
              </w:rPr>
              <w:t xml:space="preserve">  </w:t>
            </w:r>
            <w:r>
              <w:rPr>
                <w:rFonts w:hint="eastAsia" w:ascii="Times New Roman" w:hAnsi="Times New Roman"/>
                <w:b/>
                <w:bCs/>
                <w:sz w:val="21"/>
                <w:szCs w:val="21"/>
              </w:rPr>
              <w:t>堆场扬尘计算结果</w:t>
            </w:r>
            <w:r>
              <w:rPr>
                <w:rFonts w:hint="default" w:ascii="Times New Roman" w:hAnsi="Times New Roman"/>
                <w:b/>
                <w:bCs/>
                <w:sz w:val="21"/>
                <w:szCs w:val="21"/>
              </w:rPr>
              <w:t>汇总表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85"/>
              <w:gridCol w:w="1841"/>
              <w:gridCol w:w="1808"/>
              <w:gridCol w:w="1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尘源</w:t>
                  </w:r>
                </w:p>
              </w:tc>
              <w:tc>
                <w:tcPr>
                  <w:tcW w:w="9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物料</w:t>
                  </w:r>
                </w:p>
              </w:tc>
              <w:tc>
                <w:tcPr>
                  <w:tcW w:w="108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E</w:t>
                  </w:r>
                  <w:r>
                    <w:rPr>
                      <w:rFonts w:hint="eastAsia" w:ascii="Times New Roman" w:hAnsi="Times New Roman"/>
                      <w:color w:val="auto"/>
                      <w:sz w:val="21"/>
                      <w:szCs w:val="21"/>
                      <w:highlight w:val="none"/>
                      <w:vertAlign w:val="subscript"/>
                    </w:rPr>
                    <w:t>h</w:t>
                  </w:r>
                  <w:r>
                    <w:rPr>
                      <w:rFonts w:hint="eastAsia" w:ascii="Times New Roman" w:hAnsi="Times New Roman"/>
                      <w:color w:val="auto"/>
                      <w:sz w:val="21"/>
                      <w:szCs w:val="21"/>
                      <w:highlight w:val="none"/>
                    </w:rPr>
                    <w:t>（kg/t）</w:t>
                  </w:r>
                </w:p>
              </w:tc>
              <w:tc>
                <w:tcPr>
                  <w:tcW w:w="10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装卸物料量</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（万t/a）</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装卸扬尘（t）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rPr>
                    <w:t>原料</w:t>
                  </w:r>
                  <w:r>
                    <w:rPr>
                      <w:rFonts w:hint="eastAsia" w:ascii="Times New Roman" w:hAnsi="Times New Roman"/>
                      <w:color w:val="auto"/>
                      <w:sz w:val="21"/>
                      <w:szCs w:val="21"/>
                      <w:highlight w:val="none"/>
                      <w:lang w:val="en-US" w:eastAsia="zh-CN"/>
                    </w:rPr>
                    <w:t>堆场</w:t>
                  </w:r>
                </w:p>
              </w:tc>
              <w:tc>
                <w:tcPr>
                  <w:tcW w:w="9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矿渣石料（G2）</w:t>
                  </w:r>
                </w:p>
              </w:tc>
              <w:tc>
                <w:tcPr>
                  <w:tcW w:w="108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0.0048</w:t>
                  </w:r>
                </w:p>
              </w:tc>
              <w:tc>
                <w:tcPr>
                  <w:tcW w:w="10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20.18</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成品堆场1</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（碎石堆场）</w:t>
                  </w:r>
                </w:p>
              </w:tc>
              <w:tc>
                <w:tcPr>
                  <w:tcW w:w="9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碎石（G9）</w:t>
                  </w:r>
                </w:p>
              </w:tc>
              <w:tc>
                <w:tcPr>
                  <w:tcW w:w="108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0.0048</w:t>
                  </w:r>
                </w:p>
              </w:tc>
              <w:tc>
                <w:tcPr>
                  <w:tcW w:w="10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10</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成品堆场2</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（细砂堆场）</w:t>
                  </w:r>
                </w:p>
              </w:tc>
              <w:tc>
                <w:tcPr>
                  <w:tcW w:w="9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细砂（G9）</w:t>
                  </w:r>
                </w:p>
              </w:tc>
              <w:tc>
                <w:tcPr>
                  <w:tcW w:w="108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0.0048</w:t>
                  </w:r>
                </w:p>
              </w:tc>
              <w:tc>
                <w:tcPr>
                  <w:tcW w:w="10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10</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6" w:type="pct"/>
                  <w:gridSpan w:val="3"/>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合计</w:t>
                  </w:r>
                </w:p>
              </w:tc>
              <w:tc>
                <w:tcPr>
                  <w:tcW w:w="10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40.18</w:t>
                  </w:r>
                </w:p>
              </w:tc>
              <w:tc>
                <w:tcPr>
                  <w:tcW w:w="100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1.93</w:t>
                  </w:r>
                </w:p>
              </w:tc>
            </w:tr>
          </w:tbl>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经计算，堆场装卸</w:t>
            </w:r>
            <w:r>
              <w:rPr>
                <w:rFonts w:hint="eastAsia" w:ascii="Times New Roman" w:hAnsi="Times New Roman"/>
                <w:lang w:val="en-US" w:eastAsia="zh-CN"/>
              </w:rPr>
              <w:t>排放</w:t>
            </w:r>
            <w:r>
              <w:rPr>
                <w:rFonts w:hint="eastAsia" w:ascii="Times New Roman" w:hAnsi="Times New Roman"/>
              </w:rPr>
              <w:t>的扬尘量为W</w:t>
            </w:r>
            <w:r>
              <w:rPr>
                <w:rFonts w:hint="eastAsia" w:ascii="Times New Roman" w:hAnsi="Times New Roman"/>
                <w:vertAlign w:val="subscript"/>
              </w:rPr>
              <w:t>1</w:t>
            </w:r>
            <w:r>
              <w:rPr>
                <w:rFonts w:hint="eastAsia" w:ascii="Times New Roman" w:hAnsi="Times New Roman"/>
              </w:rPr>
              <w:t>=1.93t/a（0.64kg/h）。</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②风蚀扬尘</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经计算，u*=0.26m/s＜</w:t>
            </w:r>
            <w:r>
              <w:rPr>
                <w:rFonts w:hint="default" w:ascii="Times New Roman" w:hAnsi="Times New Roman"/>
              </w:rPr>
              <w:t>u</w:t>
            </w:r>
            <w:r>
              <w:rPr>
                <w:rFonts w:hint="eastAsia" w:ascii="Times New Roman" w:hAnsi="Times New Roman"/>
                <w:vertAlign w:val="subscript"/>
              </w:rPr>
              <w:t>t</w:t>
            </w:r>
            <w:r>
              <w:rPr>
                <w:rFonts w:hint="default" w:ascii="Times New Roman" w:hAnsi="Times New Roman"/>
              </w:rPr>
              <w:t>*</w:t>
            </w:r>
            <w:r>
              <w:rPr>
                <w:rFonts w:hint="eastAsia" w:ascii="Times New Roman" w:hAnsi="Times New Roman"/>
              </w:rPr>
              <w:t>，故最大风速潜势pi=0，受到风蚀作用的颗粒物排放系数Ew=0，风蚀扬尘W</w:t>
            </w:r>
            <w:r>
              <w:rPr>
                <w:rFonts w:hint="eastAsia" w:ascii="Times New Roman" w:hAnsi="Times New Roman"/>
                <w:vertAlign w:val="subscript"/>
              </w:rPr>
              <w:t>2</w:t>
            </w:r>
            <w:r>
              <w:rPr>
                <w:rFonts w:hint="eastAsia" w:ascii="Times New Roman" w:hAnsi="Times New Roman"/>
              </w:rPr>
              <w:t>=0。</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本项目堆场采取喷雾抑尘，原料为大块状物料，含水率较高。查阅大田县气象数据，近二十年静风频率约18.42%，静风频率高，静风条件下不会产生风蚀扬尘；有风条件下，通过喷雾抑尘（堆场四周设置10个喷嘴，确保喷雾覆盖整个堆场）等综合措施可有效抑尘，基本不会产生风蚀扬尘。</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综上分析，堆场基本不产生风蚀扬尘。</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③小结</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rPr>
            </w:pPr>
            <w:r>
              <w:rPr>
                <w:rFonts w:hint="eastAsia" w:ascii="Times New Roman" w:hAnsi="Times New Roman"/>
              </w:rPr>
              <w:t>堆场扬尘W</w:t>
            </w:r>
            <w:r>
              <w:rPr>
                <w:rFonts w:hint="eastAsia" w:ascii="Times New Roman" w:hAnsi="Times New Roman"/>
                <w:vertAlign w:val="subscript"/>
              </w:rPr>
              <w:t>Y</w:t>
            </w:r>
            <w:r>
              <w:rPr>
                <w:rFonts w:hint="eastAsia" w:ascii="Times New Roman" w:hAnsi="Times New Roman"/>
              </w:rPr>
              <w:t>=W</w:t>
            </w:r>
            <w:r>
              <w:rPr>
                <w:rFonts w:hint="eastAsia" w:ascii="Times New Roman" w:hAnsi="Times New Roman"/>
                <w:vertAlign w:val="subscript"/>
              </w:rPr>
              <w:t>1</w:t>
            </w:r>
            <w:r>
              <w:rPr>
                <w:rFonts w:hint="eastAsia" w:ascii="Times New Roman" w:hAnsi="Times New Roman"/>
              </w:rPr>
              <w:t>+W</w:t>
            </w:r>
            <w:r>
              <w:rPr>
                <w:rFonts w:hint="eastAsia" w:ascii="Times New Roman" w:hAnsi="Times New Roman"/>
                <w:vertAlign w:val="subscript"/>
              </w:rPr>
              <w:t>2</w:t>
            </w:r>
            <w:r>
              <w:rPr>
                <w:rFonts w:hint="eastAsia" w:ascii="Times New Roman" w:hAnsi="Times New Roman"/>
              </w:rPr>
              <w:t>=1.93t/a（0.64kg/h）。</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w:t>
            </w:r>
            <w:r>
              <w:rPr>
                <w:rFonts w:hint="eastAsia" w:ascii="Times New Roman" w:hAnsi="Times New Roman"/>
              </w:rPr>
              <w:t>3</w:t>
            </w:r>
            <w:r>
              <w:rPr>
                <w:rFonts w:hint="default" w:ascii="Times New Roman" w:hAnsi="Times New Roman"/>
              </w:rPr>
              <w:t>）</w:t>
            </w:r>
            <w:r>
              <w:rPr>
                <w:rFonts w:hint="eastAsia" w:ascii="Times New Roman" w:hAnsi="Times New Roman"/>
              </w:rPr>
              <w:t>破碎、筛分系统粉尘（G3-G8）</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根据《逸散性工业粉尘控制技术》(中国环境科学出版社，1989.12，J.A.奥里蒙等编著，张良璧等编译)中</w:t>
            </w:r>
            <w:r>
              <w:rPr>
                <w:rFonts w:hint="eastAsia" w:ascii="Times New Roman" w:hAnsi="Times New Roman"/>
              </w:rPr>
              <w:t>表18—1，一级破碎和筛选：砂与砾石粉尘排放系数为0.05kg/t-破碎料；二级破碎和筛选：砂与砾石粉尘排放系数为0.05kg/t-破碎料，碎石粉尘排放系数为0.75kg/t-破碎料，单独破碎或筛选粉尘排放系数约为上述排放系数的50%。</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查阅</w:t>
            </w:r>
            <w:r>
              <w:rPr>
                <w:rFonts w:hint="eastAsia" w:ascii="Times New Roman" w:hAnsi="Times New Roman"/>
                <w:lang w:val="en-US" w:eastAsia="zh-CN"/>
              </w:rPr>
              <w:t>相关资</w:t>
            </w:r>
            <w:r>
              <w:rPr>
                <w:rFonts w:hint="eastAsia" w:ascii="Times New Roman" w:hAnsi="Times New Roman"/>
                <w:highlight w:val="none"/>
                <w:lang w:val="en-US" w:eastAsia="zh-CN"/>
              </w:rPr>
              <w:t>料</w:t>
            </w:r>
            <w:r>
              <w:rPr>
                <w:rFonts w:hint="eastAsia" w:ascii="Times New Roman" w:hAnsi="Times New Roman"/>
                <w:highlight w:val="none"/>
              </w:rPr>
              <w:t>，砾石的粒径一般为</w:t>
            </w:r>
            <w:r>
              <w:rPr>
                <w:rFonts w:hint="eastAsia" w:ascii="Times New Roman" w:hAnsi="Times New Roman"/>
                <w:highlight w:val="none"/>
                <w:lang w:val="en-US" w:eastAsia="zh-CN"/>
              </w:rPr>
              <w:t>0.2-6</w:t>
            </w:r>
            <w:r>
              <w:rPr>
                <w:rFonts w:hint="eastAsia" w:ascii="Times New Roman" w:hAnsi="Times New Roman"/>
                <w:highlight w:val="none"/>
              </w:rPr>
              <w:t>cm，</w:t>
            </w:r>
            <w:r>
              <w:rPr>
                <w:rFonts w:hint="eastAsia" w:ascii="Times New Roman" w:hAnsi="Times New Roman"/>
                <w:highlight w:val="none"/>
                <w:lang w:val="en-US" w:eastAsia="zh-CN"/>
              </w:rPr>
              <w:t>碎</w:t>
            </w:r>
            <w:r>
              <w:rPr>
                <w:rFonts w:hint="eastAsia" w:ascii="Times New Roman" w:hAnsi="Times New Roman"/>
                <w:lang w:val="en-US" w:eastAsia="zh-CN"/>
              </w:rPr>
              <w:t>石</w:t>
            </w:r>
            <w:r>
              <w:rPr>
                <w:rFonts w:hint="eastAsia" w:ascii="Times New Roman" w:hAnsi="Times New Roman"/>
              </w:rPr>
              <w:t>粒径一般为0.5-3cm。本项目进入69破、圆锥破的物料粒径大于3cm，粉尘排放系数取值参照一级破碎和筛选中的砂与砾石排放系数；进入振动一筛、振动二筛、整形的物料粒径与砾石的粒径相近，粉尘排放系数取值参照二级破碎和筛选中的砂与砾石排放系数；进入锤破的物料粒径在0.5-1cm，与碎石粒径相近，粉尘排放系数取值参照二级破碎和筛选中的碎石排放系数。本项目破碎、筛分工序</w:t>
            </w:r>
            <w:r>
              <w:rPr>
                <w:rFonts w:hint="eastAsia" w:ascii="Times New Roman" w:hAnsi="Times New Roman"/>
                <w:lang w:val="en-US" w:eastAsia="zh-CN"/>
              </w:rPr>
              <w:t>产尘</w:t>
            </w:r>
            <w:r>
              <w:rPr>
                <w:rFonts w:hint="eastAsia" w:ascii="Times New Roman" w:hAnsi="Times New Roman"/>
              </w:rPr>
              <w:t>系数具体取值见表4.2-3。</w:t>
            </w:r>
          </w:p>
          <w:p>
            <w:pPr>
              <w:pStyle w:val="33"/>
              <w:keepNext w:val="0"/>
              <w:keepLines w:val="0"/>
              <w:suppressLineNumbers w:val="0"/>
              <w:spacing w:before="0" w:beforeLines="0" w:beforeAutospacing="0" w:after="0" w:afterAutospacing="0" w:line="440" w:lineRule="exact"/>
              <w:ind w:left="0" w:right="0"/>
              <w:rPr>
                <w:rFonts w:hint="default"/>
                <w:color w:val="auto"/>
              </w:rPr>
            </w:pPr>
            <w:r>
              <w:rPr>
                <w:rFonts w:hint="default" w:ascii="Times New Roman" w:hAnsi="Times New Roman"/>
                <w:b/>
                <w:bCs/>
                <w:color w:val="auto"/>
                <w:sz w:val="21"/>
                <w:szCs w:val="21"/>
              </w:rPr>
              <w:t>表4.2-</w:t>
            </w:r>
            <w:r>
              <w:rPr>
                <w:rFonts w:hint="eastAsia" w:ascii="Times New Roman" w:hAnsi="Times New Roman"/>
                <w:b/>
                <w:bCs/>
                <w:color w:val="auto"/>
                <w:sz w:val="21"/>
                <w:szCs w:val="21"/>
              </w:rPr>
              <w:t>3</w:t>
            </w:r>
            <w:r>
              <w:rPr>
                <w:rFonts w:hint="default" w:ascii="Times New Roman" w:hAnsi="Times New Roman"/>
                <w:b/>
                <w:bCs/>
                <w:color w:val="auto"/>
                <w:sz w:val="21"/>
                <w:szCs w:val="21"/>
              </w:rPr>
              <w:t xml:space="preserve"> 项目</w:t>
            </w:r>
            <w:r>
              <w:rPr>
                <w:rFonts w:hint="eastAsia" w:ascii="Times New Roman" w:hAnsi="Times New Roman"/>
                <w:b/>
                <w:bCs/>
                <w:color w:val="auto"/>
                <w:sz w:val="21"/>
                <w:szCs w:val="21"/>
              </w:rPr>
              <w:t>破碎、筛分工序排放系数</w:t>
            </w:r>
          </w:p>
          <w:tbl>
            <w:tblPr>
              <w:tblStyle w:val="26"/>
              <w:tblW w:w="850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2169"/>
              <w:gridCol w:w="2798"/>
              <w:gridCol w:w="1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808" w:type="dxa"/>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尘源</w:t>
                  </w:r>
                </w:p>
              </w:tc>
              <w:tc>
                <w:tcPr>
                  <w:tcW w:w="2169" w:type="dxa"/>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lang w:val="en-US" w:eastAsia="zh-CN"/>
                    </w:rPr>
                    <w:t>产尘</w:t>
                  </w:r>
                  <w:r>
                    <w:rPr>
                      <w:rFonts w:hint="eastAsia"/>
                      <w:sz w:val="21"/>
                      <w:szCs w:val="21"/>
                    </w:rPr>
                    <w:t>系数</w:t>
                  </w:r>
                </w:p>
              </w:tc>
              <w:tc>
                <w:tcPr>
                  <w:tcW w:w="2798" w:type="dxa"/>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本项目破碎、筛分工序</w:t>
                  </w:r>
                </w:p>
              </w:tc>
              <w:tc>
                <w:tcPr>
                  <w:tcW w:w="1726" w:type="dxa"/>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lang w:val="en-US" w:eastAsia="zh-CN"/>
                    </w:rPr>
                    <w:t>产尘</w:t>
                  </w:r>
                  <w:r>
                    <w:rPr>
                      <w:rFonts w:hint="eastAsia"/>
                      <w:sz w:val="21"/>
                      <w:szCs w:val="21"/>
                    </w:rPr>
                    <w:t>系数取值</w:t>
                  </w:r>
                </w:p>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（kg/t破碎料）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Merge w:val="restart"/>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一级破碎和筛选</w:t>
                  </w:r>
                </w:p>
              </w:tc>
              <w:tc>
                <w:tcPr>
                  <w:tcW w:w="2169" w:type="dxa"/>
                  <w:vMerge w:val="restart"/>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砂与砾石：0.05kg/t-破碎料</w:t>
                  </w:r>
                </w:p>
              </w:tc>
              <w:tc>
                <w:tcPr>
                  <w:tcW w:w="279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21"/>
                      <w:szCs w:val="21"/>
                    </w:rPr>
                  </w:pPr>
                  <w:r>
                    <w:rPr>
                      <w:rFonts w:hint="eastAsia"/>
                      <w:color w:val="auto"/>
                      <w:sz w:val="21"/>
                      <w:szCs w:val="21"/>
                    </w:rPr>
                    <w:t>69破（G3）</w:t>
                  </w:r>
                </w:p>
              </w:tc>
              <w:tc>
                <w:tcPr>
                  <w:tcW w:w="1726" w:type="dxa"/>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Merge w:val="continue"/>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p>
              </w:tc>
              <w:tc>
                <w:tcPr>
                  <w:tcW w:w="2169" w:type="dxa"/>
                  <w:vMerge w:val="continue"/>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p>
              </w:tc>
              <w:tc>
                <w:tcPr>
                  <w:tcW w:w="279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21"/>
                      <w:szCs w:val="21"/>
                    </w:rPr>
                  </w:pPr>
                  <w:r>
                    <w:rPr>
                      <w:rFonts w:hint="eastAsia"/>
                      <w:color w:val="auto"/>
                      <w:sz w:val="21"/>
                      <w:szCs w:val="21"/>
                    </w:rPr>
                    <w:t>圆锥破（G4）</w:t>
                  </w:r>
                </w:p>
              </w:tc>
              <w:tc>
                <w:tcPr>
                  <w:tcW w:w="1726" w:type="dxa"/>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Merge w:val="restart"/>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二级破碎和筛选</w:t>
                  </w:r>
                </w:p>
              </w:tc>
              <w:tc>
                <w:tcPr>
                  <w:tcW w:w="2169" w:type="dxa"/>
                  <w:vMerge w:val="restart"/>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砂与砾石：0.05kg/t-破碎料</w:t>
                  </w:r>
                </w:p>
              </w:tc>
              <w:tc>
                <w:tcPr>
                  <w:tcW w:w="279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21"/>
                      <w:szCs w:val="21"/>
                    </w:rPr>
                  </w:pPr>
                  <w:r>
                    <w:rPr>
                      <w:rFonts w:hint="eastAsia"/>
                      <w:color w:val="auto"/>
                      <w:sz w:val="21"/>
                      <w:szCs w:val="21"/>
                    </w:rPr>
                    <w:t>振动一筛（G5）</w:t>
                  </w:r>
                </w:p>
              </w:tc>
              <w:tc>
                <w:tcPr>
                  <w:tcW w:w="1726"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Merge w:val="continue"/>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p>
              </w:tc>
              <w:tc>
                <w:tcPr>
                  <w:tcW w:w="2169" w:type="dxa"/>
                  <w:vMerge w:val="continue"/>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p>
              </w:tc>
              <w:tc>
                <w:tcPr>
                  <w:tcW w:w="279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21"/>
                      <w:szCs w:val="21"/>
                    </w:rPr>
                  </w:pPr>
                  <w:r>
                    <w:rPr>
                      <w:rFonts w:hint="eastAsia"/>
                      <w:color w:val="auto"/>
                      <w:sz w:val="21"/>
                      <w:szCs w:val="21"/>
                    </w:rPr>
                    <w:t>整形机（G6）</w:t>
                  </w:r>
                </w:p>
              </w:tc>
              <w:tc>
                <w:tcPr>
                  <w:tcW w:w="1726"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Merge w:val="continue"/>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p>
              </w:tc>
              <w:tc>
                <w:tcPr>
                  <w:tcW w:w="2169" w:type="dxa"/>
                  <w:vMerge w:val="continue"/>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p>
              </w:tc>
              <w:tc>
                <w:tcPr>
                  <w:tcW w:w="279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21"/>
                      <w:szCs w:val="21"/>
                    </w:rPr>
                  </w:pPr>
                  <w:r>
                    <w:rPr>
                      <w:rFonts w:hint="eastAsia"/>
                      <w:color w:val="auto"/>
                      <w:sz w:val="21"/>
                      <w:szCs w:val="21"/>
                    </w:rPr>
                    <w:t>振动二筛（G7）</w:t>
                  </w:r>
                </w:p>
              </w:tc>
              <w:tc>
                <w:tcPr>
                  <w:tcW w:w="1726"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Merge w:val="continue"/>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p>
              </w:tc>
              <w:tc>
                <w:tcPr>
                  <w:tcW w:w="2169" w:type="dxa"/>
                  <w:tcBorders>
                    <w:tl2br w:val="nil"/>
                    <w:tr2bl w:val="nil"/>
                  </w:tcBorders>
                  <w:vAlign w:val="center"/>
                </w:tcPr>
                <w:p>
                  <w:pPr>
                    <w:pStyle w:val="68"/>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碎石0.75kg/t-破碎料</w:t>
                  </w:r>
                </w:p>
              </w:tc>
              <w:tc>
                <w:tcPr>
                  <w:tcW w:w="279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21"/>
                      <w:szCs w:val="21"/>
                    </w:rPr>
                  </w:pPr>
                  <w:r>
                    <w:rPr>
                      <w:rFonts w:hint="eastAsia"/>
                      <w:color w:val="auto"/>
                      <w:sz w:val="21"/>
                      <w:szCs w:val="21"/>
                    </w:rPr>
                    <w:t>锤破（G8）</w:t>
                  </w:r>
                </w:p>
              </w:tc>
              <w:tc>
                <w:tcPr>
                  <w:tcW w:w="1726"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hint="default"/>
                      <w:sz w:val="21"/>
                      <w:szCs w:val="21"/>
                    </w:rPr>
                  </w:pPr>
                  <w:r>
                    <w:rPr>
                      <w:rFonts w:hint="eastAsia"/>
                      <w:sz w:val="21"/>
                      <w:szCs w:val="21"/>
                    </w:rPr>
                    <w:t>0.375</w:t>
                  </w:r>
                </w:p>
              </w:tc>
            </w:tr>
          </w:tbl>
          <w:p>
            <w:pPr>
              <w:pStyle w:val="1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抑尘措施：破碎机、</w:t>
            </w:r>
            <w:r>
              <w:rPr>
                <w:rFonts w:hint="eastAsia" w:ascii="Times New Roman" w:hAnsi="Times New Roman"/>
              </w:rPr>
              <w:t>振动筛</w:t>
            </w:r>
            <w:r>
              <w:rPr>
                <w:rFonts w:hint="eastAsia" w:ascii="Times New Roman" w:hAnsi="Times New Roman"/>
                <w:color w:val="auto"/>
              </w:rPr>
              <w:t>、整形机</w:t>
            </w:r>
            <w:r>
              <w:rPr>
                <w:rFonts w:hint="default" w:ascii="Times New Roman" w:hAnsi="Times New Roman"/>
                <w:color w:val="auto"/>
              </w:rPr>
              <w:t>采取围挡及水喷淋措施抑尘，在破碎机</w:t>
            </w:r>
            <w:r>
              <w:rPr>
                <w:rFonts w:hint="eastAsia" w:ascii="Times New Roman" w:hAnsi="Times New Roman"/>
                <w:color w:val="auto"/>
                <w:lang w:eastAsia="zh-CN"/>
              </w:rPr>
              <w:t>、</w:t>
            </w:r>
            <w:r>
              <w:rPr>
                <w:rFonts w:hint="eastAsia" w:ascii="Times New Roman" w:hAnsi="Times New Roman"/>
                <w:color w:val="auto"/>
                <w:lang w:val="en-US" w:eastAsia="zh-CN"/>
              </w:rPr>
              <w:t>整形机</w:t>
            </w:r>
            <w:r>
              <w:rPr>
                <w:rFonts w:hint="default" w:ascii="Times New Roman" w:hAnsi="Times New Roman"/>
                <w:color w:val="auto"/>
              </w:rPr>
              <w:t>进料口上方、设备内和振动筛上方分别设置喷淋水管</w:t>
            </w:r>
            <w:r>
              <w:rPr>
                <w:rFonts w:hint="eastAsia" w:ascii="Times New Roman" w:hAnsi="Times New Roman"/>
                <w:color w:val="auto"/>
              </w:rPr>
              <w:t>。为保证有效抑尘，喷淋水量为0.03m</w:t>
            </w:r>
            <w:r>
              <w:rPr>
                <w:rFonts w:hint="eastAsia" w:ascii="Times New Roman" w:hAnsi="Times New Roman"/>
                <w:color w:val="auto"/>
                <w:vertAlign w:val="superscript"/>
              </w:rPr>
              <w:t>3</w:t>
            </w:r>
            <w:r>
              <w:rPr>
                <w:rFonts w:hint="eastAsia" w:ascii="Times New Roman" w:hAnsi="Times New Roman"/>
                <w:color w:val="auto"/>
              </w:rPr>
              <w:t>/t物料。</w:t>
            </w:r>
            <w:r>
              <w:rPr>
                <w:rFonts w:hint="default" w:ascii="Times New Roman" w:hAnsi="Times New Roman"/>
                <w:color w:val="auto"/>
              </w:rPr>
              <w:t>喷淋水管朝向破碎</w:t>
            </w:r>
            <w:r>
              <w:rPr>
                <w:rFonts w:hint="eastAsia" w:ascii="Times New Roman" w:hAnsi="Times New Roman"/>
                <w:color w:val="auto"/>
              </w:rPr>
              <w:t>、</w:t>
            </w:r>
            <w:r>
              <w:rPr>
                <w:rFonts w:hint="default" w:ascii="Times New Roman" w:hAnsi="Times New Roman"/>
                <w:color w:val="auto"/>
              </w:rPr>
              <w:t>筛分</w:t>
            </w:r>
            <w:r>
              <w:rPr>
                <w:rFonts w:hint="eastAsia" w:ascii="Times New Roman" w:hAnsi="Times New Roman"/>
                <w:color w:val="auto"/>
              </w:rPr>
              <w:t>及整形</w:t>
            </w:r>
            <w:r>
              <w:rPr>
                <w:rFonts w:hint="default" w:ascii="Times New Roman" w:hAnsi="Times New Roman"/>
                <w:color w:val="auto"/>
              </w:rPr>
              <w:t>作业区，并与破碎作业端</w:t>
            </w:r>
            <w:r>
              <w:rPr>
                <w:rFonts w:hint="eastAsia" w:ascii="Times New Roman" w:hAnsi="Times New Roman"/>
                <w:color w:val="auto"/>
              </w:rPr>
              <w:t>、</w:t>
            </w:r>
            <w:r>
              <w:rPr>
                <w:rFonts w:hint="default" w:ascii="Times New Roman" w:hAnsi="Times New Roman"/>
                <w:color w:val="auto"/>
              </w:rPr>
              <w:t>筛面</w:t>
            </w:r>
            <w:r>
              <w:rPr>
                <w:rFonts w:hint="eastAsia" w:ascii="Times New Roman" w:hAnsi="Times New Roman"/>
                <w:color w:val="auto"/>
              </w:rPr>
              <w:t>及整形区</w:t>
            </w:r>
            <w:r>
              <w:rPr>
                <w:rFonts w:hint="default" w:ascii="Times New Roman" w:hAnsi="Times New Roman"/>
                <w:color w:val="auto"/>
              </w:rPr>
              <w:t>保持一定距离，保证喷淋水能覆盖破碎、筛分</w:t>
            </w:r>
            <w:r>
              <w:rPr>
                <w:rFonts w:hint="eastAsia" w:ascii="Times New Roman" w:hAnsi="Times New Roman"/>
                <w:color w:val="auto"/>
              </w:rPr>
              <w:t>、整形</w:t>
            </w:r>
            <w:r>
              <w:rPr>
                <w:rFonts w:hint="default" w:ascii="Times New Roman" w:hAnsi="Times New Roman"/>
                <w:color w:val="auto"/>
              </w:rPr>
              <w:t>作业区</w:t>
            </w:r>
            <w:r>
              <w:rPr>
                <w:rFonts w:hint="eastAsia" w:ascii="Times New Roman" w:hAnsi="Times New Roman"/>
                <w:color w:val="auto"/>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根据《固体物料堆存颗粒物产排污核算系数手册》，水喷淋抑尘及围挡措施对粉尘的控制效率分别可以达到74%、60%。综合考虑，在破碎、筛分过程采取“围挡+水喷淋”的措施下，对粉尘的控制效率可达到90%。</w:t>
            </w:r>
            <w:r>
              <w:rPr>
                <w:rFonts w:hint="default" w:ascii="Times New Roman" w:hAnsi="Times New Roman"/>
              </w:rPr>
              <w:t>本项目</w:t>
            </w:r>
            <w:r>
              <w:rPr>
                <w:rFonts w:hint="eastAsia" w:ascii="Times New Roman" w:hAnsi="Times New Roman"/>
              </w:rPr>
              <w:t>进入69破、圆锥破、振动一筛、整形、振动二筛的物料量</w:t>
            </w:r>
            <w:r>
              <w:rPr>
                <w:rFonts w:hint="eastAsia" w:ascii="Times New Roman" w:hAnsi="Times New Roman"/>
                <w:color w:val="auto"/>
              </w:rPr>
              <w:t>约为</w:t>
            </w:r>
            <w:r>
              <w:rPr>
                <w:rFonts w:hint="eastAsia" w:ascii="Times New Roman" w:hAnsi="Times New Roman"/>
                <w:color w:val="auto"/>
                <w:lang w:eastAsia="zh-CN"/>
              </w:rPr>
              <w:t>2</w:t>
            </w:r>
            <w:r>
              <w:rPr>
                <w:rFonts w:hint="eastAsia" w:ascii="Times New Roman" w:hAnsi="Times New Roman"/>
                <w:lang w:eastAsia="zh-CN"/>
              </w:rPr>
              <w:t>0.18</w:t>
            </w:r>
            <w:r>
              <w:rPr>
                <w:rFonts w:hint="eastAsia" w:ascii="Times New Roman" w:hAnsi="Times New Roman"/>
              </w:rPr>
              <w:t>万t</w:t>
            </w:r>
            <w:r>
              <w:rPr>
                <w:rFonts w:hint="default" w:ascii="Times New Roman" w:hAnsi="Times New Roman"/>
              </w:rPr>
              <w:t>，</w:t>
            </w:r>
            <w:r>
              <w:rPr>
                <w:rFonts w:hint="eastAsia" w:ascii="Times New Roman" w:hAnsi="Times New Roman"/>
              </w:rPr>
              <w:t>进入锤破的物料量约为1万t，经计算，</w:t>
            </w:r>
            <w:r>
              <w:rPr>
                <w:rFonts w:hint="default" w:ascii="Times New Roman" w:hAnsi="Times New Roman"/>
              </w:rPr>
              <w:t>破碎、筛分</w:t>
            </w:r>
            <w:r>
              <w:rPr>
                <w:rFonts w:hint="eastAsia" w:ascii="Times New Roman" w:hAnsi="Times New Roman"/>
              </w:rPr>
              <w:t>系统</w:t>
            </w:r>
            <w:r>
              <w:rPr>
                <w:rFonts w:hint="default" w:ascii="Times New Roman" w:hAnsi="Times New Roman"/>
              </w:rPr>
              <w:t>的粉尘排放量</w:t>
            </w:r>
            <w:r>
              <w:rPr>
                <w:rFonts w:hint="eastAsia" w:ascii="Times New Roman" w:hAnsi="Times New Roman"/>
                <w:lang w:val="en-US" w:eastAsia="zh-CN"/>
              </w:rPr>
              <w:t>共</w:t>
            </w:r>
            <w:r>
              <w:rPr>
                <w:rFonts w:hint="default" w:ascii="Times New Roman" w:hAnsi="Times New Roman"/>
              </w:rPr>
              <w:t>为</w:t>
            </w:r>
            <w:r>
              <w:rPr>
                <w:rFonts w:hint="eastAsia" w:ascii="Times New Roman" w:hAnsi="Times New Roman"/>
              </w:rPr>
              <w:t>2.</w:t>
            </w:r>
            <w:r>
              <w:rPr>
                <w:rFonts w:hint="eastAsia" w:ascii="Times New Roman" w:hAnsi="Times New Roman"/>
                <w:lang w:val="en-US" w:eastAsia="zh-CN"/>
              </w:rPr>
              <w:t>875</w:t>
            </w:r>
            <w:r>
              <w:rPr>
                <w:rFonts w:hint="default" w:ascii="Times New Roman" w:hAnsi="Times New Roman"/>
              </w:rPr>
              <w:t>t/a</w:t>
            </w:r>
            <w:r>
              <w:rPr>
                <w:rFonts w:hint="eastAsia" w:ascii="Times New Roman" w:hAnsi="Times New Roman"/>
              </w:rPr>
              <w:t>，即0.9</w:t>
            </w:r>
            <w:r>
              <w:rPr>
                <w:rFonts w:hint="eastAsia" w:ascii="Times New Roman" w:hAnsi="Times New Roman"/>
                <w:lang w:val="en-US" w:eastAsia="zh-CN"/>
              </w:rPr>
              <w:t>6</w:t>
            </w:r>
            <w:r>
              <w:rPr>
                <w:rFonts w:hint="eastAsia" w:ascii="Times New Roman" w:hAnsi="Times New Roman"/>
              </w:rPr>
              <w:t>kg/h</w:t>
            </w:r>
            <w:r>
              <w:rPr>
                <w:rFonts w:hint="default" w:ascii="Times New Roman" w:hAnsi="Times New Roma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lang w:val="en-US" w:eastAsia="zh-CN"/>
              </w:rPr>
            </w:pPr>
          </w:p>
          <w:p>
            <w:pPr>
              <w:pStyle w:val="33"/>
              <w:keepNext w:val="0"/>
              <w:keepLines w:val="0"/>
              <w:suppressLineNumbers w:val="0"/>
              <w:spacing w:before="0" w:beforeLines="0" w:beforeAutospacing="0" w:after="0" w:afterAutospacing="0" w:line="440" w:lineRule="exact"/>
              <w:ind w:left="0" w:right="0"/>
              <w:rPr>
                <w:rFonts w:hint="default" w:ascii="Times New Roman" w:hAnsi="Times New Roman"/>
                <w:b/>
                <w:bCs/>
                <w:color w:val="000000" w:themeColor="text1"/>
                <w:sz w:val="21"/>
                <w:szCs w:val="21"/>
                <w14:textFill>
                  <w14:solidFill>
                    <w14:schemeClr w14:val="tx1"/>
                  </w14:solidFill>
                </w14:textFill>
              </w:rPr>
            </w:pPr>
            <w:r>
              <w:rPr>
                <w:rFonts w:hint="default" w:ascii="Times New Roman" w:hAnsi="Times New Roman"/>
                <w:b/>
                <w:bCs/>
                <w:color w:val="000000" w:themeColor="text1"/>
                <w:sz w:val="21"/>
                <w:szCs w:val="21"/>
                <w14:textFill>
                  <w14:solidFill>
                    <w14:schemeClr w14:val="tx1"/>
                  </w14:solidFill>
                </w14:textFill>
              </w:rPr>
              <w:t>表4.2-</w:t>
            </w:r>
            <w:r>
              <w:rPr>
                <w:rFonts w:hint="eastAsia" w:ascii="Times New Roman" w:hAnsi="Times New Roman"/>
                <w:b/>
                <w:bCs/>
                <w:color w:val="000000" w:themeColor="text1"/>
                <w:sz w:val="21"/>
                <w:szCs w:val="21"/>
                <w14:textFill>
                  <w14:solidFill>
                    <w14:schemeClr w14:val="tx1"/>
                  </w14:solidFill>
                </w14:textFill>
              </w:rPr>
              <w:t>4</w:t>
            </w:r>
            <w:r>
              <w:rPr>
                <w:rFonts w:hint="default" w:ascii="Times New Roman" w:hAnsi="Times New Roman"/>
                <w:b/>
                <w:bCs/>
                <w:color w:val="000000" w:themeColor="text1"/>
                <w:sz w:val="21"/>
                <w:szCs w:val="21"/>
                <w14:textFill>
                  <w14:solidFill>
                    <w14:schemeClr w14:val="tx1"/>
                  </w14:solidFill>
                </w14:textFill>
              </w:rPr>
              <w:t xml:space="preserve"> 项目</w:t>
            </w:r>
            <w:r>
              <w:rPr>
                <w:rFonts w:hint="eastAsia" w:ascii="Times New Roman" w:hAnsi="Times New Roman"/>
                <w:b/>
                <w:bCs/>
                <w:color w:val="000000" w:themeColor="text1"/>
                <w:sz w:val="21"/>
                <w:szCs w:val="21"/>
                <w14:textFill>
                  <w14:solidFill>
                    <w14:schemeClr w14:val="tx1"/>
                  </w14:solidFill>
                </w14:textFill>
              </w:rPr>
              <w:t>破碎、筛分粉尘计算结果汇总表</w:t>
            </w:r>
          </w:p>
          <w:tbl>
            <w:tblPr>
              <w:tblStyle w:val="26"/>
              <w:tblW w:w="850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1648"/>
              <w:gridCol w:w="1201"/>
              <w:gridCol w:w="2214"/>
              <w:gridCol w:w="1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7"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产尘工序</w:t>
                  </w:r>
                </w:p>
              </w:tc>
              <w:tc>
                <w:tcPr>
                  <w:tcW w:w="164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lang w:val="en-US" w:eastAsia="zh-CN"/>
                    </w:rPr>
                    <w:t>产尘系数</w:t>
                  </w:r>
                  <w:r>
                    <w:rPr>
                      <w:rFonts w:hint="eastAsia"/>
                      <w:color w:val="auto"/>
                      <w:sz w:val="18"/>
                      <w:szCs w:val="18"/>
                    </w:rPr>
                    <w:t>取值</w:t>
                  </w:r>
                </w:p>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（kg/t破碎料）</w:t>
                  </w:r>
                </w:p>
              </w:tc>
              <w:tc>
                <w:tcPr>
                  <w:tcW w:w="1201"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物料量（万t）</w:t>
                  </w:r>
                </w:p>
              </w:tc>
              <w:tc>
                <w:tcPr>
                  <w:tcW w:w="2214"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抑尘措施（效率）</w:t>
                  </w:r>
                </w:p>
              </w:tc>
              <w:tc>
                <w:tcPr>
                  <w:tcW w:w="1791"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粉尘排放量（t）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7"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69破（G3）</w:t>
                  </w:r>
                </w:p>
              </w:tc>
              <w:tc>
                <w:tcPr>
                  <w:tcW w:w="164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0.025</w:t>
                  </w:r>
                </w:p>
              </w:tc>
              <w:tc>
                <w:tcPr>
                  <w:tcW w:w="1201"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eastAsia" w:eastAsia="宋体"/>
                      <w:color w:val="auto"/>
                      <w:sz w:val="18"/>
                      <w:szCs w:val="18"/>
                      <w:lang w:eastAsia="zh-CN"/>
                    </w:rPr>
                  </w:pPr>
                  <w:r>
                    <w:rPr>
                      <w:rFonts w:hint="eastAsia"/>
                      <w:color w:val="auto"/>
                      <w:sz w:val="18"/>
                      <w:szCs w:val="18"/>
                      <w:lang w:eastAsia="zh-CN"/>
                    </w:rPr>
                    <w:t>20.18</w:t>
                  </w:r>
                </w:p>
              </w:tc>
              <w:tc>
                <w:tcPr>
                  <w:tcW w:w="2214"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水喷淋+围挡（90%）</w:t>
                  </w:r>
                </w:p>
              </w:tc>
              <w:tc>
                <w:tcPr>
                  <w:tcW w:w="1791"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7"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圆锥破（G4）</w:t>
                  </w:r>
                </w:p>
              </w:tc>
              <w:tc>
                <w:tcPr>
                  <w:tcW w:w="1648"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0.025</w:t>
                  </w:r>
                </w:p>
              </w:tc>
              <w:tc>
                <w:tcPr>
                  <w:tcW w:w="1201"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eastAsia" w:eastAsia="宋体"/>
                      <w:color w:val="auto"/>
                      <w:sz w:val="18"/>
                      <w:szCs w:val="18"/>
                      <w:lang w:eastAsia="zh-CN"/>
                    </w:rPr>
                  </w:pPr>
                  <w:r>
                    <w:rPr>
                      <w:rFonts w:hint="eastAsia"/>
                      <w:color w:val="auto"/>
                      <w:sz w:val="18"/>
                      <w:szCs w:val="18"/>
                      <w:lang w:eastAsia="zh-CN"/>
                    </w:rPr>
                    <w:t>20.18</w:t>
                  </w:r>
                </w:p>
              </w:tc>
              <w:tc>
                <w:tcPr>
                  <w:tcW w:w="2214"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水喷淋+围挡（90%）</w:t>
                  </w:r>
                </w:p>
              </w:tc>
              <w:tc>
                <w:tcPr>
                  <w:tcW w:w="1791"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7"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振动一筛（G5）</w:t>
                  </w: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0.025</w:t>
                  </w:r>
                </w:p>
              </w:tc>
              <w:tc>
                <w:tcPr>
                  <w:tcW w:w="120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kern w:val="0"/>
                      <w:sz w:val="18"/>
                      <w:szCs w:val="18"/>
                      <w:lang w:eastAsia="zh-CN"/>
                    </w:rPr>
                  </w:pPr>
                  <w:r>
                    <w:rPr>
                      <w:rFonts w:hint="eastAsia"/>
                      <w:color w:val="auto"/>
                      <w:sz w:val="18"/>
                      <w:szCs w:val="18"/>
                      <w:lang w:eastAsia="zh-CN"/>
                    </w:rPr>
                    <w:t>20.18</w:t>
                  </w:r>
                </w:p>
              </w:tc>
              <w:tc>
                <w:tcPr>
                  <w:tcW w:w="2214"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kern w:val="0"/>
                      <w:sz w:val="18"/>
                      <w:szCs w:val="18"/>
                    </w:rPr>
                  </w:pPr>
                  <w:r>
                    <w:rPr>
                      <w:rFonts w:hint="eastAsia"/>
                      <w:color w:val="auto"/>
                      <w:kern w:val="0"/>
                      <w:sz w:val="18"/>
                      <w:szCs w:val="18"/>
                    </w:rPr>
                    <w:t>水喷淋+围挡（90%）</w:t>
                  </w:r>
                </w:p>
              </w:tc>
              <w:tc>
                <w:tcPr>
                  <w:tcW w:w="179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7"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整形机（G6）</w:t>
                  </w: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0.025</w:t>
                  </w:r>
                </w:p>
              </w:tc>
              <w:tc>
                <w:tcPr>
                  <w:tcW w:w="120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kern w:val="0"/>
                      <w:sz w:val="18"/>
                      <w:szCs w:val="18"/>
                      <w:lang w:eastAsia="zh-CN"/>
                    </w:rPr>
                  </w:pPr>
                  <w:r>
                    <w:rPr>
                      <w:rFonts w:hint="eastAsia"/>
                      <w:color w:val="auto"/>
                      <w:sz w:val="18"/>
                      <w:szCs w:val="18"/>
                      <w:lang w:eastAsia="zh-CN"/>
                    </w:rPr>
                    <w:t>20.18</w:t>
                  </w:r>
                </w:p>
              </w:tc>
              <w:tc>
                <w:tcPr>
                  <w:tcW w:w="2214"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kern w:val="0"/>
                      <w:sz w:val="18"/>
                      <w:szCs w:val="18"/>
                    </w:rPr>
                  </w:pPr>
                  <w:r>
                    <w:rPr>
                      <w:rFonts w:hint="eastAsia"/>
                      <w:color w:val="auto"/>
                      <w:kern w:val="0"/>
                      <w:sz w:val="18"/>
                      <w:szCs w:val="18"/>
                    </w:rPr>
                    <w:t>水喷淋+围挡（90%）</w:t>
                  </w:r>
                </w:p>
              </w:tc>
              <w:tc>
                <w:tcPr>
                  <w:tcW w:w="179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7"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振动二筛（G7）</w:t>
                  </w: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0.025</w:t>
                  </w:r>
                </w:p>
              </w:tc>
              <w:tc>
                <w:tcPr>
                  <w:tcW w:w="120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kern w:val="0"/>
                      <w:sz w:val="18"/>
                      <w:szCs w:val="18"/>
                      <w:lang w:eastAsia="zh-CN"/>
                    </w:rPr>
                  </w:pPr>
                  <w:r>
                    <w:rPr>
                      <w:rFonts w:hint="eastAsia"/>
                      <w:color w:val="auto"/>
                      <w:sz w:val="18"/>
                      <w:szCs w:val="18"/>
                      <w:lang w:eastAsia="zh-CN"/>
                    </w:rPr>
                    <w:t>20.18</w:t>
                  </w:r>
                </w:p>
              </w:tc>
              <w:tc>
                <w:tcPr>
                  <w:tcW w:w="2214"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kern w:val="0"/>
                      <w:sz w:val="18"/>
                      <w:szCs w:val="18"/>
                    </w:rPr>
                  </w:pPr>
                  <w:r>
                    <w:rPr>
                      <w:rFonts w:hint="eastAsia"/>
                      <w:color w:val="auto"/>
                      <w:kern w:val="0"/>
                      <w:sz w:val="18"/>
                      <w:szCs w:val="18"/>
                    </w:rPr>
                    <w:t>水喷淋+围挡（90%）</w:t>
                  </w:r>
                </w:p>
              </w:tc>
              <w:tc>
                <w:tcPr>
                  <w:tcW w:w="179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7" w:type="dxa"/>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锤破（G8）</w:t>
                  </w: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0.375</w:t>
                  </w:r>
                </w:p>
              </w:tc>
              <w:tc>
                <w:tcPr>
                  <w:tcW w:w="120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kern w:val="0"/>
                      <w:sz w:val="18"/>
                      <w:szCs w:val="18"/>
                    </w:rPr>
                  </w:pPr>
                  <w:r>
                    <w:rPr>
                      <w:rFonts w:hint="eastAsia" w:ascii="Times New Roman" w:hAnsi="Times New Roman"/>
                      <w:color w:val="auto"/>
                      <w:kern w:val="0"/>
                      <w:sz w:val="18"/>
                      <w:szCs w:val="18"/>
                    </w:rPr>
                    <w:t>1</w:t>
                  </w:r>
                </w:p>
              </w:tc>
              <w:tc>
                <w:tcPr>
                  <w:tcW w:w="2214"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kern w:val="0"/>
                      <w:sz w:val="18"/>
                      <w:szCs w:val="18"/>
                    </w:rPr>
                  </w:pPr>
                  <w:r>
                    <w:rPr>
                      <w:rFonts w:hint="eastAsia"/>
                      <w:color w:val="auto"/>
                      <w:kern w:val="0"/>
                      <w:sz w:val="18"/>
                      <w:szCs w:val="18"/>
                    </w:rPr>
                    <w:t>水喷淋+围挡（90%）</w:t>
                  </w:r>
                </w:p>
              </w:tc>
              <w:tc>
                <w:tcPr>
                  <w:tcW w:w="179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0" w:type="dxa"/>
                  <w:gridSpan w:val="4"/>
                  <w:tcBorders>
                    <w:tl2br w:val="nil"/>
                    <w:tr2bl w:val="nil"/>
                  </w:tcBorders>
                  <w:vAlign w:val="center"/>
                </w:tcPr>
                <w:p>
                  <w:pPr>
                    <w:pStyle w:val="68"/>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合计</w:t>
                  </w:r>
                </w:p>
              </w:tc>
              <w:tc>
                <w:tcPr>
                  <w:tcW w:w="179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eastAsia"/>
                      <w:color w:val="auto"/>
                      <w:sz w:val="18"/>
                      <w:szCs w:val="18"/>
                      <w:lang w:val="en-US" w:eastAsia="zh-CN"/>
                    </w:rPr>
                    <w:t>2.875</w:t>
                  </w:r>
                </w:p>
              </w:tc>
            </w:tr>
          </w:tbl>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bookmarkStart w:id="11" w:name="_Ref85128790"/>
            <w:r>
              <w:rPr>
                <w:rFonts w:hint="eastAsia" w:ascii="Times New Roman" w:hAnsi="Times New Roman"/>
              </w:rPr>
              <w:t>（4）小结</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综上，本项目的粉尘排放情况汇总见下表。</w:t>
            </w:r>
          </w:p>
          <w:p>
            <w:pPr>
              <w:pStyle w:val="33"/>
              <w:keepNext w:val="0"/>
              <w:keepLines w:val="0"/>
              <w:suppressLineNumbers w:val="0"/>
              <w:spacing w:before="0" w:beforeLines="0" w:beforeAutospacing="0" w:after="0" w:afterAutospacing="0" w:line="440" w:lineRule="exact"/>
              <w:ind w:left="0" w:right="0"/>
              <w:rPr>
                <w:rFonts w:hint="default"/>
              </w:rPr>
            </w:pPr>
            <w:r>
              <w:rPr>
                <w:rFonts w:hint="default" w:ascii="Times New Roman" w:hAnsi="Times New Roman"/>
                <w:b/>
                <w:bCs/>
                <w:sz w:val="21"/>
                <w:szCs w:val="21"/>
              </w:rPr>
              <w:t>表4.2-</w:t>
            </w:r>
            <w:r>
              <w:rPr>
                <w:rFonts w:hint="eastAsia" w:ascii="Times New Roman" w:hAnsi="Times New Roman"/>
                <w:b/>
                <w:bCs/>
                <w:sz w:val="21"/>
                <w:szCs w:val="21"/>
              </w:rPr>
              <w:t>5</w:t>
            </w:r>
            <w:r>
              <w:rPr>
                <w:rFonts w:hint="default" w:ascii="Times New Roman" w:hAnsi="Times New Roman"/>
                <w:b/>
                <w:bCs/>
                <w:sz w:val="21"/>
                <w:szCs w:val="21"/>
              </w:rPr>
              <w:t xml:space="preserve">  项目</w:t>
            </w:r>
            <w:bookmarkEnd w:id="11"/>
            <w:r>
              <w:rPr>
                <w:rFonts w:hint="default" w:ascii="Times New Roman" w:hAnsi="Times New Roman"/>
                <w:b/>
                <w:bCs/>
                <w:sz w:val="21"/>
                <w:szCs w:val="21"/>
              </w:rPr>
              <w:t>粉尘排放情况汇总表</w:t>
            </w:r>
          </w:p>
          <w:tbl>
            <w:tblPr>
              <w:tblStyle w:val="25"/>
              <w:tblW w:w="850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32"/>
              <w:gridCol w:w="1495"/>
              <w:gridCol w:w="733"/>
              <w:gridCol w:w="1118"/>
              <w:gridCol w:w="1032"/>
              <w:gridCol w:w="279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32"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污染源</w:t>
                  </w:r>
                </w:p>
              </w:tc>
              <w:tc>
                <w:tcPr>
                  <w:tcW w:w="1495"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产污环节</w:t>
                  </w:r>
                </w:p>
              </w:tc>
              <w:tc>
                <w:tcPr>
                  <w:tcW w:w="733"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default"/>
                      <w:sz w:val="18"/>
                      <w:szCs w:val="18"/>
                    </w:rPr>
                    <w:t>污染物</w:t>
                  </w:r>
                </w:p>
              </w:tc>
              <w:tc>
                <w:tcPr>
                  <w:tcW w:w="1118"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pacing w:val="-1"/>
                      <w:sz w:val="18"/>
                      <w:szCs w:val="18"/>
                    </w:rPr>
                    <w:t>排放速率</w:t>
                  </w:r>
                  <w:r>
                    <w:rPr>
                      <w:rFonts w:hint="default"/>
                      <w:spacing w:val="-1"/>
                      <w:sz w:val="18"/>
                      <w:szCs w:val="18"/>
                    </w:rPr>
                    <w:t>(</w:t>
                  </w:r>
                  <w:r>
                    <w:rPr>
                      <w:rFonts w:hint="eastAsia"/>
                      <w:spacing w:val="-1"/>
                      <w:sz w:val="18"/>
                      <w:szCs w:val="18"/>
                    </w:rPr>
                    <w:t>kg/h</w:t>
                  </w:r>
                  <w:r>
                    <w:rPr>
                      <w:rFonts w:hint="default"/>
                      <w:spacing w:val="-1"/>
                      <w:sz w:val="18"/>
                      <w:szCs w:val="18"/>
                    </w:rPr>
                    <w:t>)</w:t>
                  </w:r>
                </w:p>
              </w:tc>
              <w:tc>
                <w:tcPr>
                  <w:tcW w:w="3823" w:type="dxa"/>
                  <w:gridSpan w:val="2"/>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pacing w:val="-1"/>
                      <w:sz w:val="18"/>
                      <w:szCs w:val="18"/>
                    </w:rPr>
                    <w:t>面源信息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7" w:hRule="atLeast"/>
                <w:jc w:val="center"/>
              </w:trPr>
              <w:tc>
                <w:tcPr>
                  <w:tcW w:w="1332"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厂区内道路</w:t>
                  </w:r>
                </w:p>
              </w:tc>
              <w:tc>
                <w:tcPr>
                  <w:tcW w:w="1495"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车辆运输行驶扬尘</w:t>
                  </w:r>
                </w:p>
              </w:tc>
              <w:tc>
                <w:tcPr>
                  <w:tcW w:w="733" w:type="dxa"/>
                  <w:vMerge w:val="restart"/>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颗粒物</w:t>
                  </w:r>
                </w:p>
              </w:tc>
              <w:tc>
                <w:tcPr>
                  <w:tcW w:w="1118"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0.02</w:t>
                  </w:r>
                </w:p>
              </w:tc>
              <w:tc>
                <w:tcPr>
                  <w:tcW w:w="3823" w:type="dxa"/>
                  <w:gridSpan w:val="2"/>
                  <w:vAlign w:val="center"/>
                </w:tcPr>
                <w:p>
                  <w:pPr>
                    <w:pStyle w:val="68"/>
                    <w:keepNext w:val="0"/>
                    <w:keepLines w:val="0"/>
                    <w:suppressLineNumbers w:val="0"/>
                    <w:spacing w:before="0" w:beforeAutospacing="0" w:after="0" w:afterAutospacing="0" w:line="240" w:lineRule="exact"/>
                    <w:ind w:left="0" w:right="0"/>
                    <w:rPr>
                      <w:rFonts w:hint="default"/>
                      <w:sz w:val="18"/>
                      <w:szCs w:val="18"/>
                    </w:rPr>
                  </w:pPr>
                  <w:r>
                    <w:rPr>
                      <w:rFonts w:hint="eastAsia"/>
                      <w:sz w:val="18"/>
                      <w:szCs w:val="18"/>
                    </w:rPr>
                    <w:t>道路长度200m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7" w:hRule="atLeast"/>
                <w:jc w:val="center"/>
              </w:trPr>
              <w:tc>
                <w:tcPr>
                  <w:tcW w:w="1332" w:type="dxa"/>
                  <w:vMerge w:val="restart"/>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堆场</w:t>
                  </w:r>
                </w:p>
              </w:tc>
              <w:tc>
                <w:tcPr>
                  <w:tcW w:w="1495" w:type="dxa"/>
                  <w:vMerge w:val="restart"/>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装卸扬尘</w:t>
                  </w:r>
                </w:p>
              </w:tc>
              <w:tc>
                <w:tcPr>
                  <w:tcW w:w="733" w:type="dxa"/>
                  <w:vMerge w:val="continue"/>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p>
              </w:tc>
              <w:tc>
                <w:tcPr>
                  <w:tcW w:w="1118" w:type="dxa"/>
                  <w:vMerge w:val="restart"/>
                  <w:vAlign w:val="center"/>
                </w:tcPr>
                <w:p>
                  <w:pPr>
                    <w:pStyle w:val="68"/>
                    <w:keepNext w:val="0"/>
                    <w:keepLines w:val="0"/>
                    <w:suppressLineNumbers w:val="0"/>
                    <w:spacing w:before="0" w:beforeAutospacing="0" w:after="0" w:afterAutospacing="0" w:line="240" w:lineRule="exact"/>
                    <w:ind w:left="0" w:right="0"/>
                    <w:jc w:val="center"/>
                    <w:rPr>
                      <w:rFonts w:hint="default"/>
                      <w:spacing w:val="-1"/>
                      <w:sz w:val="18"/>
                      <w:szCs w:val="18"/>
                    </w:rPr>
                  </w:pPr>
                  <w:r>
                    <w:rPr>
                      <w:rFonts w:hint="eastAsia"/>
                      <w:sz w:val="18"/>
                      <w:szCs w:val="18"/>
                    </w:rPr>
                    <w:t>0.64</w:t>
                  </w:r>
                </w:p>
              </w:tc>
              <w:tc>
                <w:tcPr>
                  <w:tcW w:w="1032"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原料堆场</w:t>
                  </w:r>
                </w:p>
              </w:tc>
              <w:tc>
                <w:tcPr>
                  <w:tcW w:w="2791" w:type="dxa"/>
                  <w:vAlign w:val="center"/>
                </w:tcPr>
                <w:p>
                  <w:pPr>
                    <w:pStyle w:val="68"/>
                    <w:keepNext w:val="0"/>
                    <w:keepLines w:val="0"/>
                    <w:suppressLineNumbers w:val="0"/>
                    <w:spacing w:before="0" w:beforeAutospacing="0" w:after="0" w:afterAutospacing="0" w:line="240" w:lineRule="exact"/>
                    <w:ind w:left="0" w:right="0"/>
                    <w:jc w:val="center"/>
                    <w:rPr>
                      <w:rFonts w:hint="default"/>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等效半径：11.28m，堆高4m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7" w:hRule="atLeast"/>
                <w:jc w:val="center"/>
              </w:trPr>
              <w:tc>
                <w:tcPr>
                  <w:tcW w:w="1332" w:type="dxa"/>
                  <w:vMerge w:val="continue"/>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p>
              </w:tc>
              <w:tc>
                <w:tcPr>
                  <w:tcW w:w="1495" w:type="dxa"/>
                  <w:vMerge w:val="continue"/>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p>
              </w:tc>
              <w:tc>
                <w:tcPr>
                  <w:tcW w:w="733" w:type="dxa"/>
                  <w:vMerge w:val="continue"/>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p>
              </w:tc>
              <w:tc>
                <w:tcPr>
                  <w:tcW w:w="1118" w:type="dxa"/>
                  <w:vMerge w:val="continue"/>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p>
              </w:tc>
              <w:tc>
                <w:tcPr>
                  <w:tcW w:w="1032"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成品堆场</w:t>
                  </w:r>
                </w:p>
              </w:tc>
              <w:tc>
                <w:tcPr>
                  <w:tcW w:w="2791" w:type="dxa"/>
                  <w:vAlign w:val="center"/>
                </w:tcPr>
                <w:p>
                  <w:pPr>
                    <w:pStyle w:val="68"/>
                    <w:keepNext w:val="0"/>
                    <w:keepLines w:val="0"/>
                    <w:suppressLineNumbers w:val="0"/>
                    <w:spacing w:before="0" w:beforeAutospacing="0" w:after="0" w:afterAutospacing="0" w:line="240" w:lineRule="exact"/>
                    <w:ind w:left="0" w:right="0"/>
                    <w:jc w:val="center"/>
                    <w:rPr>
                      <w:rFonts w:hint="default"/>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等效半径：17.84m，堆高2m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9" w:hRule="atLeast"/>
                <w:jc w:val="center"/>
              </w:trPr>
              <w:tc>
                <w:tcPr>
                  <w:tcW w:w="1332"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破碎、筛分区</w:t>
                  </w:r>
                </w:p>
              </w:tc>
              <w:tc>
                <w:tcPr>
                  <w:tcW w:w="1495" w:type="dxa"/>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default"/>
                      <w:sz w:val="18"/>
                      <w:szCs w:val="18"/>
                    </w:rPr>
                    <w:t>破碎、筛分粉尘</w:t>
                  </w:r>
                </w:p>
              </w:tc>
              <w:tc>
                <w:tcPr>
                  <w:tcW w:w="733" w:type="dxa"/>
                  <w:vMerge w:val="continue"/>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p>
              </w:tc>
              <w:tc>
                <w:tcPr>
                  <w:tcW w:w="1118" w:type="dxa"/>
                  <w:vAlign w:val="center"/>
                </w:tcPr>
                <w:p>
                  <w:pPr>
                    <w:pStyle w:val="68"/>
                    <w:keepNext w:val="0"/>
                    <w:keepLines w:val="0"/>
                    <w:suppressLineNumbers w:val="0"/>
                    <w:spacing w:before="0" w:beforeAutospacing="0" w:after="0" w:afterAutospacing="0" w:line="240" w:lineRule="exact"/>
                    <w:ind w:left="0" w:right="0"/>
                    <w:jc w:val="center"/>
                    <w:rPr>
                      <w:rFonts w:hint="eastAsia" w:eastAsia="宋体"/>
                      <w:sz w:val="18"/>
                      <w:szCs w:val="18"/>
                      <w:lang w:eastAsia="zh-CN"/>
                    </w:rPr>
                  </w:pPr>
                  <w:r>
                    <w:rPr>
                      <w:rFonts w:hint="eastAsia"/>
                      <w:sz w:val="18"/>
                      <w:szCs w:val="18"/>
                    </w:rPr>
                    <w:t>0.9</w:t>
                  </w:r>
                  <w:r>
                    <w:rPr>
                      <w:rFonts w:hint="eastAsia"/>
                      <w:sz w:val="18"/>
                      <w:szCs w:val="18"/>
                      <w:lang w:val="en-US" w:eastAsia="zh-CN"/>
                    </w:rPr>
                    <w:t>6</w:t>
                  </w:r>
                </w:p>
              </w:tc>
              <w:tc>
                <w:tcPr>
                  <w:tcW w:w="3823" w:type="dxa"/>
                  <w:gridSpan w:val="2"/>
                  <w:vAlign w:val="center"/>
                </w:tcPr>
                <w:p>
                  <w:pPr>
                    <w:pStyle w:val="68"/>
                    <w:keepNext w:val="0"/>
                    <w:keepLines w:val="0"/>
                    <w:suppressLineNumbers w:val="0"/>
                    <w:spacing w:before="0" w:beforeAutospacing="0" w:after="0" w:afterAutospacing="0" w:line="240" w:lineRule="exact"/>
                    <w:ind w:left="0" w:right="0"/>
                    <w:jc w:val="both"/>
                    <w:rPr>
                      <w:rFonts w:hint="default"/>
                      <w:sz w:val="18"/>
                      <w:szCs w:val="18"/>
                    </w:rPr>
                  </w:pPr>
                  <w:r>
                    <w:rPr>
                      <w:rFonts w:hint="eastAsia"/>
                      <w:sz w:val="18"/>
                      <w:szCs w:val="18"/>
                    </w:rPr>
                    <w:t>破碎机、振动筛距离地面高度约4m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560" w:type="dxa"/>
                  <w:gridSpan w:val="3"/>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default"/>
                      <w:sz w:val="18"/>
                      <w:szCs w:val="18"/>
                    </w:rPr>
                    <w:t>合计</w:t>
                  </w:r>
                </w:p>
              </w:tc>
              <w:tc>
                <w:tcPr>
                  <w:tcW w:w="1118" w:type="dxa"/>
                  <w:vAlign w:val="center"/>
                </w:tcPr>
                <w:p>
                  <w:pPr>
                    <w:pStyle w:val="68"/>
                    <w:keepNext w:val="0"/>
                    <w:keepLines w:val="0"/>
                    <w:suppressLineNumbers w:val="0"/>
                    <w:spacing w:before="0" w:beforeAutospacing="0" w:after="0" w:afterAutospacing="0" w:line="240" w:lineRule="exact"/>
                    <w:ind w:left="0" w:right="0"/>
                    <w:jc w:val="center"/>
                    <w:rPr>
                      <w:rFonts w:hint="eastAsia" w:eastAsia="宋体"/>
                      <w:sz w:val="18"/>
                      <w:szCs w:val="18"/>
                      <w:lang w:val="en-US" w:eastAsia="zh-CN"/>
                    </w:rPr>
                  </w:pPr>
                  <w:r>
                    <w:rPr>
                      <w:rFonts w:hint="eastAsia"/>
                      <w:sz w:val="18"/>
                      <w:szCs w:val="18"/>
                    </w:rPr>
                    <w:t>1.6</w:t>
                  </w:r>
                  <w:r>
                    <w:rPr>
                      <w:rFonts w:hint="eastAsia"/>
                      <w:sz w:val="18"/>
                      <w:szCs w:val="18"/>
                      <w:lang w:val="en-US" w:eastAsia="zh-CN"/>
                    </w:rPr>
                    <w:t>2</w:t>
                  </w:r>
                </w:p>
              </w:tc>
              <w:tc>
                <w:tcPr>
                  <w:tcW w:w="3823" w:type="dxa"/>
                  <w:gridSpan w:val="2"/>
                  <w:vAlign w:val="center"/>
                </w:tcPr>
                <w:p>
                  <w:pPr>
                    <w:pStyle w:val="68"/>
                    <w:keepNext w:val="0"/>
                    <w:keepLines w:val="0"/>
                    <w:suppressLineNumbers w:val="0"/>
                    <w:spacing w:before="0" w:beforeAutospacing="0" w:after="0" w:afterAutospacing="0" w:line="240" w:lineRule="exact"/>
                    <w:ind w:left="0" w:right="0"/>
                    <w:jc w:val="center"/>
                    <w:rPr>
                      <w:rFonts w:hint="default"/>
                      <w:sz w:val="18"/>
                      <w:szCs w:val="18"/>
                    </w:rPr>
                  </w:pPr>
                  <w:r>
                    <w:rPr>
                      <w:rFonts w:hint="eastAsia"/>
                      <w:sz w:val="18"/>
                      <w:szCs w:val="18"/>
                    </w:rPr>
                    <w:t>/</w:t>
                  </w:r>
                </w:p>
              </w:tc>
            </w:tr>
          </w:tbl>
          <w:p>
            <w:pPr>
              <w:pStyle w:val="1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由上表可知，项目年无组织</w:t>
            </w:r>
            <w:r>
              <w:rPr>
                <w:rFonts w:hint="eastAsia" w:ascii="Times New Roman" w:hAnsi="Times New Roman"/>
              </w:rPr>
              <w:t>粉尘排放</w:t>
            </w:r>
            <w:r>
              <w:rPr>
                <w:rFonts w:hint="default" w:ascii="Times New Roman" w:hAnsi="Times New Roman"/>
              </w:rPr>
              <w:t>速率为</w:t>
            </w:r>
            <w:r>
              <w:rPr>
                <w:rFonts w:hint="eastAsia" w:ascii="Times New Roman" w:hAnsi="Times New Roman"/>
              </w:rPr>
              <w:t>1.6</w:t>
            </w:r>
            <w:r>
              <w:rPr>
                <w:rFonts w:hint="eastAsia" w:ascii="Times New Roman" w:hAnsi="Times New Roman"/>
                <w:lang w:val="en-US" w:eastAsia="zh-CN"/>
              </w:rPr>
              <w:t>2</w:t>
            </w:r>
            <w:r>
              <w:rPr>
                <w:rFonts w:hint="default" w:ascii="Times New Roman" w:hAnsi="Times New Roman"/>
              </w:rPr>
              <w:t>kg/h</w:t>
            </w:r>
            <w:r>
              <w:rPr>
                <w:rFonts w:hint="eastAsia" w:ascii="Times New Roman" w:hAnsi="Times New Roman"/>
              </w:rPr>
              <w:t>，项目年生产300天，每日生产时间为10h，即年排放量为</w:t>
            </w:r>
            <w:r>
              <w:rPr>
                <w:rFonts w:hint="eastAsia" w:ascii="Times New Roman" w:hAnsi="Times New Roman"/>
                <w:lang w:eastAsia="zh-CN"/>
              </w:rPr>
              <w:t>4.86</w:t>
            </w:r>
            <w:r>
              <w:rPr>
                <w:rFonts w:hint="eastAsia" w:ascii="Times New Roman" w:hAnsi="Times New Roman"/>
              </w:rPr>
              <w:t>t。</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2</w:t>
            </w:r>
            <w:r>
              <w:rPr>
                <w:rFonts w:hint="default" w:ascii="Times New Roman" w:hAnsi="Times New Roman" w:eastAsia="黑体"/>
                <w:b/>
                <w:bCs/>
              </w:rPr>
              <w:t>.2废气污染防治措施及可行性分析</w:t>
            </w:r>
          </w:p>
          <w:p>
            <w:pPr>
              <w:pStyle w:val="4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firstLine="480" w:firstLineChars="200"/>
              <w:textAlignment w:val="auto"/>
              <w:rPr>
                <w:rFonts w:hint="default" w:ascii="Times New Roman" w:hAnsi="Times New Roman" w:cs="Times New Roman"/>
              </w:rPr>
            </w:pPr>
            <w:r>
              <w:rPr>
                <w:rFonts w:hint="eastAsia" w:ascii="Times New Roman" w:hAnsi="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堆场抑尘</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①原料堆场</w:t>
            </w:r>
          </w:p>
          <w:p>
            <w:pPr>
              <w:pStyle w:val="4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firstLine="480" w:firstLineChars="200"/>
              <w:textAlignment w:val="auto"/>
              <w:rPr>
                <w:rFonts w:hint="default" w:ascii="Times New Roman" w:hAnsi="Times New Roman"/>
                <w:lang w:eastAsia="zh-CN"/>
              </w:rPr>
            </w:pPr>
            <w:r>
              <w:rPr>
                <w:rFonts w:hint="default" w:ascii="Times New Roman" w:hAnsi="Times New Roman"/>
                <w:lang w:eastAsia="zh-CN"/>
              </w:rPr>
              <w:t>Ⅰ、本项目使用的原料主要为大块长石、花岗岩矿渣石料，物料颗粒大，不易产生粉尘；</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Ⅱ</w:t>
            </w:r>
            <w:r>
              <w:rPr>
                <w:rFonts w:hint="default" w:ascii="Times New Roman" w:hAnsi="Times New Roman" w:cs="Times New Roman"/>
                <w:lang w:eastAsia="zh-CN"/>
              </w:rPr>
              <w:t>、</w:t>
            </w:r>
            <w:r>
              <w:rPr>
                <w:rFonts w:hint="default" w:ascii="Times New Roman" w:hAnsi="Times New Roman" w:cs="Times New Roman"/>
              </w:rPr>
              <w:t>原料含水率为10%，含水率较高，不易产生粉尘；</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Ⅲ</w:t>
            </w:r>
            <w:r>
              <w:rPr>
                <w:rFonts w:hint="default" w:ascii="Times New Roman" w:hAnsi="Times New Roman" w:cs="Times New Roman"/>
                <w:lang w:eastAsia="zh-CN"/>
              </w:rPr>
              <w:t>、</w:t>
            </w:r>
            <w:r>
              <w:rPr>
                <w:rFonts w:hint="default" w:ascii="Times New Roman" w:hAnsi="Times New Roman" w:cs="Times New Roman"/>
              </w:rPr>
              <w:t>原料堆场采取喷雾抑尘，原料堆场采取密闭控制措施在堆场四周设置10个喷嘴，喷水强度为0.5L/min·个；</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Ⅳ</w:t>
            </w:r>
            <w:r>
              <w:rPr>
                <w:rFonts w:hint="default" w:ascii="Times New Roman" w:hAnsi="Times New Roman" w:cs="Times New Roman"/>
                <w:lang w:eastAsia="zh-CN"/>
              </w:rPr>
              <w:t>、</w:t>
            </w:r>
            <w:r>
              <w:rPr>
                <w:rFonts w:hint="default" w:ascii="Times New Roman" w:hAnsi="Times New Roman" w:cs="Times New Roman"/>
              </w:rPr>
              <w:t>原料卸料过程中洒水抑尘，减少粉尘排放。</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②成品堆场</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Ⅰ</w:t>
            </w:r>
            <w:r>
              <w:rPr>
                <w:rFonts w:hint="default" w:ascii="Times New Roman" w:hAnsi="Times New Roman" w:cs="Times New Roman"/>
                <w:lang w:eastAsia="zh-CN"/>
              </w:rPr>
              <w:t>、</w:t>
            </w:r>
            <w:r>
              <w:rPr>
                <w:rFonts w:hint="default" w:ascii="Times New Roman" w:hAnsi="Times New Roman" w:cs="Times New Roman"/>
              </w:rPr>
              <w:t>成品碎石和成品细砂的含水率为10%，含水率较高，不易产生粉尘；</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Ⅱ</w:t>
            </w:r>
            <w:r>
              <w:rPr>
                <w:rFonts w:hint="default" w:ascii="Times New Roman" w:hAnsi="Times New Roman" w:cs="Times New Roman"/>
                <w:lang w:eastAsia="zh-CN"/>
              </w:rPr>
              <w:t>、</w:t>
            </w:r>
            <w:r>
              <w:rPr>
                <w:rFonts w:hint="default" w:ascii="Times New Roman" w:hAnsi="Times New Roman" w:cs="Times New Roman"/>
              </w:rPr>
              <w:t>成品堆场采取密闭控制措施；</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cs="Times New Roman"/>
              </w:rPr>
            </w:pPr>
            <w:r>
              <w:rPr>
                <w:rFonts w:hint="default" w:ascii="Times New Roman" w:hAnsi="Times New Roman" w:cs="Times New Roman"/>
              </w:rPr>
              <w:t>Ⅲ</w:t>
            </w:r>
            <w:r>
              <w:rPr>
                <w:rFonts w:hint="default" w:ascii="Times New Roman" w:hAnsi="Times New Roman" w:cs="Times New Roman"/>
                <w:lang w:eastAsia="zh-CN"/>
              </w:rPr>
              <w:t>、</w:t>
            </w:r>
            <w:r>
              <w:rPr>
                <w:rFonts w:hint="default" w:ascii="Times New Roman" w:hAnsi="Times New Roman" w:cs="Times New Roman"/>
              </w:rPr>
              <w:t>产品外售装卸过程中降低高差，减少粉尘排放。</w:t>
            </w:r>
          </w:p>
          <w:p>
            <w:pPr>
              <w:pStyle w:val="41"/>
              <w:keepNext w:val="0"/>
              <w:keepLines w:val="0"/>
              <w:numPr>
                <w:ilvl w:val="0"/>
                <w:numId w:val="0"/>
              </w:numPr>
              <w:suppressLineNumbers w:val="0"/>
              <w:adjustRightInd w:val="0"/>
              <w:snapToGrid w:val="0"/>
              <w:spacing w:before="0" w:beforeAutospacing="0" w:after="0" w:afterAutospacing="0" w:line="440" w:lineRule="exact"/>
              <w:ind w:left="480" w:leftChars="200" w:right="0" w:rightChars="0"/>
              <w:rPr>
                <w:rFonts w:hint="default" w:ascii="Times New Roman" w:hAnsi="Times New Roman"/>
              </w:rPr>
            </w:pPr>
            <w:r>
              <w:rPr>
                <w:rFonts w:hint="eastAsia" w:ascii="Times New Roman" w:hAnsi="Times New Roman"/>
                <w:lang w:eastAsia="zh-CN"/>
              </w:rPr>
              <w:t>（</w:t>
            </w:r>
            <w:r>
              <w:rPr>
                <w:rFonts w:hint="eastAsia" w:ascii="Times New Roman" w:hAnsi="Times New Roman"/>
                <w:lang w:val="en-US" w:eastAsia="zh-CN"/>
              </w:rPr>
              <w:t>2</w:t>
            </w:r>
            <w:r>
              <w:rPr>
                <w:rFonts w:hint="eastAsia" w:ascii="Times New Roman" w:hAnsi="Times New Roman"/>
                <w:lang w:eastAsia="zh-CN"/>
              </w:rPr>
              <w:t>）</w:t>
            </w:r>
            <w:r>
              <w:rPr>
                <w:rFonts w:hint="default" w:ascii="Times New Roman" w:hAnsi="Times New Roman"/>
              </w:rPr>
              <w:t>生产过程中</w:t>
            </w:r>
            <w:r>
              <w:rPr>
                <w:rFonts w:hint="eastAsia" w:ascii="Times New Roman" w:hAnsi="Times New Roman"/>
              </w:rPr>
              <w:t>抑尘措施</w:t>
            </w:r>
          </w:p>
          <w:p>
            <w:pPr>
              <w:pStyle w:val="1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生产过程中</w:t>
            </w:r>
            <w:r>
              <w:rPr>
                <w:rFonts w:hint="eastAsia" w:ascii="Times New Roman" w:hAnsi="Times New Roman"/>
              </w:rPr>
              <w:t>粉尘主要来源于</w:t>
            </w:r>
            <w:r>
              <w:rPr>
                <w:rFonts w:hint="default" w:ascii="Times New Roman" w:hAnsi="Times New Roman"/>
              </w:rPr>
              <w:t>破碎、筛分</w:t>
            </w:r>
            <w:r>
              <w:rPr>
                <w:rFonts w:hint="eastAsia" w:ascii="Times New Roman" w:hAnsi="Times New Roman"/>
              </w:rPr>
              <w:t>、整形过程产生的粉尘。破碎、筛分、整形过程中采取围挡及水喷淋抑尘措施：①在破碎机</w:t>
            </w:r>
            <w:r>
              <w:rPr>
                <w:rFonts w:hint="eastAsia" w:ascii="Times New Roman" w:hAnsi="Times New Roman"/>
                <w:lang w:eastAsia="zh-CN"/>
              </w:rPr>
              <w:t>、</w:t>
            </w:r>
            <w:r>
              <w:rPr>
                <w:rFonts w:hint="eastAsia" w:ascii="Times New Roman" w:hAnsi="Times New Roman"/>
                <w:lang w:val="en-US" w:eastAsia="zh-CN"/>
              </w:rPr>
              <w:t>整形机</w:t>
            </w:r>
            <w:r>
              <w:rPr>
                <w:rFonts w:hint="eastAsia" w:ascii="Times New Roman" w:hAnsi="Times New Roman"/>
              </w:rPr>
              <w:t>的进料口、振动筛筛面、周边设置围挡；②</w:t>
            </w:r>
            <w:r>
              <w:rPr>
                <w:rFonts w:hint="default" w:ascii="Times New Roman" w:hAnsi="Times New Roman"/>
              </w:rPr>
              <w:t>破碎</w:t>
            </w:r>
            <w:r>
              <w:rPr>
                <w:rFonts w:hint="eastAsia" w:ascii="Times New Roman" w:hAnsi="Times New Roman"/>
              </w:rPr>
              <w:t>机、振动筛、整形机</w:t>
            </w:r>
            <w:r>
              <w:rPr>
                <w:rFonts w:hint="default" w:ascii="Times New Roman" w:hAnsi="Times New Roman"/>
              </w:rPr>
              <w:t>采取围挡及水喷淋措施抑尘，在破碎机</w:t>
            </w:r>
            <w:r>
              <w:rPr>
                <w:rFonts w:hint="eastAsia" w:ascii="Times New Roman" w:hAnsi="Times New Roman"/>
                <w:lang w:eastAsia="zh-CN"/>
              </w:rPr>
              <w:t>、</w:t>
            </w:r>
            <w:r>
              <w:rPr>
                <w:rFonts w:hint="eastAsia" w:ascii="Times New Roman" w:hAnsi="Times New Roman"/>
                <w:lang w:val="en-US" w:eastAsia="zh-CN"/>
              </w:rPr>
              <w:t>整形机</w:t>
            </w:r>
            <w:r>
              <w:rPr>
                <w:rFonts w:hint="default" w:ascii="Times New Roman" w:hAnsi="Times New Roman"/>
              </w:rPr>
              <w:t>进料口上方、设备内</w:t>
            </w:r>
            <w:r>
              <w:rPr>
                <w:rFonts w:hint="eastAsia" w:ascii="Times New Roman" w:hAnsi="Times New Roman"/>
              </w:rPr>
              <w:t>、</w:t>
            </w:r>
            <w:r>
              <w:rPr>
                <w:rFonts w:hint="default" w:ascii="Times New Roman" w:hAnsi="Times New Roman"/>
              </w:rPr>
              <w:t>振动筛上方分别设置喷淋水管，</w:t>
            </w:r>
            <w:r>
              <w:rPr>
                <w:rFonts w:hint="eastAsia" w:ascii="Times New Roman" w:hAnsi="Times New Roman"/>
              </w:rPr>
              <w:t>为保证有效抑尘，喷淋水量为0.03m</w:t>
            </w:r>
            <w:r>
              <w:rPr>
                <w:rFonts w:hint="eastAsia" w:ascii="Times New Roman" w:hAnsi="Times New Roman"/>
                <w:vertAlign w:val="superscript"/>
              </w:rPr>
              <w:t>3</w:t>
            </w:r>
            <w:r>
              <w:rPr>
                <w:rFonts w:hint="eastAsia" w:ascii="Times New Roman" w:hAnsi="Times New Roman"/>
              </w:rPr>
              <w:t>/t物料。</w:t>
            </w:r>
            <w:r>
              <w:rPr>
                <w:rFonts w:hint="default" w:ascii="Times New Roman" w:hAnsi="Times New Roman"/>
              </w:rPr>
              <w:t>喷淋水管朝向破碎</w:t>
            </w:r>
            <w:r>
              <w:rPr>
                <w:rFonts w:hint="eastAsia" w:ascii="Times New Roman" w:hAnsi="Times New Roman"/>
              </w:rPr>
              <w:t>、</w:t>
            </w:r>
            <w:r>
              <w:rPr>
                <w:rFonts w:hint="default" w:ascii="Times New Roman" w:hAnsi="Times New Roman"/>
              </w:rPr>
              <w:t>筛分</w:t>
            </w:r>
            <w:r>
              <w:rPr>
                <w:rFonts w:hint="eastAsia" w:ascii="Times New Roman" w:hAnsi="Times New Roman"/>
              </w:rPr>
              <w:t>及整形</w:t>
            </w:r>
            <w:r>
              <w:rPr>
                <w:rFonts w:hint="default" w:ascii="Times New Roman" w:hAnsi="Times New Roman"/>
              </w:rPr>
              <w:t>作业区，并与破碎作业端</w:t>
            </w:r>
            <w:r>
              <w:rPr>
                <w:rFonts w:hint="eastAsia" w:ascii="Times New Roman" w:hAnsi="Times New Roman"/>
                <w:lang w:eastAsia="zh-CN"/>
              </w:rPr>
              <w:t>、</w:t>
            </w:r>
            <w:r>
              <w:rPr>
                <w:rFonts w:hint="default" w:ascii="Times New Roman" w:hAnsi="Times New Roman"/>
              </w:rPr>
              <w:t>筛面</w:t>
            </w:r>
            <w:r>
              <w:rPr>
                <w:rFonts w:hint="eastAsia" w:ascii="Times New Roman" w:hAnsi="Times New Roman"/>
                <w:lang w:eastAsia="zh-CN"/>
              </w:rPr>
              <w:t>、</w:t>
            </w:r>
            <w:r>
              <w:rPr>
                <w:rFonts w:hint="eastAsia" w:ascii="Times New Roman" w:hAnsi="Times New Roman"/>
                <w:lang w:val="en-US" w:eastAsia="zh-CN"/>
              </w:rPr>
              <w:t>整形区</w:t>
            </w:r>
            <w:r>
              <w:rPr>
                <w:rFonts w:hint="default" w:ascii="Times New Roman" w:hAnsi="Times New Roman"/>
              </w:rPr>
              <w:t>保持一定距离，保证喷淋水能覆盖破碎、筛分</w:t>
            </w:r>
            <w:r>
              <w:rPr>
                <w:rFonts w:hint="eastAsia" w:ascii="Times New Roman" w:hAnsi="Times New Roman"/>
              </w:rPr>
              <w:t>、整形</w:t>
            </w:r>
            <w:r>
              <w:rPr>
                <w:rFonts w:hint="default" w:ascii="Times New Roman" w:hAnsi="Times New Roman"/>
              </w:rPr>
              <w:t>作业区</w:t>
            </w:r>
            <w:r>
              <w:rPr>
                <w:rFonts w:hint="eastAsia" w:ascii="Times New Roman" w:hAnsi="Times New Roman"/>
              </w:rPr>
              <w:t>。</w:t>
            </w:r>
          </w:p>
          <w:p>
            <w:pPr>
              <w:pStyle w:val="11"/>
              <w:keepNext w:val="0"/>
              <w:keepLines w:val="0"/>
              <w:numPr>
                <w:ilvl w:val="0"/>
                <w:numId w:val="0"/>
              </w:numPr>
              <w:suppressLineNumbers w:val="0"/>
              <w:spacing w:before="0" w:beforeAutospacing="0" w:after="0" w:afterAutospacing="0" w:line="440" w:lineRule="exact"/>
              <w:ind w:left="480" w:leftChars="200" w:right="0" w:rightChars="0"/>
              <w:rPr>
                <w:rFonts w:hint="default" w:ascii="Times New Roman" w:hAnsi="Times New Roman"/>
              </w:rPr>
            </w:pPr>
            <w:r>
              <w:rPr>
                <w:rFonts w:hint="eastAsia" w:ascii="Times New Roman" w:hAnsi="Times New Roman"/>
                <w:lang w:eastAsia="zh-CN"/>
              </w:rPr>
              <w:t>（</w:t>
            </w:r>
            <w:r>
              <w:rPr>
                <w:rFonts w:hint="eastAsia" w:ascii="Times New Roman" w:hAnsi="Times New Roman"/>
                <w:lang w:val="en-US" w:eastAsia="zh-CN"/>
              </w:rPr>
              <w:t>3</w:t>
            </w:r>
            <w:r>
              <w:rPr>
                <w:rFonts w:hint="eastAsia" w:ascii="Times New Roman" w:hAnsi="Times New Roman"/>
                <w:lang w:eastAsia="zh-CN"/>
              </w:rPr>
              <w:t>）</w:t>
            </w:r>
            <w:r>
              <w:rPr>
                <w:rFonts w:hint="eastAsia" w:ascii="Times New Roman" w:hAnsi="Times New Roman"/>
              </w:rPr>
              <w:t>道路扬尘。</w:t>
            </w:r>
          </w:p>
          <w:p>
            <w:pPr>
              <w:pStyle w:val="11"/>
              <w:keepNext w:val="0"/>
              <w:keepLines w:val="0"/>
              <w:suppressLineNumbers w:val="0"/>
              <w:spacing w:before="0" w:beforeAutospacing="0" w:after="0" w:afterAutospacing="0" w:line="440" w:lineRule="exact"/>
              <w:ind w:left="480" w:leftChars="200" w:right="0" w:firstLine="0" w:firstLineChars="0"/>
              <w:rPr>
                <w:rFonts w:hint="default" w:ascii="Times New Roman" w:hAnsi="Times New Roman"/>
              </w:rPr>
            </w:pPr>
            <w:r>
              <w:rPr>
                <w:rFonts w:hint="eastAsia" w:ascii="Times New Roman" w:hAnsi="Times New Roman"/>
              </w:rPr>
              <w:t>对道路采取洒水抑尘</w:t>
            </w:r>
            <w:r>
              <w:rPr>
                <w:rFonts w:hint="default" w:ascii="Times New Roman" w:hAnsi="Times New Roman"/>
              </w:rPr>
              <w:t>，</w:t>
            </w:r>
            <w:r>
              <w:rPr>
                <w:rFonts w:hint="eastAsia" w:ascii="Times New Roman" w:hAnsi="Times New Roman"/>
              </w:rPr>
              <w:t>洒水量为1.5L/m</w:t>
            </w:r>
            <w:r>
              <w:rPr>
                <w:rFonts w:hint="eastAsia" w:ascii="Times New Roman" w:hAnsi="Times New Roman"/>
                <w:vertAlign w:val="superscript"/>
              </w:rPr>
              <w:t>2</w:t>
            </w:r>
            <w:r>
              <w:rPr>
                <w:rFonts w:hint="eastAsia" w:ascii="Times New Roman" w:hAnsi="Times New Roman"/>
              </w:rPr>
              <w:t>·次，每天洒水3次。</w:t>
            </w:r>
          </w:p>
          <w:p>
            <w:pPr>
              <w:pStyle w:val="11"/>
              <w:keepNext w:val="0"/>
              <w:keepLines w:val="0"/>
              <w:suppressLineNumbers w:val="0"/>
              <w:spacing w:before="0" w:beforeAutospacing="0" w:after="0" w:afterAutospacing="0" w:line="440" w:lineRule="exact"/>
              <w:ind w:left="0" w:right="0" w:firstLine="480"/>
              <w:rPr>
                <w:rFonts w:hint="default"/>
              </w:rPr>
            </w:pPr>
            <w:r>
              <w:rPr>
                <w:rFonts w:hint="default"/>
              </w:rPr>
              <w:t>根据《</w:t>
            </w:r>
            <w:r>
              <w:rPr>
                <w:rFonts w:hint="eastAsia"/>
              </w:rPr>
              <w:t>排污许可证申请与核发技术规范 石墨及其他非金属矿物制品制造</w:t>
            </w:r>
            <w:r>
              <w:rPr>
                <w:rFonts w:hint="default"/>
              </w:rPr>
              <w:t>》（</w:t>
            </w:r>
            <w:r>
              <w:rPr>
                <w:rFonts w:hint="eastAsia"/>
              </w:rPr>
              <w:t>HJ 1119-2020</w:t>
            </w:r>
            <w:r>
              <w:rPr>
                <w:rFonts w:hint="default"/>
              </w:rPr>
              <w:t>），湿式除尘为颗粒物污染防治的可行技术</w:t>
            </w:r>
            <w:r>
              <w:rPr>
                <w:rFonts w:hint="eastAsia"/>
              </w:rPr>
              <w:t>，本项目原料堆场、成品堆场、破碎、筛分、运输过程均采用洒水抑尘，可有效抑制运输扬尘。</w:t>
            </w:r>
          </w:p>
          <w:p>
            <w:pPr>
              <w:pStyle w:val="41"/>
              <w:keepNext w:val="0"/>
              <w:keepLines w:val="0"/>
              <w:suppressLineNumbers w:val="0"/>
              <w:adjustRightInd w:val="0"/>
              <w:snapToGrid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综上，采取上述措施后，粉尘</w:t>
            </w:r>
            <w:r>
              <w:rPr>
                <w:rFonts w:hint="eastAsia" w:ascii="Times New Roman" w:hAnsi="Times New Roman"/>
              </w:rPr>
              <w:t>排放可达到</w:t>
            </w:r>
            <w:r>
              <w:rPr>
                <w:rFonts w:hint="default" w:ascii="Times New Roman" w:hAnsi="Times New Roman"/>
              </w:rPr>
              <w:t>《大气污染物综合排放标准》（GB16297-1996）表2标准，措施可行。</w:t>
            </w:r>
          </w:p>
          <w:p>
            <w:pPr>
              <w:pStyle w:val="41"/>
              <w:keepNext w:val="0"/>
              <w:keepLines w:val="0"/>
              <w:suppressLineNumbers w:val="0"/>
              <w:adjustRightInd w:val="0"/>
              <w:snapToGrid w:val="0"/>
              <w:spacing w:before="0" w:beforeAutospacing="0" w:after="0" w:afterAutospacing="0" w:line="440" w:lineRule="exact"/>
              <w:ind w:left="0" w:right="0" w:firstLine="0" w:firstLineChars="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2</w:t>
            </w:r>
            <w:r>
              <w:rPr>
                <w:rFonts w:hint="default" w:ascii="Times New Roman" w:hAnsi="Times New Roman" w:eastAsia="黑体"/>
                <w:b/>
                <w:bCs/>
              </w:rPr>
              <w:t>.</w:t>
            </w:r>
            <w:r>
              <w:rPr>
                <w:rFonts w:hint="eastAsia" w:ascii="Times New Roman" w:hAnsi="Times New Roman" w:eastAsia="黑体"/>
                <w:b/>
                <w:bCs/>
              </w:rPr>
              <w:t>3环境防护距离</w:t>
            </w:r>
          </w:p>
          <w:p>
            <w:pPr>
              <w:pStyle w:val="1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eastAsia" w:ascii="Times New Roman" w:hAnsi="Times New Roman"/>
              </w:rPr>
              <w:t>（1）大气环境防护距离</w:t>
            </w:r>
          </w:p>
          <w:p>
            <w:pPr>
              <w:pStyle w:val="1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eastAsia" w:ascii="Times New Roman" w:hAnsi="Times New Roman"/>
              </w:rPr>
              <w:t>大气环境防护距离是为保护人群健康，减少正常排放条件下大气污染物对居住区的环境影响，在项目厂界以外设置的环境防护距离。本评价根据《环境影响评价导则大气环境》(HJ2.2-2018)推荐的 AERSCREEN模型的估算结果项目各废气污染源正常排放时，废气排放源中污染因子的最大地面浓度占标率小于10%，厂界外大气污染物短期贡献浓度均没有超过环境质量浓度限值，不需要设置大气环境防护距离。</w:t>
            </w:r>
          </w:p>
          <w:p>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rPr>
            </w:pPr>
            <w:r>
              <w:rPr>
                <w:rFonts w:hint="eastAsia" w:ascii="Times New Roman" w:hAnsi="Times New Roman"/>
              </w:rPr>
              <w:t>（2）卫生防护距离</w:t>
            </w:r>
          </w:p>
          <w:p>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rPr>
            </w:pPr>
            <w:r>
              <w:rPr>
                <w:rFonts w:hint="eastAsia" w:ascii="Times New Roman" w:hAnsi="Times New Roman"/>
              </w:rPr>
              <w:t>①卫生防护距离初值计算</w:t>
            </w:r>
          </w:p>
          <w:p>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rPr>
            </w:pPr>
            <w:r>
              <w:rPr>
                <w:rFonts w:hint="eastAsia" w:ascii="Times New Roman" w:hAnsi="Times New Roman"/>
              </w:rPr>
              <w:t>本评价依据《大气有害物质无组织排放卫生防护距离推导技术导则》（GB/T39499-2020）中规定的方法及当地的污染物气象条件来计算卫生防护距离初值，其计算公式如下：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rPr>
            </w:pPr>
            <w:r>
              <w:rPr>
                <w:rFonts w:hint="default" w:ascii="Times New Roman" w:hAnsi="Times New Roman"/>
                <w:position w:val="-30"/>
              </w:rPr>
              <w:drawing>
                <wp:inline distT="0" distB="0" distL="0" distR="0">
                  <wp:extent cx="1813560" cy="449580"/>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13560" cy="44958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rPr>
            </w:pPr>
            <w:r>
              <w:rPr>
                <w:rFonts w:hint="default" w:ascii="Times New Roman" w:hAnsi="Times New Roman"/>
              </w:rPr>
              <w:t>式中：Q</w:t>
            </w:r>
            <w:r>
              <w:rPr>
                <w:rFonts w:hint="default" w:ascii="Times New Roman" w:hAnsi="Times New Roman"/>
                <w:vertAlign w:val="subscript"/>
              </w:rPr>
              <w:t>c</w:t>
            </w:r>
            <w:r>
              <w:rPr>
                <w:rFonts w:hint="default" w:ascii="Times New Roman" w:hAnsi="Times New Roman"/>
              </w:rPr>
              <w:t>—</w:t>
            </w:r>
            <w:r>
              <w:rPr>
                <w:rFonts w:hint="eastAsia" w:ascii="Times New Roman" w:hAnsi="Times New Roman"/>
              </w:rPr>
              <w:t>大气</w:t>
            </w:r>
            <w:r>
              <w:rPr>
                <w:rFonts w:hint="default" w:ascii="Times New Roman" w:hAnsi="Times New Roman"/>
              </w:rPr>
              <w:t>有害</w:t>
            </w:r>
            <w:r>
              <w:rPr>
                <w:rFonts w:hint="eastAsia" w:ascii="Times New Roman" w:hAnsi="Times New Roman"/>
              </w:rPr>
              <w:t>物质的</w:t>
            </w:r>
            <w:r>
              <w:rPr>
                <w:rFonts w:hint="default" w:ascii="Times New Roman" w:hAnsi="Times New Roman"/>
              </w:rPr>
              <w:t>无组织排放量，</w:t>
            </w:r>
            <w:r>
              <w:rPr>
                <w:rFonts w:hint="eastAsia" w:ascii="Times New Roman" w:hAnsi="Times New Roman"/>
              </w:rPr>
              <w:t>单位为</w:t>
            </w:r>
            <w:r>
              <w:rPr>
                <w:rFonts w:hint="default" w:ascii="Times New Roman" w:hAnsi="Times New Roman"/>
              </w:rPr>
              <w:t>kg/h。</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rPr>
            </w:pPr>
            <w:r>
              <w:rPr>
                <w:rFonts w:hint="default" w:ascii="Times New Roman" w:hAnsi="Times New Roman"/>
              </w:rPr>
              <w:t>C</w:t>
            </w:r>
            <w:r>
              <w:rPr>
                <w:rFonts w:hint="default" w:ascii="Times New Roman" w:hAnsi="Times New Roman"/>
                <w:vertAlign w:val="subscript"/>
              </w:rPr>
              <w:t>m</w:t>
            </w:r>
            <w:r>
              <w:rPr>
                <w:rFonts w:hint="default" w:ascii="Times New Roman" w:hAnsi="Times New Roman"/>
              </w:rPr>
              <w:t>—</w:t>
            </w:r>
            <w:r>
              <w:rPr>
                <w:rFonts w:hint="eastAsia" w:ascii="Times New Roman" w:hAnsi="Times New Roman"/>
              </w:rPr>
              <w:t>大气</w:t>
            </w:r>
            <w:r>
              <w:rPr>
                <w:rFonts w:hint="default" w:ascii="Times New Roman" w:hAnsi="Times New Roman"/>
              </w:rPr>
              <w:t>有害</w:t>
            </w:r>
            <w:r>
              <w:rPr>
                <w:rFonts w:hint="eastAsia" w:ascii="Times New Roman" w:hAnsi="Times New Roman"/>
              </w:rPr>
              <w:t>物质环境空气质量的</w:t>
            </w:r>
            <w:r>
              <w:rPr>
                <w:rFonts w:hint="default" w:ascii="Times New Roman" w:hAnsi="Times New Roman"/>
              </w:rPr>
              <w:t>标准限值，</w:t>
            </w:r>
            <w:r>
              <w:rPr>
                <w:rFonts w:hint="eastAsia" w:ascii="Times New Roman" w:hAnsi="Times New Roman"/>
              </w:rPr>
              <w:t>单位为</w:t>
            </w:r>
            <w:r>
              <w:rPr>
                <w:rFonts w:hint="default" w:ascii="Times New Roman" w:hAnsi="Times New Roman"/>
              </w:rPr>
              <w:t>mg/m</w:t>
            </w:r>
            <w:r>
              <w:rPr>
                <w:rFonts w:hint="default" w:ascii="Times New Roman" w:hAnsi="Times New Roman"/>
                <w:vertAlign w:val="superscript"/>
              </w:rPr>
              <w:t>3</w:t>
            </w:r>
            <w:r>
              <w:rPr>
                <w:rFonts w:hint="default" w:ascii="Times New Roman" w:hAnsi="Times New Roma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rPr>
            </w:pPr>
            <w:r>
              <w:rPr>
                <w:rFonts w:hint="default" w:ascii="Times New Roman" w:hAnsi="Times New Roman"/>
              </w:rPr>
              <w:t>L—</w:t>
            </w:r>
            <w:r>
              <w:rPr>
                <w:rFonts w:hint="eastAsia" w:ascii="Times New Roman" w:hAnsi="Times New Roman"/>
              </w:rPr>
              <w:t>大气</w:t>
            </w:r>
            <w:r>
              <w:rPr>
                <w:rFonts w:hint="default" w:ascii="Times New Roman" w:hAnsi="Times New Roman"/>
              </w:rPr>
              <w:t>有害</w:t>
            </w:r>
            <w:r>
              <w:rPr>
                <w:rFonts w:hint="eastAsia" w:ascii="Times New Roman" w:hAnsi="Times New Roman"/>
              </w:rPr>
              <w:t>物质卫生防护距离初值，单位为</w:t>
            </w:r>
            <w:r>
              <w:rPr>
                <w:rFonts w:hint="default" w:ascii="Times New Roman" w:hAnsi="Times New Roman"/>
              </w:rPr>
              <w:t>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rPr>
            </w:pPr>
            <w:r>
              <w:rPr>
                <w:rFonts w:hint="default" w:ascii="Times New Roman" w:hAnsi="Times New Roman"/>
              </w:rPr>
              <w:t>r—</w:t>
            </w:r>
            <w:r>
              <w:rPr>
                <w:rFonts w:hint="eastAsia" w:ascii="Times New Roman" w:hAnsi="Times New Roman"/>
              </w:rPr>
              <w:t>大气</w:t>
            </w:r>
            <w:r>
              <w:rPr>
                <w:rFonts w:hint="default" w:ascii="Times New Roman" w:hAnsi="Times New Roman"/>
              </w:rPr>
              <w:t>有害</w:t>
            </w:r>
            <w:r>
              <w:rPr>
                <w:rFonts w:hint="eastAsia" w:ascii="Times New Roman" w:hAnsi="Times New Roman"/>
              </w:rPr>
              <w:t>物质</w:t>
            </w:r>
            <w:r>
              <w:rPr>
                <w:rFonts w:hint="default" w:ascii="Times New Roman" w:hAnsi="Times New Roman"/>
              </w:rPr>
              <w:t>无组织排放源所在生产单元的等效半径，</w:t>
            </w:r>
            <w:r>
              <w:rPr>
                <w:rFonts w:hint="eastAsia" w:ascii="Times New Roman" w:hAnsi="Times New Roman"/>
              </w:rPr>
              <w:t>单位为</w:t>
            </w:r>
            <w:r>
              <w:rPr>
                <w:rFonts w:hint="default" w:ascii="Times New Roman" w:hAnsi="Times New Roman"/>
              </w:rPr>
              <w:t>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rPr>
            </w:pPr>
            <w:r>
              <w:rPr>
                <w:rFonts w:hint="default" w:ascii="Times New Roman" w:hAnsi="Times New Roman"/>
              </w:rPr>
              <w:t>A、B、C、D—</w:t>
            </w:r>
            <w:r>
              <w:rPr>
                <w:rFonts w:hint="eastAsia" w:ascii="Times New Roman" w:hAnsi="Times New Roman"/>
              </w:rPr>
              <w:t>卫生</w:t>
            </w:r>
            <w:r>
              <w:rPr>
                <w:rFonts w:hint="default" w:ascii="Times New Roman" w:hAnsi="Times New Roman"/>
              </w:rPr>
              <w:t>防护距离</w:t>
            </w:r>
            <w:r>
              <w:rPr>
                <w:rFonts w:hint="eastAsia" w:ascii="Times New Roman" w:hAnsi="Times New Roman"/>
              </w:rPr>
              <w:t>初值</w:t>
            </w:r>
            <w:r>
              <w:rPr>
                <w:rFonts w:hint="default" w:ascii="Times New Roman" w:hAnsi="Times New Roman"/>
              </w:rPr>
              <w:t>计算系数</w:t>
            </w:r>
            <w:r>
              <w:rPr>
                <w:rFonts w:hint="eastAsia" w:ascii="Times New Roman" w:hAnsi="Times New Roman"/>
              </w:rPr>
              <w:t>，无因次，根据工业企业所在地区近5年平均风速及大气污染源构成类别从</w:t>
            </w:r>
            <w:r>
              <w:rPr>
                <w:rFonts w:hint="default" w:ascii="Times New Roman" w:hAnsi="Times New Roman"/>
              </w:rPr>
              <w:t>GB/T39499-2020《</w:t>
            </w:r>
            <w:r>
              <w:rPr>
                <w:rFonts w:hint="eastAsia" w:ascii="Times New Roman" w:hAnsi="Times New Roman"/>
              </w:rPr>
              <w:t>大气有害物质无组织排放卫生防护距离推导技术导则</w:t>
            </w:r>
            <w:r>
              <w:rPr>
                <w:rFonts w:hint="default" w:ascii="Times New Roman" w:hAnsi="Times New Roman"/>
              </w:rPr>
              <w:t>》</w:t>
            </w:r>
            <w:r>
              <w:rPr>
                <w:rFonts w:hint="eastAsia" w:ascii="Times New Roman" w:hAnsi="Times New Roman"/>
              </w:rPr>
              <w:t>中表1查取。</w:t>
            </w:r>
          </w:p>
          <w:p>
            <w:pPr>
              <w:keepNext w:val="0"/>
              <w:keepLines w:val="0"/>
              <w:widowControl/>
              <w:suppressLineNumbers w:val="0"/>
              <w:spacing w:before="0" w:beforeAutospacing="0" w:after="0" w:afterAutospacing="0" w:line="420" w:lineRule="exact"/>
              <w:ind w:left="0" w:right="0" w:firstLine="480"/>
              <w:jc w:val="left"/>
              <w:rPr>
                <w:rFonts w:hint="default" w:ascii="Times New Roman" w:hAnsi="Times New Roman"/>
              </w:rPr>
            </w:pPr>
            <w:r>
              <w:rPr>
                <w:rFonts w:hint="eastAsia" w:ascii="Times New Roman" w:hAnsi="Times New Roman"/>
              </w:rPr>
              <w:t>本项目卫生防护距离初值计算</w:t>
            </w:r>
            <w:r>
              <w:rPr>
                <w:rFonts w:hint="default" w:ascii="Times New Roman" w:hAnsi="Times New Roman"/>
              </w:rPr>
              <w:t>参数选取及计算结果见下表。</w:t>
            </w:r>
          </w:p>
          <w:p>
            <w:pPr>
              <w:pStyle w:val="33"/>
              <w:keepNext w:val="0"/>
              <w:keepLines w:val="0"/>
              <w:suppressLineNumbers w:val="0"/>
              <w:spacing w:before="120" w:beforeAutospacing="0" w:after="0" w:afterAutospacing="0" w:line="440" w:lineRule="exact"/>
              <w:ind w:left="0" w:right="0" w:firstLine="422"/>
              <w:rPr>
                <w:rFonts w:hint="default" w:ascii="Times New Roman" w:hAnsi="Times New Roman"/>
                <w:b/>
                <w:bCs/>
                <w:sz w:val="21"/>
                <w:szCs w:val="21"/>
              </w:rPr>
            </w:pPr>
            <w:r>
              <w:rPr>
                <w:rFonts w:hint="eastAsia" w:ascii="Times New Roman" w:hAnsi="Times New Roman"/>
                <w:b/>
                <w:bCs/>
                <w:sz w:val="21"/>
                <w:szCs w:val="21"/>
              </w:rPr>
              <w:t>表4.2-6卫生</w:t>
            </w:r>
            <w:r>
              <w:rPr>
                <w:rFonts w:hint="default" w:ascii="Times New Roman" w:hAnsi="Times New Roman"/>
                <w:b/>
                <w:bCs/>
                <w:sz w:val="21"/>
                <w:szCs w:val="21"/>
              </w:rPr>
              <w:t>防护距离计算参数及计算结果一览表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24"/>
              <w:gridCol w:w="883"/>
              <w:gridCol w:w="1178"/>
              <w:gridCol w:w="1021"/>
              <w:gridCol w:w="738"/>
              <w:gridCol w:w="568"/>
              <w:gridCol w:w="738"/>
              <w:gridCol w:w="622"/>
              <w:gridCol w:w="622"/>
              <w:gridCol w:w="77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781" w:type="pct"/>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面源</w:t>
                  </w:r>
                </w:p>
              </w:tc>
              <w:tc>
                <w:tcPr>
                  <w:tcW w:w="521" w:type="pct"/>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污染物</w:t>
                  </w:r>
                </w:p>
              </w:tc>
              <w:tc>
                <w:tcPr>
                  <w:tcW w:w="69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C</w:t>
                  </w:r>
                  <w:r>
                    <w:rPr>
                      <w:rFonts w:hint="default" w:ascii="Times New Roman" w:hAnsi="Times New Roman"/>
                      <w:color w:val="auto"/>
                      <w:sz w:val="18"/>
                      <w:szCs w:val="18"/>
                      <w:vertAlign w:val="subscript"/>
                    </w:rPr>
                    <w:t>m</w:t>
                  </w:r>
                  <w:r>
                    <w:rPr>
                      <w:rFonts w:hint="default" w:ascii="Times New Roman" w:hAnsi="Times New Roman"/>
                      <w:color w:val="auto"/>
                      <w:sz w:val="18"/>
                      <w:szCs w:val="18"/>
                    </w:rPr>
                    <w:t>(mg/m</w:t>
                  </w:r>
                  <w:r>
                    <w:rPr>
                      <w:rFonts w:hint="default" w:ascii="Times New Roman" w:hAnsi="Times New Roman"/>
                      <w:color w:val="auto"/>
                      <w:sz w:val="18"/>
                      <w:szCs w:val="18"/>
                      <w:vertAlign w:val="superscript"/>
                    </w:rPr>
                    <w:t>3</w:t>
                  </w:r>
                  <w:r>
                    <w:rPr>
                      <w:rFonts w:hint="default" w:ascii="Times New Roman" w:hAnsi="Times New Roman"/>
                      <w:color w:val="auto"/>
                      <w:sz w:val="18"/>
                      <w:szCs w:val="18"/>
                    </w:rPr>
                    <w:t>)</w:t>
                  </w:r>
                </w:p>
              </w:tc>
              <w:tc>
                <w:tcPr>
                  <w:tcW w:w="602"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Q</w:t>
                  </w:r>
                  <w:r>
                    <w:rPr>
                      <w:rFonts w:hint="default" w:ascii="Times New Roman" w:hAnsi="Times New Roman"/>
                      <w:color w:val="auto"/>
                      <w:sz w:val="18"/>
                      <w:szCs w:val="18"/>
                      <w:vertAlign w:val="subscript"/>
                    </w:rPr>
                    <w:t>c</w:t>
                  </w:r>
                  <w:r>
                    <w:rPr>
                      <w:rFonts w:hint="default" w:ascii="Times New Roman" w:hAnsi="Times New Roman"/>
                      <w:color w:val="auto"/>
                      <w:sz w:val="18"/>
                      <w:szCs w:val="18"/>
                    </w:rPr>
                    <w:t>(kg/h)</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r(m)</w:t>
                  </w:r>
                </w:p>
              </w:tc>
              <w:tc>
                <w:tcPr>
                  <w:tcW w:w="3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A</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B</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C</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D</w:t>
                  </w:r>
                </w:p>
              </w:tc>
              <w:tc>
                <w:tcPr>
                  <w:tcW w:w="45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default" w:ascii="Times New Roman" w:hAnsi="Times New Roman"/>
                      <w:color w:val="auto"/>
                      <w:sz w:val="18"/>
                      <w:szCs w:val="18"/>
                    </w:rPr>
                    <w:t>L(m)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781" w:type="pct"/>
                  <w:vAlign w:val="center"/>
                </w:tcPr>
                <w:p>
                  <w:pPr>
                    <w:keepNext w:val="0"/>
                    <w:keepLines w:val="0"/>
                    <w:suppressLineNumbers w:val="0"/>
                    <w:spacing w:before="0" w:beforeAutospacing="0" w:after="0" w:afterAutospacing="0" w:line="240" w:lineRule="atLeast"/>
                    <w:ind w:left="0" w:right="0"/>
                    <w:jc w:val="center"/>
                    <w:textAlignment w:val="center"/>
                    <w:rPr>
                      <w:rFonts w:hint="default" w:ascii="Times New Roman" w:hAnsi="Times New Roman"/>
                      <w:color w:val="auto"/>
                      <w:sz w:val="18"/>
                      <w:szCs w:val="18"/>
                    </w:rPr>
                  </w:pPr>
                  <w:r>
                    <w:rPr>
                      <w:rFonts w:hint="eastAsia" w:ascii="Times New Roman" w:hAnsi="Times New Roman"/>
                      <w:color w:val="auto"/>
                      <w:sz w:val="18"/>
                      <w:szCs w:val="18"/>
                    </w:rPr>
                    <w:t>原料堆场</w:t>
                  </w:r>
                </w:p>
              </w:tc>
              <w:tc>
                <w:tcPr>
                  <w:tcW w:w="521" w:type="pct"/>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颗粒物</w:t>
                  </w:r>
                </w:p>
              </w:tc>
              <w:tc>
                <w:tcPr>
                  <w:tcW w:w="69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0.9</w:t>
                  </w:r>
                </w:p>
              </w:tc>
              <w:tc>
                <w:tcPr>
                  <w:tcW w:w="602"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0.32</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11.28</w:t>
                  </w:r>
                </w:p>
              </w:tc>
              <w:tc>
                <w:tcPr>
                  <w:tcW w:w="3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4</w:t>
                  </w:r>
                  <w:r>
                    <w:rPr>
                      <w:rFonts w:hint="default" w:ascii="Times New Roman" w:hAnsi="Times New Roman"/>
                      <w:color w:val="auto"/>
                      <w:sz w:val="18"/>
                      <w:szCs w:val="18"/>
                    </w:rPr>
                    <w:t>00</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w:t>
                  </w:r>
                  <w:r>
                    <w:rPr>
                      <w:rFonts w:hint="default" w:ascii="Times New Roman" w:hAnsi="Times New Roman"/>
                      <w:color w:val="auto"/>
                      <w:sz w:val="18"/>
                      <w:szCs w:val="18"/>
                    </w:rPr>
                    <w:t>.010</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1</w:t>
                  </w:r>
                  <w:r>
                    <w:rPr>
                      <w:rFonts w:hint="default" w:ascii="Times New Roman" w:hAnsi="Times New Roman"/>
                      <w:color w:val="auto"/>
                      <w:sz w:val="18"/>
                      <w:szCs w:val="18"/>
                    </w:rPr>
                    <w:t>.85</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w:t>
                  </w:r>
                  <w:r>
                    <w:rPr>
                      <w:rFonts w:hint="default" w:ascii="Times New Roman" w:hAnsi="Times New Roman"/>
                      <w:color w:val="auto"/>
                      <w:sz w:val="18"/>
                      <w:szCs w:val="18"/>
                    </w:rPr>
                    <w:t>.78</w:t>
                  </w:r>
                </w:p>
              </w:tc>
              <w:tc>
                <w:tcPr>
                  <w:tcW w:w="45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49.74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781" w:type="pct"/>
                  <w:vAlign w:val="center"/>
                </w:tcPr>
                <w:p>
                  <w:pPr>
                    <w:keepNext w:val="0"/>
                    <w:keepLines w:val="0"/>
                    <w:suppressLineNumbers w:val="0"/>
                    <w:spacing w:before="0" w:beforeAutospacing="0" w:after="0" w:afterAutospacing="0" w:line="240" w:lineRule="atLeast"/>
                    <w:ind w:left="0" w:right="0"/>
                    <w:jc w:val="center"/>
                    <w:textAlignment w:val="center"/>
                    <w:rPr>
                      <w:rFonts w:hint="default" w:ascii="Times New Roman" w:hAnsi="Times New Roman"/>
                      <w:color w:val="auto"/>
                      <w:sz w:val="18"/>
                      <w:szCs w:val="18"/>
                    </w:rPr>
                  </w:pPr>
                  <w:r>
                    <w:rPr>
                      <w:rFonts w:hint="eastAsia" w:ascii="Times New Roman" w:hAnsi="Times New Roman"/>
                      <w:color w:val="auto"/>
                      <w:sz w:val="18"/>
                      <w:szCs w:val="18"/>
                    </w:rPr>
                    <w:t>成品堆场</w:t>
                  </w:r>
                </w:p>
              </w:tc>
              <w:tc>
                <w:tcPr>
                  <w:tcW w:w="521" w:type="pct"/>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颗粒物</w:t>
                  </w:r>
                </w:p>
              </w:tc>
              <w:tc>
                <w:tcPr>
                  <w:tcW w:w="69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0.9</w:t>
                  </w:r>
                </w:p>
              </w:tc>
              <w:tc>
                <w:tcPr>
                  <w:tcW w:w="602"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0.32</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17.85</w:t>
                  </w:r>
                </w:p>
              </w:tc>
              <w:tc>
                <w:tcPr>
                  <w:tcW w:w="3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4</w:t>
                  </w:r>
                  <w:r>
                    <w:rPr>
                      <w:rFonts w:hint="default" w:ascii="Times New Roman" w:hAnsi="Times New Roman"/>
                      <w:color w:val="auto"/>
                      <w:sz w:val="18"/>
                      <w:szCs w:val="18"/>
                    </w:rPr>
                    <w:t>00</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w:t>
                  </w:r>
                  <w:r>
                    <w:rPr>
                      <w:rFonts w:hint="default" w:ascii="Times New Roman" w:hAnsi="Times New Roman"/>
                      <w:color w:val="auto"/>
                      <w:sz w:val="18"/>
                      <w:szCs w:val="18"/>
                    </w:rPr>
                    <w:t>.010</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1</w:t>
                  </w:r>
                  <w:r>
                    <w:rPr>
                      <w:rFonts w:hint="default" w:ascii="Times New Roman" w:hAnsi="Times New Roman"/>
                      <w:color w:val="auto"/>
                      <w:sz w:val="18"/>
                      <w:szCs w:val="18"/>
                    </w:rPr>
                    <w:t>.85</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w:t>
                  </w:r>
                  <w:r>
                    <w:rPr>
                      <w:rFonts w:hint="default" w:ascii="Times New Roman" w:hAnsi="Times New Roman"/>
                      <w:color w:val="auto"/>
                      <w:sz w:val="18"/>
                      <w:szCs w:val="18"/>
                    </w:rPr>
                    <w:t>.78</w:t>
                  </w:r>
                </w:p>
              </w:tc>
              <w:tc>
                <w:tcPr>
                  <w:tcW w:w="45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33.11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781" w:type="pct"/>
                  <w:vAlign w:val="center"/>
                </w:tcPr>
                <w:p>
                  <w:pPr>
                    <w:keepNext w:val="0"/>
                    <w:keepLines w:val="0"/>
                    <w:suppressLineNumbers w:val="0"/>
                    <w:spacing w:before="0" w:beforeAutospacing="0" w:after="0" w:afterAutospacing="0" w:line="240" w:lineRule="atLeast"/>
                    <w:ind w:left="0" w:right="0"/>
                    <w:jc w:val="center"/>
                    <w:textAlignment w:val="center"/>
                    <w:rPr>
                      <w:rFonts w:hint="default" w:ascii="Times New Roman" w:hAnsi="Times New Roman"/>
                      <w:color w:val="auto"/>
                      <w:sz w:val="18"/>
                      <w:szCs w:val="18"/>
                    </w:rPr>
                  </w:pPr>
                  <w:r>
                    <w:rPr>
                      <w:rFonts w:hint="eastAsia" w:ascii="Times New Roman" w:hAnsi="Times New Roman"/>
                      <w:color w:val="auto"/>
                      <w:sz w:val="18"/>
                      <w:szCs w:val="18"/>
                    </w:rPr>
                    <w:t>破碎、筛分区</w:t>
                  </w:r>
                </w:p>
              </w:tc>
              <w:tc>
                <w:tcPr>
                  <w:tcW w:w="521" w:type="pct"/>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颗粒物</w:t>
                  </w:r>
                </w:p>
              </w:tc>
              <w:tc>
                <w:tcPr>
                  <w:tcW w:w="69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0.9</w:t>
                  </w:r>
                </w:p>
              </w:tc>
              <w:tc>
                <w:tcPr>
                  <w:tcW w:w="602"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0.79</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24.62</w:t>
                  </w:r>
                </w:p>
              </w:tc>
              <w:tc>
                <w:tcPr>
                  <w:tcW w:w="3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4</w:t>
                  </w:r>
                  <w:r>
                    <w:rPr>
                      <w:rFonts w:hint="default" w:ascii="Times New Roman" w:hAnsi="Times New Roman"/>
                      <w:color w:val="auto"/>
                      <w:sz w:val="18"/>
                      <w:szCs w:val="18"/>
                    </w:rPr>
                    <w:t>00</w:t>
                  </w:r>
                </w:p>
              </w:tc>
              <w:tc>
                <w:tcPr>
                  <w:tcW w:w="435"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w:t>
                  </w:r>
                  <w:r>
                    <w:rPr>
                      <w:rFonts w:hint="default" w:ascii="Times New Roman" w:hAnsi="Times New Roman"/>
                      <w:color w:val="auto"/>
                      <w:sz w:val="18"/>
                      <w:szCs w:val="18"/>
                    </w:rPr>
                    <w:t>.010</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1</w:t>
                  </w:r>
                  <w:r>
                    <w:rPr>
                      <w:rFonts w:hint="default" w:ascii="Times New Roman" w:hAnsi="Times New Roman"/>
                      <w:color w:val="auto"/>
                      <w:sz w:val="18"/>
                      <w:szCs w:val="18"/>
                    </w:rPr>
                    <w:t>.85</w:t>
                  </w:r>
                </w:p>
              </w:tc>
              <w:tc>
                <w:tcPr>
                  <w:tcW w:w="36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0</w:t>
                  </w:r>
                  <w:r>
                    <w:rPr>
                      <w:rFonts w:hint="default" w:ascii="Times New Roman" w:hAnsi="Times New Roman"/>
                      <w:color w:val="auto"/>
                      <w:sz w:val="18"/>
                      <w:szCs w:val="18"/>
                    </w:rPr>
                    <w:t>.78</w:t>
                  </w:r>
                </w:p>
              </w:tc>
              <w:tc>
                <w:tcPr>
                  <w:tcW w:w="457" w:type="pct"/>
                  <w:shd w:val="clear" w:color="auto" w:fill="auto"/>
                  <w:vAlign w:val="center"/>
                </w:tcPr>
                <w:p>
                  <w:pPr>
                    <w:keepNext/>
                    <w:keepLines w:val="0"/>
                    <w:widowControl/>
                    <w:suppressLineNumbers w:val="0"/>
                    <w:spacing w:before="0" w:beforeAutospacing="0" w:after="0" w:afterAutospacing="0" w:line="240" w:lineRule="atLeast"/>
                    <w:ind w:left="0" w:right="0"/>
                    <w:jc w:val="center"/>
                    <w:rPr>
                      <w:rFonts w:hint="default" w:ascii="Times New Roman" w:hAnsi="Times New Roman"/>
                      <w:color w:val="auto"/>
                      <w:sz w:val="18"/>
                      <w:szCs w:val="18"/>
                    </w:rPr>
                  </w:pPr>
                  <w:r>
                    <w:rPr>
                      <w:rFonts w:hint="eastAsia" w:ascii="Times New Roman" w:hAnsi="Times New Roman"/>
                      <w:color w:val="auto"/>
                      <w:sz w:val="18"/>
                      <w:szCs w:val="18"/>
                    </w:rPr>
                    <w:t>66.90</w:t>
                  </w:r>
                </w:p>
              </w:tc>
            </w:tr>
          </w:tbl>
          <w:p>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rPr>
            </w:pPr>
            <w:r>
              <w:rPr>
                <w:rFonts w:hint="eastAsia" w:ascii="Times New Roman" w:hAnsi="Times New Roman"/>
              </w:rPr>
              <w:t>②卫生防护距离终值确定</w:t>
            </w:r>
          </w:p>
          <w:p>
            <w:pPr>
              <w:keepNext w:val="0"/>
              <w:keepLines w:val="0"/>
              <w:widowControl/>
              <w:suppressLineNumbers w:val="0"/>
              <w:spacing w:before="0" w:beforeAutospacing="0" w:after="0" w:afterAutospacing="0" w:line="400" w:lineRule="exact"/>
              <w:ind w:left="0" w:right="0" w:firstLine="480" w:firstLineChars="200"/>
              <w:jc w:val="left"/>
              <w:rPr>
                <w:rFonts w:hint="default" w:ascii="Times New Roman" w:hAnsi="Times New Roman"/>
              </w:rPr>
            </w:pPr>
            <w:r>
              <w:rPr>
                <w:rFonts w:hint="eastAsia" w:ascii="Times New Roman" w:hAnsi="Times New Roman"/>
              </w:rPr>
              <w:t>根据</w:t>
            </w:r>
            <w:r>
              <w:rPr>
                <w:rFonts w:hint="default" w:ascii="Times New Roman" w:hAnsi="Times New Roman"/>
              </w:rPr>
              <w:t>《</w:t>
            </w:r>
            <w:r>
              <w:rPr>
                <w:rFonts w:hint="eastAsia" w:ascii="Times New Roman" w:hAnsi="Times New Roman"/>
              </w:rPr>
              <w:t>大气有害物质无组织排放卫生防护距离推导技术导则</w:t>
            </w:r>
            <w:r>
              <w:rPr>
                <w:rFonts w:hint="default" w:ascii="Times New Roman" w:hAnsi="Times New Roman"/>
              </w:rPr>
              <w:t>》</w:t>
            </w:r>
            <w:r>
              <w:rPr>
                <w:rFonts w:hint="eastAsia" w:ascii="Times New Roman" w:hAnsi="Times New Roman"/>
              </w:rPr>
              <w:t>（</w:t>
            </w:r>
            <w:r>
              <w:rPr>
                <w:rFonts w:hint="default" w:ascii="Times New Roman" w:hAnsi="Times New Roman"/>
              </w:rPr>
              <w:t>GB/T39499-2020</w:t>
            </w:r>
            <w:r>
              <w:rPr>
                <w:rFonts w:hint="eastAsia" w:ascii="Times New Roman" w:hAnsi="Times New Roman"/>
              </w:rPr>
              <w:t>），卫生防护距离初值小于50m时，级差为50m。如计算初值小于50m，卫生防护距离终值取50m。卫生防护距离初值大于或等于50m，但小于100m时，级差为50m。如计算初值大于或等于50m并小于100m时，卫生防护距离终值取100m。</w:t>
            </w:r>
          </w:p>
          <w:p>
            <w:pPr>
              <w:keepNext w:val="0"/>
              <w:keepLines w:val="0"/>
              <w:widowControl/>
              <w:suppressLineNumbers w:val="0"/>
              <w:spacing w:before="0" w:beforeAutospacing="0" w:after="0" w:afterAutospacing="0" w:line="400" w:lineRule="exact"/>
              <w:ind w:left="0" w:right="0" w:firstLine="480" w:firstLineChars="200"/>
              <w:jc w:val="left"/>
              <w:rPr>
                <w:rFonts w:hint="default" w:ascii="Times New Roman" w:hAnsi="Times New Roman"/>
                <w:color w:val="auto"/>
              </w:rPr>
            </w:pPr>
            <w:r>
              <w:rPr>
                <w:rFonts w:hint="eastAsia" w:ascii="Times New Roman" w:hAnsi="Times New Roman"/>
              </w:rPr>
              <w:t>本项目面源为原</w:t>
            </w:r>
            <w:r>
              <w:rPr>
                <w:rFonts w:hint="eastAsia" w:ascii="Times New Roman" w:hAnsi="Times New Roman"/>
                <w:color w:val="auto"/>
              </w:rPr>
              <w:t>料堆场、成品堆场、破碎筛分区，根据卫生防护距离计算，本项目原料堆场、成品堆场、破碎筛分区卫生防护距离分别取50m、50m、100m。</w:t>
            </w:r>
          </w:p>
          <w:p>
            <w:pPr>
              <w:keepNext w:val="0"/>
              <w:keepLines w:val="0"/>
              <w:suppressLineNumbers w:val="0"/>
              <w:spacing w:before="0" w:beforeAutospacing="0" w:after="0" w:afterAutospacing="0" w:line="420" w:lineRule="atLeast"/>
              <w:ind w:left="480" w:leftChars="200" w:right="0"/>
              <w:rPr>
                <w:rFonts w:hint="default"/>
                <w:color w:val="auto"/>
                <w:shd w:val="clear" w:color="auto" w:fill="FFFFFF"/>
              </w:rPr>
            </w:pPr>
            <w:r>
              <w:rPr>
                <w:rFonts w:hint="eastAsia"/>
                <w:color w:val="auto"/>
                <w:shd w:val="clear" w:color="auto" w:fill="FFFFFF"/>
              </w:rPr>
              <w:t>（3）</w:t>
            </w:r>
            <w:r>
              <w:rPr>
                <w:rFonts w:hint="default"/>
                <w:color w:val="auto"/>
                <w:shd w:val="clear" w:color="auto" w:fill="FFFFFF"/>
              </w:rPr>
              <w:t>环境防护距离确定</w:t>
            </w:r>
          </w:p>
          <w:p>
            <w:pPr>
              <w:keepNext w:val="0"/>
              <w:keepLines w:val="0"/>
              <w:widowControl/>
              <w:suppressLineNumbers w:val="0"/>
              <w:spacing w:before="0" w:beforeAutospacing="0" w:after="0" w:afterAutospacing="0" w:line="400" w:lineRule="exact"/>
              <w:ind w:left="0" w:right="0" w:firstLine="480" w:firstLineChars="200"/>
              <w:jc w:val="left"/>
              <w:rPr>
                <w:rFonts w:hint="default" w:ascii="Times New Roman" w:hAnsi="Times New Roman"/>
                <w:color w:val="auto"/>
              </w:rPr>
            </w:pPr>
            <w:r>
              <w:rPr>
                <w:rFonts w:hint="eastAsia" w:ascii="Times New Roman" w:hAnsi="Times New Roman"/>
                <w:color w:val="auto"/>
              </w:rPr>
              <w:t>综合考虑项目大气环境防护距离和卫生防护距离的核算结果，确定项目环境防护距离为原料堆场外50m、成品堆场外50m、破碎筛分区外100m。</w:t>
            </w:r>
          </w:p>
          <w:p>
            <w:pPr>
              <w:pStyle w:val="41"/>
              <w:keepNext w:val="0"/>
              <w:keepLines w:val="0"/>
              <w:suppressLineNumbers w:val="0"/>
              <w:adjustRightInd w:val="0"/>
              <w:snapToGrid w:val="0"/>
              <w:spacing w:before="0" w:beforeAutospacing="0" w:after="0" w:afterAutospacing="0" w:line="440" w:lineRule="exact"/>
              <w:ind w:left="0" w:right="0" w:firstLine="0" w:firstLineChars="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2</w:t>
            </w:r>
            <w:r>
              <w:rPr>
                <w:rFonts w:hint="default" w:ascii="Times New Roman" w:hAnsi="Times New Roman" w:eastAsia="黑体"/>
                <w:b/>
                <w:bCs/>
              </w:rPr>
              <w:t>.</w:t>
            </w:r>
            <w:r>
              <w:rPr>
                <w:rFonts w:hint="eastAsia" w:ascii="Times New Roman" w:hAnsi="Times New Roman" w:eastAsia="黑体"/>
                <w:b/>
                <w:bCs/>
              </w:rPr>
              <w:t>4</w:t>
            </w:r>
            <w:r>
              <w:rPr>
                <w:rFonts w:hint="default" w:ascii="Times New Roman" w:hAnsi="Times New Roman" w:eastAsia="黑体"/>
                <w:b/>
                <w:bCs/>
              </w:rPr>
              <w:t>影响分析</w:t>
            </w:r>
          </w:p>
          <w:p>
            <w:pPr>
              <w:pStyle w:val="41"/>
              <w:keepNext w:val="0"/>
              <w:keepLines w:val="0"/>
              <w:suppressLineNumbers w:val="0"/>
              <w:adjustRightInd w:val="0"/>
              <w:snapToGrid w:val="0"/>
              <w:spacing w:before="0" w:beforeAutospacing="0" w:after="0" w:afterAutospacing="0" w:line="440" w:lineRule="exact"/>
              <w:ind w:left="0" w:right="0" w:firstLine="480"/>
              <w:jc w:val="left"/>
              <w:rPr>
                <w:rFonts w:hint="default" w:ascii="Times New Roman" w:hAnsi="Times New Roman" w:eastAsiaTheme="minorEastAsia"/>
              </w:rPr>
            </w:pPr>
            <w:r>
              <w:rPr>
                <w:rFonts w:hint="default" w:ascii="Times New Roman" w:hAnsi="Times New Roman" w:eastAsiaTheme="minorEastAsia"/>
              </w:rPr>
              <w:t>项目周边主要为山林地，</w:t>
            </w:r>
            <w:r>
              <w:rPr>
                <w:rFonts w:hint="eastAsia" w:ascii="Times New Roman" w:hAnsi="Times New Roman" w:eastAsiaTheme="minorEastAsia"/>
              </w:rPr>
              <w:t>周边主要为杉木、松树等当地常见植物，不涉及保护植物。</w:t>
            </w:r>
            <w:r>
              <w:rPr>
                <w:rFonts w:hint="default" w:ascii="Times New Roman" w:hAnsi="Times New Roman" w:eastAsiaTheme="minorEastAsia"/>
              </w:rPr>
              <w:t>项目周边200m范围内无居民点等敏感目标。距离项目最近的敏感点为东侧距离约</w:t>
            </w:r>
            <w:r>
              <w:rPr>
                <w:rFonts w:hint="eastAsia" w:ascii="Times New Roman" w:hAnsi="Times New Roman" w:eastAsiaTheme="minorEastAsia"/>
              </w:rPr>
              <w:t>300m</w:t>
            </w:r>
            <w:r>
              <w:rPr>
                <w:rFonts w:hint="default" w:ascii="Times New Roman" w:hAnsi="Times New Roman" w:eastAsiaTheme="minorEastAsia"/>
              </w:rPr>
              <w:t>的下地村，下地村与本项目所在厂房之间有山体及植被阻隔。项目排放废气主要为堆场和生产过程中产生的粉尘，采取本环评提出的相应控制措施后对周围环境的影响较小。</w:t>
            </w:r>
          </w:p>
          <w:p>
            <w:pPr>
              <w:pStyle w:val="17"/>
              <w:keepNext w:val="0"/>
              <w:keepLines w:val="0"/>
              <w:suppressLineNumbers w:val="0"/>
              <w:spacing w:before="0" w:beforeAutospacing="0" w:afterAutospacing="0" w:line="420" w:lineRule="exact"/>
              <w:ind w:left="480" w:right="0"/>
              <w:rPr>
                <w:rFonts w:hint="default" w:ascii="Times New Roman" w:hAnsi="Times New Roman"/>
              </w:rPr>
            </w:pPr>
            <w:r>
              <w:rPr>
                <w:rFonts w:hint="default" w:ascii="Times New Roman" w:hAnsi="Times New Roman"/>
              </w:rPr>
              <w:t>综上，项目对周围大气环境影响较小。</w:t>
            </w:r>
          </w:p>
          <w:p>
            <w:pPr>
              <w:pStyle w:val="8"/>
              <w:numPr>
                <w:ilvl w:val="0"/>
                <w:numId w:val="0"/>
              </w:numPr>
              <w:suppressLineNumbers w:val="0"/>
              <w:spacing w:before="0" w:beforeAutospacing="0" w:after="0" w:afterAutospacing="0" w:line="440" w:lineRule="exact"/>
              <w:ind w:left="0" w:right="0"/>
              <w:rPr>
                <w:rFonts w:hint="default" w:ascii="Times New Roman" w:hAnsi="Times New Roman"/>
                <w:szCs w:val="24"/>
              </w:rPr>
            </w:pPr>
            <w:r>
              <w:rPr>
                <w:rFonts w:hint="default" w:ascii="Times New Roman" w:hAnsi="Times New Roman"/>
                <w:szCs w:val="24"/>
              </w:rPr>
              <w:t>4.2.</w:t>
            </w:r>
            <w:r>
              <w:rPr>
                <w:rFonts w:hint="eastAsia" w:ascii="Times New Roman" w:hAnsi="Times New Roman"/>
                <w:szCs w:val="24"/>
              </w:rPr>
              <w:t>3废水</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3</w:t>
            </w:r>
            <w:r>
              <w:rPr>
                <w:rFonts w:hint="default" w:ascii="Times New Roman" w:hAnsi="Times New Roman" w:eastAsia="黑体"/>
                <w:b/>
                <w:bCs/>
              </w:rPr>
              <w:t>.1</w:t>
            </w:r>
            <w:r>
              <w:rPr>
                <w:rFonts w:hint="eastAsia" w:ascii="Times New Roman" w:hAnsi="Times New Roman" w:eastAsia="黑体"/>
                <w:b/>
                <w:bCs/>
              </w:rPr>
              <w:t>废水源强核算</w:t>
            </w:r>
          </w:p>
          <w:p>
            <w:pPr>
              <w:pStyle w:val="69"/>
              <w:keepNext w:val="0"/>
              <w:keepLines w:val="0"/>
              <w:numPr>
                <w:ilvl w:val="0"/>
                <w:numId w:val="7"/>
              </w:numPr>
              <w:suppressLineNumbers w:val="0"/>
              <w:spacing w:beforeAutospacing="0" w:afterAutospacing="0"/>
              <w:ind w:left="0"/>
              <w:rPr>
                <w:rFonts w:hint="default"/>
                <w:sz w:val="24"/>
              </w:rPr>
            </w:pPr>
            <w:r>
              <w:rPr>
                <w:rFonts w:hint="eastAsia"/>
                <w:sz w:val="24"/>
              </w:rPr>
              <w:t>生产废水</w:t>
            </w:r>
          </w:p>
          <w:p>
            <w:pPr>
              <w:pStyle w:val="41"/>
              <w:keepNext w:val="0"/>
              <w:keepLines w:val="0"/>
              <w:suppressLineNumbers w:val="0"/>
              <w:adjustRightInd w:val="0"/>
              <w:snapToGrid w:val="0"/>
              <w:spacing w:before="0" w:beforeAutospacing="0" w:after="0" w:afterAutospacing="0" w:line="440" w:lineRule="exact"/>
              <w:ind w:left="0" w:right="0" w:firstLine="480"/>
              <w:jc w:val="left"/>
              <w:rPr>
                <w:rFonts w:hint="default" w:ascii="Times New Roman" w:hAnsi="Times New Roman" w:eastAsiaTheme="minorEastAsia"/>
                <w:color w:val="auto"/>
              </w:rPr>
            </w:pPr>
            <w:r>
              <w:rPr>
                <w:rFonts w:hint="eastAsia" w:ascii="Times New Roman" w:hAnsi="Times New Roman" w:eastAsiaTheme="minorEastAsia"/>
              </w:rPr>
              <w:t>项目生产废水主要来源于洗砂废水，根据水平衡分析，生产废水的产生量为</w:t>
            </w:r>
            <w:r>
              <w:rPr>
                <w:rFonts w:hint="eastAsia" w:ascii="Times New Roman" w:hAnsi="Times New Roman" w:eastAsiaTheme="minorEastAsia"/>
                <w:color w:val="auto"/>
                <w:lang w:val="en-US" w:eastAsia="zh-CN"/>
              </w:rPr>
              <w:t>56.36</w:t>
            </w:r>
            <w:r>
              <w:rPr>
                <w:rFonts w:hint="eastAsia" w:ascii="Times New Roman" w:hAnsi="Times New Roman" w:eastAsiaTheme="minorEastAsia"/>
                <w:color w:val="auto"/>
              </w:rPr>
              <w:t>m</w:t>
            </w:r>
            <w:r>
              <w:rPr>
                <w:rFonts w:hint="eastAsia" w:ascii="Times New Roman" w:hAnsi="Times New Roman" w:eastAsiaTheme="minorEastAsia"/>
                <w:color w:val="auto"/>
                <w:vertAlign w:val="superscript"/>
              </w:rPr>
              <w:t>3</w:t>
            </w:r>
            <w:r>
              <w:rPr>
                <w:rFonts w:hint="eastAsia" w:ascii="Times New Roman" w:hAnsi="Times New Roman" w:eastAsiaTheme="minorEastAsia"/>
                <w:color w:val="auto"/>
              </w:rPr>
              <w:t>/d，主要污染物为悬浮物。</w:t>
            </w:r>
          </w:p>
          <w:p>
            <w:pPr>
              <w:pStyle w:val="69"/>
              <w:keepNext w:val="0"/>
              <w:keepLines w:val="0"/>
              <w:numPr>
                <w:ilvl w:val="0"/>
                <w:numId w:val="7"/>
              </w:numPr>
              <w:suppressLineNumbers w:val="0"/>
              <w:spacing w:beforeAutospacing="0" w:afterAutospacing="0"/>
              <w:ind w:left="0"/>
              <w:rPr>
                <w:rFonts w:hint="default"/>
                <w:color w:val="auto"/>
                <w:sz w:val="24"/>
              </w:rPr>
            </w:pPr>
            <w:r>
              <w:rPr>
                <w:rFonts w:hint="eastAsia"/>
                <w:color w:val="auto"/>
                <w:sz w:val="24"/>
              </w:rPr>
              <w:t>生活污水</w:t>
            </w:r>
          </w:p>
          <w:p>
            <w:pPr>
              <w:keepNext w:val="0"/>
              <w:keepLines w:val="0"/>
              <w:suppressLineNumbers w:val="0"/>
              <w:spacing w:before="0" w:beforeAutospacing="0" w:after="0" w:afterAutospacing="0" w:line="440" w:lineRule="exact"/>
              <w:ind w:left="0" w:right="0" w:firstLine="480" w:firstLineChars="200"/>
              <w:rPr>
                <w:rFonts w:hint="default"/>
              </w:rPr>
            </w:pPr>
            <w:r>
              <w:rPr>
                <w:rFonts w:hint="default" w:ascii="Times New Roman" w:hAnsi="Times New Roman"/>
              </w:rPr>
              <w:t>项目职工定员8人，均不住厂，根据GB50015-2010《建筑给水排水设计规范》，不住厂职工生活用水量取50L/d</w:t>
            </w:r>
            <w:r>
              <w:rPr>
                <w:rFonts w:hint="eastAsia" w:ascii="Times New Roman" w:hAnsi="Times New Roman"/>
                <w:lang w:val="en-US" w:eastAsia="zh-CN"/>
              </w:rPr>
              <w:t>·</w:t>
            </w:r>
            <w:r>
              <w:rPr>
                <w:rFonts w:hint="default" w:ascii="Times New Roman" w:hAnsi="Times New Roman"/>
              </w:rPr>
              <w:t>人，那么项目生活用水量约为0.4 m</w:t>
            </w:r>
            <w:r>
              <w:rPr>
                <w:rFonts w:hint="default" w:ascii="Times New Roman" w:hAnsi="Times New Roman"/>
                <w:vertAlign w:val="superscript"/>
              </w:rPr>
              <w:t>3</w:t>
            </w:r>
            <w:r>
              <w:rPr>
                <w:rFonts w:hint="default" w:ascii="Times New Roman" w:hAnsi="Times New Roman"/>
              </w:rPr>
              <w:t>/d，排污系数取0.9，则项目生活污水排放量约为</w:t>
            </w:r>
            <w:r>
              <w:rPr>
                <w:rFonts w:hint="eastAsia" w:ascii="Times New Roman" w:hAnsi="Times New Roman"/>
              </w:rPr>
              <w:t>0.36</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/d。</w:t>
            </w:r>
          </w:p>
          <w:p>
            <w:pPr>
              <w:pStyle w:val="69"/>
              <w:keepNext w:val="0"/>
              <w:keepLines w:val="0"/>
              <w:numPr>
                <w:ilvl w:val="0"/>
                <w:numId w:val="7"/>
              </w:numPr>
              <w:suppressLineNumbers w:val="0"/>
              <w:spacing w:beforeAutospacing="0" w:afterAutospacing="0"/>
              <w:ind w:left="0"/>
              <w:rPr>
                <w:rFonts w:hint="default"/>
                <w:sz w:val="24"/>
              </w:rPr>
            </w:pPr>
            <w:r>
              <w:rPr>
                <w:rFonts w:hint="eastAsia"/>
                <w:sz w:val="24"/>
              </w:rPr>
              <w:t>道路抑尘</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原料及产品</w:t>
            </w:r>
            <w:r>
              <w:rPr>
                <w:rFonts w:hint="default" w:ascii="Times New Roman" w:hAnsi="Times New Roman"/>
              </w:rPr>
              <w:t>运输车辆要经过厂区道路，厂内道路长度约</w:t>
            </w:r>
            <w:r>
              <w:rPr>
                <w:rFonts w:hint="eastAsia" w:ascii="Times New Roman" w:hAnsi="Times New Roman"/>
              </w:rPr>
              <w:t>20</w:t>
            </w:r>
            <w:r>
              <w:rPr>
                <w:rFonts w:hint="default" w:ascii="Times New Roman" w:hAnsi="Times New Roman"/>
              </w:rPr>
              <w:t>0m，宽度约2m，道路采取洒水抑尘，用水量约为</w:t>
            </w:r>
            <w:r>
              <w:rPr>
                <w:rFonts w:hint="eastAsia" w:ascii="Times New Roman" w:hAnsi="Times New Roman"/>
              </w:rPr>
              <w:t>1.8</w:t>
            </w:r>
            <w:r>
              <w:rPr>
                <w:rFonts w:hint="default" w:ascii="Times New Roman" w:hAnsi="Times New Roman"/>
              </w:rPr>
              <w:t>m</w:t>
            </w:r>
            <w:r>
              <w:rPr>
                <w:rFonts w:hint="default" w:ascii="Times New Roman" w:hAnsi="Times New Roman"/>
                <w:vertAlign w:val="superscript"/>
              </w:rPr>
              <w:t>3</w:t>
            </w:r>
            <w:r>
              <w:rPr>
                <w:rFonts w:hint="default" w:ascii="Times New Roman" w:hAnsi="Times New Roman"/>
              </w:rPr>
              <w:t>/d</w:t>
            </w:r>
            <w:r>
              <w:rPr>
                <w:rFonts w:hint="eastAsia" w:ascii="Times New Roman" w:hAnsi="Times New Roman"/>
              </w:rPr>
              <w:t>，道路抑尘浇洒水全部挥发损耗。</w:t>
            </w:r>
          </w:p>
          <w:p>
            <w:pPr>
              <w:pStyle w:val="69"/>
              <w:keepNext w:val="0"/>
              <w:keepLines w:val="0"/>
              <w:numPr>
                <w:ilvl w:val="0"/>
                <w:numId w:val="7"/>
              </w:numPr>
              <w:suppressLineNumbers w:val="0"/>
              <w:spacing w:beforeAutospacing="0" w:afterAutospacing="0"/>
              <w:ind w:left="0"/>
              <w:rPr>
                <w:rFonts w:hint="default" w:eastAsia="宋体"/>
                <w:color w:val="000000"/>
                <w:kern w:val="2"/>
                <w:sz w:val="24"/>
                <w:szCs w:val="24"/>
                <w:lang w:val="en-US" w:eastAsia="zh-CN" w:bidi="ar-SA"/>
              </w:rPr>
            </w:pPr>
            <w:r>
              <w:rPr>
                <w:rFonts w:hint="eastAsia" w:eastAsia="宋体"/>
                <w:color w:val="000000"/>
                <w:kern w:val="2"/>
                <w:sz w:val="24"/>
                <w:szCs w:val="24"/>
                <w:lang w:val="en-US" w:eastAsia="zh-CN" w:bidi="ar-SA"/>
              </w:rPr>
              <w:t>初期雨水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rPr>
            </w:pPr>
            <w:r>
              <w:rPr>
                <w:rFonts w:hint="eastAsia" w:ascii="Times New Roman" w:hAnsi="Times New Roman" w:eastAsia="宋体" w:cs="Times New Roman"/>
              </w:rPr>
              <w:t>本项目初期雨水主要收集原料堆场及厂区内其余顶棚未覆盖区域的初期雨水，汇水面积约</w:t>
            </w:r>
            <w:r>
              <w:rPr>
                <w:rFonts w:hint="eastAsia" w:ascii="Times New Roman" w:hAnsi="Times New Roman" w:eastAsia="宋体" w:cs="Times New Roman"/>
                <w:lang w:val="en-US" w:eastAsia="zh-CN"/>
              </w:rPr>
              <w:t>1200</w:t>
            </w:r>
            <w:r>
              <w:rPr>
                <w:rFonts w:hint="eastAsia" w:ascii="Times New Roman" w:hAnsi="Times New Roman" w:eastAsia="宋体" w:cs="Times New Roman"/>
              </w:rPr>
              <w:t>m</w:t>
            </w:r>
            <w:r>
              <w:rPr>
                <w:rFonts w:hint="eastAsia" w:ascii="Times New Roman" w:hAnsi="Times New Roman" w:eastAsia="宋体" w:cs="Times New Roman"/>
                <w:vertAlign w:val="superscript"/>
              </w:rPr>
              <w:t>2</w:t>
            </w:r>
            <w:r>
              <w:rPr>
                <w:rFonts w:hint="eastAsia" w:ascii="Times New Roman" w:hAnsi="Times New Roman" w:eastAsia="宋体" w:cs="Times New Roman"/>
              </w:rPr>
              <w:t>，根据前文水平衡分析，单次</w:t>
            </w:r>
            <w:r>
              <w:rPr>
                <w:rFonts w:hint="default" w:ascii="Times New Roman" w:hAnsi="Times New Roman" w:eastAsia="宋体" w:cs="Times New Roman"/>
              </w:rPr>
              <w:t>初期雨水产生量为</w:t>
            </w:r>
            <w:r>
              <w:rPr>
                <w:rFonts w:hint="eastAsia" w:ascii="Times New Roman" w:hAnsi="Times New Roman" w:eastAsia="宋体" w:cs="Times New Roman"/>
              </w:rPr>
              <w:t>1</w:t>
            </w:r>
            <w:r>
              <w:rPr>
                <w:rFonts w:hint="eastAsia" w:ascii="Times New Roman" w:hAnsi="Times New Roman" w:eastAsia="宋体" w:cs="Times New Roman"/>
                <w:lang w:val="en-US" w:eastAsia="zh-CN"/>
              </w:rPr>
              <w:t>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rPr>
              <w:t>，初期雨水经</w:t>
            </w:r>
            <w:r>
              <w:rPr>
                <w:rFonts w:hint="eastAsia" w:ascii="Times New Roman" w:hAnsi="Times New Roman" w:cs="Times New Roman"/>
                <w:lang w:eastAsia="zh-CN"/>
              </w:rPr>
              <w:t>初期雨水池</w:t>
            </w:r>
            <w:r>
              <w:rPr>
                <w:rFonts w:hint="eastAsia" w:ascii="Times New Roman" w:hAnsi="Times New Roman" w:eastAsia="宋体" w:cs="Times New Roman"/>
              </w:rPr>
              <w:t>收集</w:t>
            </w:r>
            <w:r>
              <w:rPr>
                <w:rFonts w:hint="eastAsia" w:ascii="Times New Roman" w:hAnsi="Times New Roman" w:eastAsia="宋体" w:cs="Times New Roman"/>
                <w:lang w:val="en-US" w:eastAsia="zh-CN"/>
              </w:rPr>
              <w:t>沉淀</w:t>
            </w:r>
            <w:r>
              <w:rPr>
                <w:rFonts w:hint="eastAsia" w:ascii="Times New Roman" w:hAnsi="Times New Roman" w:eastAsia="宋体" w:cs="Times New Roman"/>
              </w:rPr>
              <w:t>处理，后续后回用于洗砂工序，不外排。</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highlight w:val="yellow"/>
              </w:rPr>
            </w:pPr>
            <w:r>
              <w:rPr>
                <w:rFonts w:hint="default" w:ascii="Times New Roman" w:hAnsi="Times New Roman" w:eastAsia="黑体"/>
                <w:b/>
                <w:bCs/>
              </w:rPr>
              <w:t>4.2.</w:t>
            </w:r>
            <w:r>
              <w:rPr>
                <w:rFonts w:hint="eastAsia" w:ascii="Times New Roman" w:hAnsi="Times New Roman" w:eastAsia="黑体"/>
                <w:b/>
                <w:bCs/>
              </w:rPr>
              <w:t>3</w:t>
            </w:r>
            <w:r>
              <w:rPr>
                <w:rFonts w:hint="default" w:ascii="Times New Roman" w:hAnsi="Times New Roman" w:eastAsia="黑体"/>
                <w:b/>
                <w:bCs/>
              </w:rPr>
              <w:t>.2废水治理措施的可行性</w:t>
            </w:r>
          </w:p>
          <w:p>
            <w:pPr>
              <w:pStyle w:val="41"/>
              <w:keepNext w:val="0"/>
              <w:keepLines w:val="0"/>
              <w:numPr>
                <w:ilvl w:val="0"/>
                <w:numId w:val="8"/>
              </w:numPr>
              <w:suppressLineNumbers w:val="0"/>
              <w:adjustRightInd w:val="0"/>
              <w:snapToGrid w:val="0"/>
              <w:spacing w:before="0" w:beforeAutospacing="0" w:after="0" w:afterAutospacing="0" w:line="440" w:lineRule="exact"/>
              <w:ind w:left="0" w:right="0" w:firstLine="480"/>
              <w:jc w:val="left"/>
              <w:rPr>
                <w:rFonts w:hint="default" w:ascii="Times New Roman" w:hAnsi="Times New Roman"/>
              </w:rPr>
            </w:pPr>
            <w:r>
              <w:rPr>
                <w:rFonts w:hint="eastAsia" w:ascii="Times New Roman" w:hAnsi="Times New Roman"/>
              </w:rPr>
              <w:t>生产废水</w:t>
            </w:r>
          </w:p>
          <w:p>
            <w:pPr>
              <w:pStyle w:val="41"/>
              <w:keepNext w:val="0"/>
              <w:keepLines w:val="0"/>
              <w:suppressLineNumbers w:val="0"/>
              <w:adjustRightInd w:val="0"/>
              <w:snapToGrid w:val="0"/>
              <w:spacing w:before="0" w:beforeAutospacing="0" w:after="0" w:afterAutospacing="0" w:line="440" w:lineRule="exact"/>
              <w:ind w:left="0" w:right="0" w:firstLine="480"/>
              <w:jc w:val="left"/>
              <w:rPr>
                <w:rFonts w:hint="default" w:ascii="Times New Roman" w:hAnsi="Times New Roman"/>
              </w:rPr>
            </w:pPr>
            <w:r>
              <w:rPr>
                <w:rFonts w:hint="eastAsia" w:ascii="Times New Roman" w:hAnsi="Times New Roman"/>
              </w:rPr>
              <w:t>①</w:t>
            </w:r>
            <w:r>
              <w:rPr>
                <w:rFonts w:hint="default" w:ascii="Times New Roman" w:hAnsi="Times New Roman"/>
              </w:rPr>
              <w:t>废水处理工艺</w:t>
            </w:r>
          </w:p>
          <w:p>
            <w:pPr>
              <w:pStyle w:val="41"/>
              <w:keepNext w:val="0"/>
              <w:keepLines w:val="0"/>
              <w:suppressLineNumbers w:val="0"/>
              <w:adjustRightInd w:val="0"/>
              <w:snapToGrid w:val="0"/>
              <w:spacing w:before="0" w:beforeAutospacing="0" w:after="0" w:afterAutospacing="0" w:line="440" w:lineRule="exact"/>
              <w:ind w:left="0" w:right="0" w:firstLine="480"/>
              <w:jc w:val="left"/>
              <w:rPr>
                <w:rFonts w:hint="default" w:ascii="Times New Roman" w:hAnsi="Times New Roman"/>
              </w:rPr>
            </w:pPr>
            <w:r>
              <w:rPr>
                <w:rFonts w:hint="eastAsia" w:ascii="Times New Roman" w:hAnsi="Times New Roman"/>
              </w:rPr>
              <w:t>本项目建设一个沉淀罐及一座沉淀池，用于处理洗砂废水；</w:t>
            </w:r>
            <w:r>
              <w:rPr>
                <w:rFonts w:hint="eastAsia" w:ascii="Times New Roman" w:hAnsi="Times New Roman"/>
                <w:lang w:val="en-US" w:eastAsia="zh-CN"/>
              </w:rPr>
              <w:t>建设一个初期雨水池，用于处理初期雨水；</w:t>
            </w:r>
            <w:r>
              <w:rPr>
                <w:rFonts w:hint="eastAsia" w:ascii="Times New Roman" w:hAnsi="Times New Roman"/>
              </w:rPr>
              <w:t>建设一个洗车平台，用于处理车辆冲洗水。</w:t>
            </w:r>
            <w:r>
              <w:rPr>
                <w:rFonts w:hint="default" w:ascii="Times New Roman" w:hAnsi="Times New Roman"/>
              </w:rPr>
              <w:t>废水处理工艺流程见下图。</w:t>
            </w:r>
          </w:p>
          <w:p>
            <w:pPr>
              <w:pStyle w:val="41"/>
              <w:keepNext w:val="0"/>
              <w:keepLines w:val="0"/>
              <w:suppressLineNumbers w:val="0"/>
              <w:adjustRightInd w:val="0"/>
              <w:snapToGrid w:val="0"/>
              <w:spacing w:before="0" w:beforeAutospacing="0" w:after="0" w:afterAutospacing="0" w:line="440" w:lineRule="exact"/>
              <w:ind w:left="0" w:right="0" w:firstLine="480"/>
              <w:jc w:val="left"/>
              <w:rPr>
                <w:rFonts w:hint="default" w:ascii="Times New Roman" w:hAnsi="Times New Roman"/>
              </w:rPr>
            </w:pPr>
          </w:p>
          <w:p>
            <w:pPr>
              <w:pStyle w:val="41"/>
              <w:keepNext w:val="0"/>
              <w:keepLines w:val="0"/>
              <w:suppressLineNumbers w:val="0"/>
              <w:adjustRightInd w:val="0"/>
              <w:snapToGrid w:val="0"/>
              <w:spacing w:before="0" w:beforeAutospacing="0" w:after="0" w:afterAutospacing="0" w:line="440" w:lineRule="exact"/>
              <w:ind w:left="0" w:right="0" w:firstLine="480"/>
              <w:jc w:val="left"/>
              <w:rPr>
                <w:rFonts w:hint="default" w:ascii="Times New Roman" w:hAnsi="Times New Roman"/>
              </w:rPr>
            </w:pPr>
          </w:p>
          <w:p>
            <w:pPr>
              <w:pStyle w:val="17"/>
              <w:keepNext w:val="0"/>
              <w:keepLines w:val="0"/>
              <w:suppressLineNumbers w:val="0"/>
              <w:spacing w:before="0" w:beforeAutospacing="0" w:after="0" w:afterAutospacing="0" w:line="240" w:lineRule="auto"/>
              <w:ind w:left="0" w:leftChars="0" w:right="0"/>
              <w:jc w:val="center"/>
              <w:rPr>
                <w:rFonts w:hint="default" w:ascii="Times New Roman" w:hAnsi="Times New Roman" w:eastAsia="黑体"/>
              </w:rPr>
            </w:pPr>
            <w:r>
              <w:rPr>
                <w:rFonts w:hint="default"/>
              </w:rPr>
              <w:drawing>
                <wp:inline distT="0" distB="0" distL="114300" distR="114300">
                  <wp:extent cx="5394325" cy="1713230"/>
                  <wp:effectExtent l="0" t="0" r="15875" b="127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0"/>
                          <a:stretch>
                            <a:fillRect/>
                          </a:stretch>
                        </pic:blipFill>
                        <pic:spPr>
                          <a:xfrm>
                            <a:off x="0" y="0"/>
                            <a:ext cx="5394325" cy="1713230"/>
                          </a:xfrm>
                          <a:prstGeom prst="rect">
                            <a:avLst/>
                          </a:prstGeom>
                          <a:noFill/>
                          <a:ln>
                            <a:noFill/>
                          </a:ln>
                        </pic:spPr>
                      </pic:pic>
                    </a:graphicData>
                  </a:graphic>
                </wp:inline>
              </w:drawing>
            </w:r>
          </w:p>
          <w:p>
            <w:pPr>
              <w:pStyle w:val="33"/>
              <w:keepNext w:val="0"/>
              <w:keepLines w:val="0"/>
              <w:suppressLineNumbers w:val="0"/>
              <w:bidi w:val="0"/>
              <w:spacing w:beforeAutospacing="0" w:after="0" w:afterAutospacing="0"/>
              <w:ind w:left="0" w:right="0"/>
              <w:rPr>
                <w:rFonts w:hint="default"/>
                <w:color w:val="auto"/>
                <w:highlight w:val="none"/>
              </w:rPr>
            </w:pPr>
            <w:r>
              <w:rPr>
                <w:rFonts w:hint="default"/>
                <w:color w:val="auto"/>
                <w:highlight w:val="none"/>
              </w:rPr>
              <w:t>图4.2-1废水处理工艺流程图</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bCs/>
              </w:rPr>
            </w:pPr>
            <w:r>
              <w:rPr>
                <w:rFonts w:hint="default" w:ascii="Times New Roman" w:hAnsi="Times New Roman"/>
              </w:rPr>
              <w:t>工艺流程说明：；初期雨水收集后暂存于</w:t>
            </w:r>
            <w:r>
              <w:rPr>
                <w:rFonts w:hint="eastAsia" w:ascii="Times New Roman" w:hAnsi="Times New Roman"/>
                <w:lang w:eastAsia="zh-CN"/>
              </w:rPr>
              <w:t>初期雨水池，</w:t>
            </w:r>
            <w:r>
              <w:rPr>
                <w:rFonts w:hint="eastAsia" w:ascii="Times New Roman" w:hAnsi="Times New Roman"/>
                <w:lang w:val="en-US" w:eastAsia="zh-CN"/>
              </w:rPr>
              <w:t>经初期雨水池沉淀处理后回用；</w:t>
            </w:r>
            <w:r>
              <w:rPr>
                <w:rFonts w:hint="default" w:ascii="Times New Roman" w:hAnsi="Times New Roman"/>
              </w:rPr>
              <w:t>项目洗砂废水通过管道汇入</w:t>
            </w:r>
            <w:r>
              <w:rPr>
                <w:rFonts w:hint="eastAsia" w:ascii="Times New Roman" w:hAnsi="Times New Roman"/>
              </w:rPr>
              <w:t>沉淀罐、沉淀池处理</w:t>
            </w:r>
            <w:r>
              <w:rPr>
                <w:rFonts w:hint="eastAsia" w:ascii="Times New Roman" w:hAnsi="Times New Roman"/>
                <w:lang w:eastAsia="zh-CN"/>
              </w:rPr>
              <w:t>，</w:t>
            </w:r>
            <w:r>
              <w:rPr>
                <w:rFonts w:hint="eastAsia" w:ascii="Times New Roman" w:hAnsi="Times New Roman"/>
                <w:lang w:val="en-US" w:eastAsia="zh-CN"/>
              </w:rPr>
              <w:t>进入沉淀池的废水</w:t>
            </w:r>
            <w:r>
              <w:rPr>
                <w:rFonts w:hint="default" w:ascii="Times New Roman" w:hAnsi="Times New Roman"/>
              </w:rPr>
              <w:t>利用重力沉降</w:t>
            </w:r>
            <w:r>
              <w:rPr>
                <w:rFonts w:hint="eastAsia" w:ascii="Times New Roman" w:hAnsi="Times New Roman"/>
              </w:rPr>
              <w:t>的原理</w:t>
            </w:r>
            <w:r>
              <w:rPr>
                <w:rFonts w:hint="default" w:ascii="Times New Roman" w:hAnsi="Times New Roman"/>
              </w:rPr>
              <w:t>达到固液分离的目的</w:t>
            </w:r>
            <w:r>
              <w:rPr>
                <w:rFonts w:hint="eastAsia" w:ascii="Times New Roman" w:hAnsi="Times New Roman"/>
              </w:rPr>
              <w:t>，</w:t>
            </w:r>
            <w:r>
              <w:rPr>
                <w:rFonts w:hint="default" w:ascii="Times New Roman" w:hAnsi="Times New Roman" w:eastAsiaTheme="minorEastAsia"/>
                <w:bCs/>
              </w:rPr>
              <w:t>上清液溢流进入清水池用于回用</w:t>
            </w:r>
            <w:r>
              <w:rPr>
                <w:rFonts w:hint="eastAsia" w:ascii="Times New Roman" w:hAnsi="Times New Roman" w:eastAsiaTheme="minorEastAsia"/>
                <w:bCs/>
              </w:rPr>
              <w:t>，</w:t>
            </w:r>
            <w:r>
              <w:rPr>
                <w:rFonts w:hint="default" w:ascii="Times New Roman" w:hAnsi="Times New Roman" w:eastAsiaTheme="minorEastAsia"/>
                <w:bCs/>
              </w:rPr>
              <w:t>废水沉淀过程产生的</w:t>
            </w:r>
            <w:r>
              <w:rPr>
                <w:rFonts w:hint="eastAsia" w:ascii="Times New Roman" w:hAnsi="Times New Roman" w:eastAsiaTheme="minorEastAsia"/>
                <w:bCs/>
              </w:rPr>
              <w:t>底渣通过渣浆泵收集进入板框</w:t>
            </w:r>
            <w:r>
              <w:rPr>
                <w:rFonts w:hint="default" w:ascii="Times New Roman" w:hAnsi="Times New Roman" w:eastAsiaTheme="minorEastAsia"/>
                <w:bCs/>
              </w:rPr>
              <w:t>压滤机进行压滤</w:t>
            </w:r>
            <w:r>
              <w:rPr>
                <w:rFonts w:hint="eastAsia" w:ascii="Times New Roman" w:hAnsi="Times New Roman" w:eastAsiaTheme="minorEastAsia"/>
                <w:bCs/>
              </w:rPr>
              <w:t>，压滤机产生的污泥；由有能力的处置利用单位综合利用。</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bCs/>
              </w:rPr>
            </w:pPr>
            <w:r>
              <w:rPr>
                <w:rFonts w:hint="eastAsia" w:ascii="Times New Roman" w:hAnsi="Times New Roman"/>
              </w:rPr>
              <w:t>车辆</w:t>
            </w:r>
            <w:r>
              <w:rPr>
                <w:rFonts w:hint="default" w:ascii="Times New Roman" w:hAnsi="Times New Roman"/>
              </w:rPr>
              <w:t>冲洗废水经收集后汇入</w:t>
            </w:r>
            <w:r>
              <w:rPr>
                <w:rFonts w:hint="eastAsia" w:ascii="Times New Roman" w:hAnsi="Times New Roman"/>
              </w:rPr>
              <w:t>洗车平台沉淀后回用。</w:t>
            </w:r>
          </w:p>
          <w:p>
            <w:pPr>
              <w:pStyle w:val="41"/>
              <w:keepNext w:val="0"/>
              <w:keepLines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rPr>
            </w:pPr>
            <w:r>
              <w:rPr>
                <w:rFonts w:hint="eastAsia" w:ascii="Times New Roman" w:hAnsi="Times New Roman"/>
              </w:rPr>
              <w:t>②</w:t>
            </w:r>
            <w:r>
              <w:rPr>
                <w:rFonts w:hint="default" w:ascii="Times New Roman" w:hAnsi="Times New Roman"/>
              </w:rPr>
              <w:t>生产废水处理设施可行性分析</w:t>
            </w:r>
          </w:p>
          <w:p>
            <w:pPr>
              <w:pStyle w:val="41"/>
              <w:keepNext w:val="0"/>
              <w:keepLines w:val="0"/>
              <w:numPr>
                <w:ilvl w:val="0"/>
                <w:numId w:val="9"/>
              </w:numPr>
              <w:suppressLineNumbers w:val="0"/>
              <w:adjustRightInd w:val="0"/>
              <w:snapToGrid w:val="0"/>
              <w:spacing w:before="0" w:beforeAutospacing="0" w:after="0" w:afterAutospacing="0" w:line="460" w:lineRule="exact"/>
              <w:ind w:left="0" w:right="0" w:firstLine="480"/>
              <w:jc w:val="left"/>
              <w:rPr>
                <w:rFonts w:hint="default" w:ascii="Times New Roman" w:hAnsi="Times New Roman"/>
              </w:rPr>
            </w:pPr>
            <w:r>
              <w:rPr>
                <w:rFonts w:hint="eastAsia" w:ascii="Times New Roman" w:hAnsi="Times New Roman"/>
              </w:rPr>
              <w:t>废水处理设施处理能力</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Theme="minorEastAsia"/>
                <w:color w:val="auto"/>
                <w:szCs w:val="22"/>
                <w:highlight w:val="none"/>
              </w:rPr>
            </w:pPr>
            <w:r>
              <w:rPr>
                <w:rFonts w:hint="eastAsia" w:ascii="Times New Roman" w:hAnsi="Times New Roman" w:eastAsiaTheme="minorEastAsia"/>
                <w:szCs w:val="22"/>
              </w:rPr>
              <w:t>本项目生产废水悬浮物颗粒较大，废水沉淀速度较快，沉淀1-2h左右后就可将上清液回用于生产。项目拟建设一套“沉淀罐+沉淀池”废水处理设施，沉淀罐处理能力为200m</w:t>
            </w:r>
            <w:r>
              <w:rPr>
                <w:rFonts w:hint="eastAsia" w:ascii="Times New Roman" w:hAnsi="Times New Roman" w:eastAsiaTheme="minorEastAsia"/>
                <w:szCs w:val="22"/>
                <w:vertAlign w:val="superscript"/>
              </w:rPr>
              <w:t>3</w:t>
            </w:r>
            <w:r>
              <w:rPr>
                <w:rFonts w:hint="eastAsia" w:ascii="Times New Roman" w:hAnsi="Times New Roman" w:eastAsiaTheme="minorEastAsia"/>
                <w:szCs w:val="22"/>
              </w:rPr>
              <w:t>/d，沉淀池处理能力为200m</w:t>
            </w:r>
            <w:r>
              <w:rPr>
                <w:rFonts w:hint="eastAsia" w:ascii="Times New Roman" w:hAnsi="Times New Roman" w:eastAsiaTheme="minorEastAsia"/>
                <w:szCs w:val="22"/>
                <w:vertAlign w:val="superscript"/>
              </w:rPr>
              <w:t>3</w:t>
            </w:r>
            <w:r>
              <w:rPr>
                <w:rFonts w:hint="eastAsia" w:ascii="Times New Roman" w:hAnsi="Times New Roman" w:eastAsiaTheme="minorEastAsia"/>
                <w:szCs w:val="22"/>
              </w:rPr>
              <w:t>/d，则“沉淀罐+沉淀池”废水处理设施处理能力为200m</w:t>
            </w:r>
            <w:r>
              <w:rPr>
                <w:rFonts w:hint="eastAsia" w:ascii="Times New Roman" w:hAnsi="Times New Roman" w:eastAsiaTheme="minorEastAsia"/>
                <w:szCs w:val="22"/>
                <w:vertAlign w:val="superscript"/>
              </w:rPr>
              <w:t>3</w:t>
            </w:r>
            <w:r>
              <w:rPr>
                <w:rFonts w:hint="eastAsia" w:ascii="Times New Roman" w:hAnsi="Times New Roman" w:eastAsiaTheme="minorEastAsia"/>
                <w:szCs w:val="22"/>
              </w:rPr>
              <w:t>/d。</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Theme="minorEastAsia"/>
                <w:color w:val="auto"/>
                <w:szCs w:val="22"/>
                <w:highlight w:val="none"/>
              </w:rPr>
            </w:pPr>
            <w:r>
              <w:rPr>
                <w:rFonts w:hint="eastAsia" w:ascii="Times New Roman" w:hAnsi="Times New Roman" w:eastAsiaTheme="minorEastAsia"/>
                <w:color w:val="auto"/>
                <w:szCs w:val="22"/>
                <w:highlight w:val="none"/>
              </w:rPr>
              <w:t>项目进入沉淀池的废水量为</w:t>
            </w:r>
            <w:r>
              <w:rPr>
                <w:rFonts w:hint="eastAsia" w:ascii="Times New Roman" w:hAnsi="Times New Roman" w:eastAsiaTheme="minorEastAsia"/>
                <w:color w:val="auto"/>
                <w:szCs w:val="22"/>
                <w:highlight w:val="none"/>
                <w:lang w:val="en-US" w:eastAsia="zh-CN"/>
              </w:rPr>
              <w:t>56.36</w:t>
            </w:r>
            <w:r>
              <w:rPr>
                <w:rFonts w:hint="eastAsia" w:ascii="Times New Roman" w:hAnsi="Times New Roman" w:eastAsiaTheme="minorEastAsia"/>
                <w:color w:val="auto"/>
                <w:szCs w:val="22"/>
                <w:highlight w:val="none"/>
              </w:rPr>
              <w:t>m</w:t>
            </w:r>
            <w:r>
              <w:rPr>
                <w:rFonts w:hint="eastAsia" w:ascii="Times New Roman" w:hAnsi="Times New Roman" w:eastAsiaTheme="minorEastAsia"/>
                <w:color w:val="auto"/>
                <w:szCs w:val="22"/>
                <w:highlight w:val="none"/>
                <w:vertAlign w:val="superscript"/>
              </w:rPr>
              <w:t>3</w:t>
            </w:r>
            <w:r>
              <w:rPr>
                <w:rFonts w:hint="eastAsia" w:ascii="Times New Roman" w:hAnsi="Times New Roman" w:eastAsiaTheme="minorEastAsia"/>
                <w:color w:val="auto"/>
                <w:szCs w:val="22"/>
                <w:highlight w:val="none"/>
              </w:rPr>
              <w:t>/d</w:t>
            </w:r>
            <w:r>
              <w:rPr>
                <w:rFonts w:hint="default" w:ascii="Times New Roman" w:hAnsi="Times New Roman" w:eastAsiaTheme="minorEastAsia"/>
                <w:color w:val="auto"/>
                <w:szCs w:val="22"/>
                <w:highlight w:val="none"/>
              </w:rPr>
              <w:t>，</w:t>
            </w:r>
            <w:r>
              <w:rPr>
                <w:rFonts w:hint="eastAsia" w:ascii="Times New Roman" w:hAnsi="Times New Roman" w:eastAsiaTheme="minorEastAsia"/>
                <w:color w:val="auto"/>
                <w:szCs w:val="22"/>
                <w:highlight w:val="none"/>
              </w:rPr>
              <w:t>生产废水处理设施的处理能力为200m</w:t>
            </w:r>
            <w:r>
              <w:rPr>
                <w:rFonts w:hint="eastAsia" w:ascii="Times New Roman" w:hAnsi="Times New Roman" w:eastAsiaTheme="minorEastAsia"/>
                <w:color w:val="auto"/>
                <w:szCs w:val="22"/>
                <w:highlight w:val="none"/>
                <w:vertAlign w:val="superscript"/>
              </w:rPr>
              <w:t>3</w:t>
            </w:r>
            <w:r>
              <w:rPr>
                <w:rFonts w:hint="eastAsia" w:ascii="Times New Roman" w:hAnsi="Times New Roman" w:eastAsiaTheme="minorEastAsia"/>
                <w:color w:val="auto"/>
                <w:szCs w:val="22"/>
                <w:highlight w:val="none"/>
              </w:rPr>
              <w:t>/d，废水量未超过为水处理设施的处理能力，因此处理能力可满足本项目需求。</w:t>
            </w:r>
          </w:p>
          <w:p>
            <w:pPr>
              <w:pStyle w:val="41"/>
              <w:keepNext w:val="0"/>
              <w:keepLines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rPr>
            </w:pPr>
            <w:r>
              <w:rPr>
                <w:rFonts w:hint="eastAsia" w:ascii="Times New Roman" w:hAnsi="Times New Roman"/>
              </w:rPr>
              <w:t>B.</w:t>
            </w:r>
            <w:r>
              <w:rPr>
                <w:rFonts w:hint="default" w:ascii="Times New Roman" w:hAnsi="Times New Roman"/>
              </w:rPr>
              <w:t>水质</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Theme="minorEastAsia"/>
              </w:rPr>
            </w:pPr>
            <w:r>
              <w:rPr>
                <w:rFonts w:hint="default" w:ascii="Times New Roman" w:hAnsi="Times New Roman" w:eastAsiaTheme="minorEastAsia"/>
              </w:rPr>
              <w:t>本项目的生产废水主要</w:t>
            </w:r>
            <w:r>
              <w:rPr>
                <w:rFonts w:hint="eastAsia" w:ascii="Times New Roman" w:hAnsi="Times New Roman" w:eastAsiaTheme="minorEastAsia"/>
              </w:rPr>
              <w:t>来自洗砂工序及车辆冲洗等环节</w:t>
            </w:r>
            <w:r>
              <w:rPr>
                <w:rFonts w:hint="default" w:ascii="Times New Roman" w:hAnsi="Times New Roman" w:eastAsiaTheme="minorEastAsia"/>
              </w:rPr>
              <w:t>。</w:t>
            </w:r>
            <w:r>
              <w:rPr>
                <w:rFonts w:hint="default" w:ascii="Times New Roman" w:hAnsi="Times New Roman"/>
                <w:snapToGrid w:val="0"/>
              </w:rPr>
              <w:t>生产废水</w:t>
            </w:r>
            <w:r>
              <w:rPr>
                <w:rFonts w:hint="eastAsia" w:ascii="Times New Roman" w:hAnsi="Times New Roman"/>
                <w:snapToGrid w:val="0"/>
              </w:rPr>
              <w:t>沉淀罐及沉淀池处理后</w:t>
            </w:r>
            <w:r>
              <w:rPr>
                <w:rFonts w:hint="default" w:ascii="Times New Roman" w:hAnsi="Times New Roman"/>
                <w:snapToGrid w:val="0"/>
              </w:rPr>
              <w:t>，</w:t>
            </w:r>
            <w:r>
              <w:rPr>
                <w:rFonts w:hint="eastAsia" w:ascii="Times New Roman" w:hAnsi="Times New Roman" w:eastAsiaTheme="minorEastAsia"/>
              </w:rPr>
              <w:t>能有效去除废水中的悬浮物；生产废水</w:t>
            </w:r>
            <w:r>
              <w:rPr>
                <w:rFonts w:hint="default" w:ascii="Times New Roman" w:hAnsi="Times New Roman" w:eastAsiaTheme="minorEastAsia"/>
              </w:rPr>
              <w:t>经</w:t>
            </w:r>
            <w:r>
              <w:rPr>
                <w:rFonts w:hint="eastAsia" w:ascii="Times New Roman" w:hAnsi="Times New Roman" w:eastAsiaTheme="minorEastAsia"/>
              </w:rPr>
              <w:t>处理后回用于洗砂工序，洗砂工序对用水的水质要求不高，处理后的生产废水回用不会对</w:t>
            </w:r>
            <w:r>
              <w:rPr>
                <w:rFonts w:hint="default" w:ascii="Times New Roman" w:hAnsi="Times New Roman" w:eastAsiaTheme="minorEastAsia"/>
              </w:rPr>
              <w:t>生产工艺</w:t>
            </w:r>
            <w:r>
              <w:rPr>
                <w:rFonts w:hint="eastAsia" w:ascii="Times New Roman" w:hAnsi="Times New Roman" w:eastAsiaTheme="minorEastAsia"/>
              </w:rPr>
              <w:t>造成</w:t>
            </w:r>
            <w:r>
              <w:rPr>
                <w:rFonts w:hint="default" w:ascii="Times New Roman" w:hAnsi="Times New Roman" w:eastAsiaTheme="minorEastAsia"/>
              </w:rPr>
              <w:t>产生不利影响。</w:t>
            </w:r>
            <w:r>
              <w:rPr>
                <w:rFonts w:hint="eastAsia" w:ascii="Times New Roman" w:hAnsi="Times New Roman" w:eastAsiaTheme="minorEastAsia"/>
              </w:rPr>
              <w:t>因此，生产废水经沉淀罐及沉淀池处理后可回用于生产。</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szCs w:val="21"/>
              </w:rPr>
            </w:pPr>
            <w:r>
              <w:rPr>
                <w:rFonts w:hint="default" w:ascii="Times New Roman" w:hAnsi="Times New Roman"/>
                <w:szCs w:val="21"/>
              </w:rPr>
              <w:t>根据《排污许可证申请与核发技术规范水处理通用工序》(HJ1120--2020），沉淀处理属于表A.1参照表内的可行性技术项目废水处理方案可行。</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szCs w:val="22"/>
              </w:rPr>
            </w:pPr>
            <w:r>
              <w:rPr>
                <w:rFonts w:hint="eastAsia" w:ascii="Times New Roman" w:hAnsi="Times New Roman" w:eastAsiaTheme="minorEastAsia"/>
                <w:szCs w:val="22"/>
              </w:rPr>
              <w:t>C.</w:t>
            </w:r>
            <w:r>
              <w:rPr>
                <w:rFonts w:hint="default" w:ascii="Times New Roman" w:hAnsi="Times New Roman" w:eastAsiaTheme="minorEastAsia"/>
                <w:szCs w:val="22"/>
              </w:rPr>
              <w:t>水量</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szCs w:val="22"/>
              </w:rPr>
            </w:pPr>
            <w:r>
              <w:rPr>
                <w:rFonts w:hint="default" w:ascii="Times New Roman" w:hAnsi="Times New Roman" w:eastAsiaTheme="minorEastAsia"/>
                <w:szCs w:val="22"/>
              </w:rPr>
              <w:t>本项目</w:t>
            </w:r>
            <w:r>
              <w:rPr>
                <w:rFonts w:hint="eastAsia" w:ascii="Times New Roman" w:hAnsi="Times New Roman" w:eastAsiaTheme="minorEastAsia"/>
                <w:szCs w:val="22"/>
              </w:rPr>
              <w:t>洗砂工序所需要的用水</w:t>
            </w:r>
            <w:r>
              <w:rPr>
                <w:rFonts w:hint="eastAsia" w:ascii="Times New Roman" w:hAnsi="Times New Roman" w:eastAsiaTheme="minorEastAsia"/>
                <w:color w:val="auto"/>
                <w:szCs w:val="22"/>
              </w:rPr>
              <w:t>量66.67m</w:t>
            </w:r>
            <w:r>
              <w:rPr>
                <w:rFonts w:hint="eastAsia" w:ascii="Times New Roman" w:hAnsi="Times New Roman" w:eastAsiaTheme="minorEastAsia"/>
                <w:color w:val="auto"/>
                <w:szCs w:val="22"/>
                <w:vertAlign w:val="superscript"/>
              </w:rPr>
              <w:t>3</w:t>
            </w:r>
            <w:r>
              <w:rPr>
                <w:rFonts w:hint="eastAsia" w:ascii="Times New Roman" w:hAnsi="Times New Roman" w:eastAsiaTheme="minorEastAsia"/>
                <w:color w:val="auto"/>
                <w:szCs w:val="22"/>
              </w:rPr>
              <w:t>/d，项目生产废水回用量为</w:t>
            </w:r>
            <w:r>
              <w:rPr>
                <w:rFonts w:hint="eastAsia" w:ascii="Times New Roman" w:hAnsi="Times New Roman" w:eastAsiaTheme="minorEastAsia"/>
                <w:color w:val="auto"/>
                <w:szCs w:val="22"/>
                <w:lang w:val="en-US" w:eastAsia="zh-CN"/>
              </w:rPr>
              <w:t>59.08</w:t>
            </w:r>
            <w:r>
              <w:rPr>
                <w:rFonts w:hint="eastAsia" w:ascii="Times New Roman" w:hAnsi="Times New Roman" w:eastAsiaTheme="minorEastAsia"/>
                <w:color w:val="auto"/>
                <w:szCs w:val="22"/>
              </w:rPr>
              <w:t>m</w:t>
            </w:r>
            <w:r>
              <w:rPr>
                <w:rFonts w:hint="eastAsia" w:ascii="Times New Roman" w:hAnsi="Times New Roman" w:eastAsiaTheme="minorEastAsia"/>
                <w:color w:val="auto"/>
                <w:szCs w:val="22"/>
                <w:vertAlign w:val="superscript"/>
              </w:rPr>
              <w:t>3</w:t>
            </w:r>
            <w:r>
              <w:rPr>
                <w:rFonts w:hint="eastAsia" w:ascii="Times New Roman" w:hAnsi="Times New Roman" w:eastAsiaTheme="minorEastAsia"/>
                <w:color w:val="auto"/>
                <w:szCs w:val="22"/>
              </w:rPr>
              <w:t>/d，</w:t>
            </w:r>
            <w:r>
              <w:rPr>
                <w:rFonts w:hint="eastAsia" w:ascii="Times New Roman" w:hAnsi="Times New Roman" w:eastAsiaTheme="minorEastAsia"/>
                <w:szCs w:val="22"/>
              </w:rPr>
              <w:t>小于洗砂工序所需用水量，因此，从水量分析，本项目生产废水可完全被洗砂工序所消纳。</w:t>
            </w:r>
            <w:r>
              <w:rPr>
                <w:rFonts w:hint="default" w:ascii="Times New Roman" w:hAnsi="Times New Roman" w:eastAsiaTheme="minorEastAsia"/>
                <w:szCs w:val="22"/>
              </w:rPr>
              <w:t>因此，项目生产废水可完全被回收利用。</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szCs w:val="22"/>
              </w:rPr>
            </w:pPr>
            <w:r>
              <w:rPr>
                <w:rFonts w:hint="default" w:ascii="Times New Roman" w:hAnsi="Times New Roman" w:eastAsiaTheme="minorEastAsia"/>
              </w:rPr>
              <w:t>综上所述，从水质、水量和</w:t>
            </w:r>
            <w:r>
              <w:rPr>
                <w:rFonts w:hint="default" w:ascii="Times New Roman" w:hAnsi="Times New Roman" w:eastAsiaTheme="minorEastAsia"/>
                <w:szCs w:val="22"/>
              </w:rPr>
              <w:t>设施处理能力分析，项目现状采取的生产废水处理措施基本可行。</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szCs w:val="22"/>
              </w:rPr>
            </w:pPr>
            <w:r>
              <w:rPr>
                <w:rFonts w:hint="default" w:ascii="Times New Roman" w:hAnsi="Times New Roman" w:eastAsiaTheme="minorEastAsia"/>
                <w:szCs w:val="22"/>
              </w:rPr>
              <w:t>（</w:t>
            </w:r>
            <w:r>
              <w:rPr>
                <w:rFonts w:hint="eastAsia" w:ascii="Times New Roman" w:hAnsi="Times New Roman" w:eastAsiaTheme="minorEastAsia"/>
                <w:szCs w:val="22"/>
              </w:rPr>
              <w:t>2</w:t>
            </w:r>
            <w:r>
              <w:rPr>
                <w:rFonts w:hint="default" w:ascii="Times New Roman" w:hAnsi="Times New Roman" w:eastAsiaTheme="minorEastAsia"/>
                <w:szCs w:val="22"/>
              </w:rPr>
              <w:t>）生活污水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本项目生活污水经地埋式生活污水处理设施</w:t>
            </w:r>
            <w:r>
              <w:rPr>
                <w:rFonts w:hint="eastAsia" w:ascii="Times New Roman" w:hAnsi="Times New Roman"/>
              </w:rPr>
              <w:t>（一体化生化处理设施）</w:t>
            </w:r>
            <w:r>
              <w:rPr>
                <w:rFonts w:hint="default" w:ascii="Times New Roman" w:hAnsi="Times New Roman"/>
              </w:rPr>
              <w:t>处理后用于周边山林地</w:t>
            </w:r>
            <w:r>
              <w:rPr>
                <w:rFonts w:hint="eastAsia" w:ascii="Times New Roman" w:hAnsi="Times New Roman"/>
              </w:rPr>
              <w:t>灌溉。</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①处理能力</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根据业主提供资料，耀辉加工厂生活污水的处理规模约</w:t>
            </w:r>
            <w:r>
              <w:rPr>
                <w:rFonts w:hint="eastAsia" w:ascii="Times New Roman" w:hAnsi="Times New Roman"/>
              </w:rPr>
              <w:t>1t</w:t>
            </w:r>
            <w:r>
              <w:rPr>
                <w:rFonts w:hint="default" w:ascii="Times New Roman" w:hAnsi="Times New Roman"/>
              </w:rPr>
              <w:t>/日，本项目生活污水排放量约0.36t/d，考虑到最长雨季无法</w:t>
            </w:r>
            <w:r>
              <w:rPr>
                <w:rFonts w:hint="eastAsia" w:ascii="Times New Roman" w:hAnsi="Times New Roman"/>
              </w:rPr>
              <w:t>灌溉</w:t>
            </w:r>
            <w:r>
              <w:rPr>
                <w:rFonts w:hint="default" w:ascii="Times New Roman" w:hAnsi="Times New Roman"/>
              </w:rPr>
              <w:t>，本项目按照最大7天无法</w:t>
            </w:r>
            <w:r>
              <w:rPr>
                <w:rFonts w:hint="eastAsia" w:ascii="Times New Roman" w:hAnsi="Times New Roman"/>
              </w:rPr>
              <w:t>灌溉</w:t>
            </w:r>
            <w:r>
              <w:rPr>
                <w:rFonts w:hint="default" w:ascii="Times New Roman" w:hAnsi="Times New Roman"/>
              </w:rPr>
              <w:t>最大储量情况计算，7天生活污水的产生量为2.52t，</w:t>
            </w:r>
            <w:r>
              <w:rPr>
                <w:rFonts w:hint="eastAsia" w:ascii="Times New Roman" w:hAnsi="Times New Roman"/>
              </w:rPr>
              <w:t>拟设置一个容积为3m</w:t>
            </w:r>
            <w:r>
              <w:rPr>
                <w:rFonts w:hint="eastAsia" w:ascii="Times New Roman" w:hAnsi="Times New Roman"/>
                <w:vertAlign w:val="superscript"/>
              </w:rPr>
              <w:t>3</w:t>
            </w:r>
            <w:r>
              <w:rPr>
                <w:rFonts w:hint="eastAsia" w:ascii="Times New Roman" w:hAnsi="Times New Roman"/>
              </w:rPr>
              <w:t>的储存池，用于暂存雨季的生活污水</w:t>
            </w:r>
            <w:r>
              <w:rPr>
                <w:rFonts w:hint="default" w:ascii="Times New Roman" w:hAnsi="Times New Roman"/>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②水质</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olor w:val="auto"/>
              </w:rPr>
            </w:pPr>
            <w:r>
              <w:rPr>
                <w:rFonts w:hint="default" w:ascii="Times New Roman" w:hAnsi="Times New Roman"/>
                <w:color w:val="auto"/>
              </w:rPr>
              <w:t>项目</w:t>
            </w:r>
            <w:r>
              <w:rPr>
                <w:rFonts w:hint="eastAsia" w:ascii="Times New Roman" w:hAnsi="Times New Roman"/>
                <w:color w:val="auto"/>
              </w:rPr>
              <w:t>生活污水</w:t>
            </w:r>
            <w:r>
              <w:rPr>
                <w:rFonts w:hint="default" w:ascii="Times New Roman" w:hAnsi="Times New Roman"/>
                <w:color w:val="auto"/>
              </w:rPr>
              <w:t>经地埋式生活污水处理设施处理后，可以满足《农田灌溉水质标准》(GB5084-</w:t>
            </w:r>
            <w:r>
              <w:rPr>
                <w:rFonts w:hint="eastAsia" w:ascii="Times New Roman" w:hAnsi="Times New Roman"/>
                <w:color w:val="auto"/>
              </w:rPr>
              <w:t>2021</w:t>
            </w:r>
            <w:r>
              <w:rPr>
                <w:rFonts w:hint="default" w:ascii="Times New Roman" w:hAnsi="Times New Roman"/>
                <w:color w:val="auto"/>
              </w:rPr>
              <w:t>)表1“</w:t>
            </w:r>
            <w:r>
              <w:rPr>
                <w:rFonts w:hint="eastAsia" w:ascii="Times New Roman" w:hAnsi="Times New Roman"/>
                <w:color w:val="auto"/>
              </w:rPr>
              <w:t>农田灌溉</w:t>
            </w:r>
            <w:r>
              <w:rPr>
                <w:rFonts w:hint="eastAsia" w:ascii="Times New Roman" w:hAnsi="Times New Roman"/>
                <w:color w:val="auto"/>
                <w:lang w:val="en-US" w:eastAsia="zh-CN"/>
              </w:rPr>
              <w:t>旱作</w:t>
            </w:r>
            <w:r>
              <w:rPr>
                <w:rFonts w:hint="eastAsia" w:ascii="Times New Roman" w:hAnsi="Times New Roman"/>
                <w:color w:val="auto"/>
              </w:rPr>
              <w:t>水质</w:t>
            </w:r>
            <w:r>
              <w:rPr>
                <w:rFonts w:hint="eastAsia" w:ascii="Times New Roman" w:hAnsi="Times New Roman"/>
                <w:color w:val="auto"/>
                <w:lang w:val="en-US" w:eastAsia="zh-CN"/>
              </w:rPr>
              <w:t>标准</w:t>
            </w:r>
            <w:r>
              <w:rPr>
                <w:rFonts w:hint="default" w:ascii="Times New Roman" w:hAnsi="Times New Roman"/>
                <w:color w:val="auto"/>
              </w:rPr>
              <w:t>”，可用作灌溉用水。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olor w:val="auto"/>
              </w:rPr>
            </w:pPr>
            <w:r>
              <w:rPr>
                <w:rFonts w:hint="eastAsia" w:ascii="Times New Roman" w:hAnsi="Times New Roman"/>
                <w:color w:val="auto"/>
              </w:rPr>
              <w:t>③水量</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本项目</w:t>
            </w:r>
            <w:r>
              <w:rPr>
                <w:rFonts w:hint="eastAsia" w:ascii="Times New Roman" w:hAnsi="Times New Roman"/>
              </w:rPr>
              <w:t>生活污水</w:t>
            </w:r>
            <w:r>
              <w:rPr>
                <w:rFonts w:hint="default" w:ascii="Times New Roman" w:hAnsi="Times New Roman"/>
              </w:rPr>
              <w:t>用于周边果林灌溉。耀辉加工厂已与下地村签订了生活污水清运协议(见附件</w:t>
            </w:r>
            <w:r>
              <w:rPr>
                <w:rFonts w:hint="eastAsia" w:ascii="Times New Roman" w:hAnsi="Times New Roman"/>
              </w:rPr>
              <w:t>九</w:t>
            </w:r>
            <w:r>
              <w:rPr>
                <w:rFonts w:hint="default" w:ascii="Times New Roman" w:hAnsi="Times New Roman"/>
              </w:rPr>
              <w:t>)，同意本项目</w:t>
            </w:r>
            <w:r>
              <w:rPr>
                <w:rFonts w:hint="eastAsia" w:ascii="Times New Roman" w:hAnsi="Times New Roman"/>
              </w:rPr>
              <w:t>生活污水</w:t>
            </w:r>
            <w:r>
              <w:rPr>
                <w:rFonts w:hint="default" w:ascii="Times New Roman" w:hAnsi="Times New Roman"/>
              </w:rPr>
              <w:t>处理后浇灌周边的林地，山林地位于项目厂址西南侧距离约150m处，面积约为</w:t>
            </w:r>
            <w:r>
              <w:rPr>
                <w:rFonts w:hint="eastAsia" w:ascii="Times New Roman" w:hAnsi="Times New Roman"/>
              </w:rPr>
              <w:t>20</w:t>
            </w:r>
            <w:r>
              <w:rPr>
                <w:rFonts w:hint="default" w:ascii="Times New Roman" w:hAnsi="Times New Roman"/>
              </w:rPr>
              <w:t>亩，足够消纳本项目产生的生活污水。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参照《福建省行业用水定额》(DB35/T 772-2013)，林业用水定额为50-100m</w:t>
            </w:r>
            <w:r>
              <w:rPr>
                <w:rFonts w:hint="default" w:ascii="Times New Roman" w:hAnsi="Times New Roman"/>
                <w:vertAlign w:val="superscript"/>
              </w:rPr>
              <w:t>3</w:t>
            </w:r>
            <w:r>
              <w:rPr>
                <w:rFonts w:hint="default" w:ascii="Times New Roman" w:hAnsi="Times New Roman"/>
              </w:rPr>
              <w:t>/</w:t>
            </w:r>
            <w:r>
              <w:rPr>
                <w:rFonts w:hint="eastAsia" w:ascii="Times New Roman" w:hAnsi="Times New Roman"/>
              </w:rPr>
              <w:t>亩，</w:t>
            </w:r>
            <w:r>
              <w:rPr>
                <w:rFonts w:hint="default" w:ascii="Times New Roman" w:hAnsi="Times New Roman"/>
              </w:rPr>
              <w:t>按50m</w:t>
            </w:r>
            <w:r>
              <w:rPr>
                <w:rFonts w:hint="default" w:ascii="Times New Roman" w:hAnsi="Times New Roman"/>
                <w:vertAlign w:val="superscript"/>
              </w:rPr>
              <w:t>3</w:t>
            </w:r>
            <w:r>
              <w:rPr>
                <w:rFonts w:hint="default" w:ascii="Times New Roman" w:hAnsi="Times New Roman"/>
              </w:rPr>
              <w:t>/</w:t>
            </w:r>
            <w:r>
              <w:rPr>
                <w:rFonts w:hint="eastAsia" w:ascii="Times New Roman" w:hAnsi="Times New Roman"/>
              </w:rPr>
              <w:t>亩，山林地</w:t>
            </w:r>
            <w:r>
              <w:rPr>
                <w:rFonts w:hint="default" w:ascii="Times New Roman" w:hAnsi="Times New Roman"/>
              </w:rPr>
              <w:t>面积约为</w:t>
            </w:r>
            <w:r>
              <w:rPr>
                <w:rFonts w:hint="eastAsia" w:ascii="Times New Roman" w:hAnsi="Times New Roman"/>
              </w:rPr>
              <w:t>20</w:t>
            </w:r>
            <w:r>
              <w:rPr>
                <w:rFonts w:hint="default" w:ascii="Times New Roman" w:hAnsi="Times New Roman"/>
              </w:rPr>
              <w:t>亩</w:t>
            </w:r>
            <w:r>
              <w:rPr>
                <w:rFonts w:hint="eastAsia" w:ascii="Times New Roman" w:hAnsi="Times New Roman"/>
              </w:rPr>
              <w:t>，</w:t>
            </w:r>
            <w:r>
              <w:rPr>
                <w:rFonts w:hint="default" w:ascii="Times New Roman" w:hAnsi="Times New Roman"/>
              </w:rPr>
              <w:t>则</w:t>
            </w:r>
            <w:r>
              <w:rPr>
                <w:rFonts w:hint="eastAsia" w:ascii="Times New Roman" w:hAnsi="Times New Roman"/>
              </w:rPr>
              <w:t>山林地年可消纳生活污水1000m</w:t>
            </w:r>
            <w:r>
              <w:rPr>
                <w:rFonts w:hint="eastAsia" w:ascii="Times New Roman" w:hAnsi="Times New Roman"/>
                <w:vertAlign w:val="superscript"/>
              </w:rPr>
              <w:t>3</w:t>
            </w:r>
            <w:r>
              <w:rPr>
                <w:rFonts w:hint="eastAsia" w:ascii="Times New Roman" w:hAnsi="Times New Roman"/>
              </w:rPr>
              <w:t>，本项目生活污水排放量为108m</w:t>
            </w:r>
            <w:r>
              <w:rPr>
                <w:rFonts w:hint="eastAsia" w:ascii="Times New Roman" w:hAnsi="Times New Roman"/>
                <w:vertAlign w:val="superscript"/>
              </w:rPr>
              <w:t>3</w:t>
            </w:r>
            <w:r>
              <w:rPr>
                <w:rFonts w:hint="eastAsia" w:ascii="Times New Roman" w:hAnsi="Times New Roman"/>
              </w:rPr>
              <w:t>，山林地可完全消纳本项目产生的生活污水。</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综上</w:t>
            </w:r>
            <w:r>
              <w:rPr>
                <w:rFonts w:hint="eastAsia" w:ascii="Times New Roman" w:hAnsi="Times New Roman"/>
                <w:lang w:val="en-US" w:eastAsia="zh-CN"/>
              </w:rPr>
              <w:t>分析</w:t>
            </w:r>
            <w:r>
              <w:rPr>
                <w:rFonts w:hint="default" w:ascii="Times New Roman" w:hAnsi="Times New Roman"/>
              </w:rPr>
              <w:t>，本项目</w:t>
            </w:r>
            <w:r>
              <w:rPr>
                <w:rFonts w:hint="eastAsia" w:ascii="Times New Roman" w:hAnsi="Times New Roman"/>
              </w:rPr>
              <w:t>生活污水</w:t>
            </w:r>
            <w:r>
              <w:rPr>
                <w:rFonts w:hint="default" w:ascii="Times New Roman" w:hAnsi="Times New Roman"/>
              </w:rPr>
              <w:t>处理后浇灌周边林地可行。</w:t>
            </w:r>
          </w:p>
          <w:p>
            <w:pPr>
              <w:keepNext w:val="0"/>
              <w:keepLines w:val="0"/>
              <w:suppressLineNumbers w:val="0"/>
              <w:adjustRightInd w:val="0"/>
              <w:snapToGrid w:val="0"/>
              <w:spacing w:before="0" w:beforeAutospacing="0" w:after="0" w:afterAutospacing="0" w:line="440" w:lineRule="exact"/>
              <w:ind w:left="480" w:leftChars="200" w:right="0"/>
              <w:rPr>
                <w:rFonts w:hint="default" w:ascii="Times New Roman" w:hAnsi="Times New Roman"/>
                <w:kern w:val="0"/>
                <w:szCs w:val="20"/>
              </w:rPr>
            </w:pPr>
            <w:r>
              <w:rPr>
                <w:rFonts w:hint="eastAsia" w:ascii="Times New Roman" w:hAnsi="Times New Roman"/>
                <w:kern w:val="0"/>
                <w:szCs w:val="20"/>
              </w:rPr>
              <w:t>（3）初期雨水</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Theme="minorEastAsia"/>
                <w:szCs w:val="22"/>
              </w:rPr>
            </w:pPr>
            <w:r>
              <w:rPr>
                <w:rFonts w:hint="eastAsia" w:ascii="Times New Roman" w:hAnsi="Times New Roman" w:eastAsiaTheme="minorEastAsia"/>
                <w:szCs w:val="22"/>
              </w:rPr>
              <w:t>①初期雨水收集范围</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Theme="minorEastAsia"/>
                <w:szCs w:val="22"/>
              </w:rPr>
            </w:pPr>
            <w:r>
              <w:rPr>
                <w:rFonts w:hint="default" w:ascii="Times New Roman" w:hAnsi="Times New Roman" w:eastAsiaTheme="minorEastAsia"/>
                <w:szCs w:val="22"/>
              </w:rPr>
              <w:t>项目初期雨水主要考虑收集下雨前15分钟左右的雨水，拟收集后经</w:t>
            </w:r>
            <w:r>
              <w:rPr>
                <w:rFonts w:hint="eastAsia" w:ascii="Times New Roman" w:hAnsi="Times New Roman" w:eastAsiaTheme="minorEastAsia"/>
                <w:szCs w:val="22"/>
                <w:lang w:val="en-US" w:eastAsia="zh-CN"/>
              </w:rPr>
              <w:t>初期雨水池</w:t>
            </w:r>
            <w:r>
              <w:rPr>
                <w:rFonts w:hint="eastAsia" w:ascii="Times New Roman" w:hAnsi="Times New Roman" w:eastAsiaTheme="minorEastAsia"/>
                <w:szCs w:val="22"/>
              </w:rPr>
              <w:t>处理后回用</w:t>
            </w:r>
            <w:r>
              <w:rPr>
                <w:rFonts w:hint="default" w:ascii="Times New Roman" w:hAnsi="Times New Roman" w:eastAsiaTheme="minorEastAsia"/>
                <w:szCs w:val="22"/>
              </w:rPr>
              <w:t>。</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rPr>
            </w:pPr>
            <w:r>
              <w:rPr>
                <w:rFonts w:hint="eastAsia" w:ascii="Times New Roman" w:hAnsi="Times New Roman"/>
              </w:rPr>
              <w:t>项目厂区生产车间、成品堆场均设置顶棚，顶棚设置雨水管道，屋面雨水通过管道直接排入厂区</w:t>
            </w:r>
            <w:r>
              <w:rPr>
                <w:rFonts w:hint="eastAsia" w:ascii="Times New Roman" w:hAnsi="Times New Roman"/>
                <w:lang w:eastAsia="zh-CN"/>
              </w:rPr>
              <w:t>北侧的雨水沟</w:t>
            </w:r>
            <w:r>
              <w:rPr>
                <w:rFonts w:hint="eastAsia" w:ascii="Times New Roman" w:hAnsi="Times New Roman"/>
              </w:rPr>
              <w:t>，后续排入均溪。</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车辆原料运输过程中会撒落很少量的物料，在雨季，厂区内道路会产生污染雨水，应进行收集处理，初期雨水汇水区域为原料堆场及厂区内道路等无顶棚搭盖的区域，汇水面积约为</w:t>
            </w:r>
            <w:r>
              <w:rPr>
                <w:rFonts w:hint="eastAsia" w:ascii="Times New Roman" w:hAnsi="Times New Roman"/>
                <w:lang w:val="en-US" w:eastAsia="zh-CN"/>
              </w:rPr>
              <w:t>1200</w:t>
            </w:r>
            <w:r>
              <w:rPr>
                <w:rFonts w:hint="eastAsia" w:ascii="Times New Roman" w:hAnsi="Times New Roman"/>
              </w:rPr>
              <w:t>m</w:t>
            </w:r>
            <w:r>
              <w:rPr>
                <w:rFonts w:hint="eastAsia" w:ascii="Times New Roman" w:hAnsi="Times New Roman"/>
                <w:vertAlign w:val="superscript"/>
              </w:rPr>
              <w:t>2</w:t>
            </w:r>
            <w:r>
              <w:rPr>
                <w:rFonts w:hint="eastAsia" w:ascii="Times New Roman" w:hAnsi="Times New Roman"/>
              </w:rPr>
              <w:t>。</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szCs w:val="22"/>
              </w:rPr>
            </w:pPr>
            <w:r>
              <w:rPr>
                <w:rFonts w:hint="eastAsia" w:ascii="Times New Roman" w:hAnsi="Times New Roman"/>
              </w:rPr>
              <w:t>根据厂区地形地势，要求企业在厂区大门口道路北侧（厂区地势最低）设置一个容积不小于1</w:t>
            </w:r>
            <w:r>
              <w:rPr>
                <w:rFonts w:hint="eastAsia" w:ascii="Times New Roman" w:hAnsi="Times New Roman"/>
                <w:lang w:val="en-US" w:eastAsia="zh-CN"/>
              </w:rPr>
              <w:t>2</w:t>
            </w:r>
            <w:r>
              <w:rPr>
                <w:rFonts w:hint="default" w:ascii="Times New Roman" w:hAnsi="Times New Roman"/>
                <w:bCs/>
              </w:rPr>
              <w:t>m</w:t>
            </w:r>
            <w:r>
              <w:rPr>
                <w:rFonts w:hint="default" w:ascii="Times New Roman" w:hAnsi="Times New Roman"/>
                <w:bCs/>
                <w:vertAlign w:val="superscript"/>
              </w:rPr>
              <w:t>3</w:t>
            </w:r>
            <w:r>
              <w:rPr>
                <w:rFonts w:hint="eastAsia" w:ascii="Times New Roman" w:hAnsi="Times New Roman"/>
              </w:rPr>
              <w:t>的</w:t>
            </w:r>
            <w:r>
              <w:rPr>
                <w:rFonts w:hint="eastAsia" w:ascii="Times New Roman" w:hAnsi="Times New Roman"/>
                <w:lang w:eastAsia="zh-CN"/>
              </w:rPr>
              <w:t>初期雨水池</w:t>
            </w:r>
            <w:r>
              <w:rPr>
                <w:rFonts w:hint="eastAsia" w:ascii="Times New Roman" w:hAnsi="Times New Roman"/>
              </w:rPr>
              <w:t>。初期雨水经</w:t>
            </w:r>
            <w:r>
              <w:rPr>
                <w:rFonts w:hint="eastAsia" w:ascii="Times New Roman" w:hAnsi="Times New Roman"/>
                <w:lang w:val="en-US" w:eastAsia="zh-CN"/>
              </w:rPr>
              <w:t>沉淀</w:t>
            </w:r>
            <w:r>
              <w:rPr>
                <w:rFonts w:hint="eastAsia" w:ascii="Times New Roman" w:hAnsi="Times New Roman"/>
              </w:rPr>
              <w:t>处理后回用于洗砂等工序，不外排。</w:t>
            </w:r>
          </w:p>
          <w:p>
            <w:pPr>
              <w:pStyle w:val="34"/>
              <w:keepNext w:val="0"/>
              <w:keepLines w:val="0"/>
              <w:suppressLineNumbers w:val="0"/>
              <w:spacing w:before="0" w:beforeAutospacing="0" w:after="0" w:afterAutospacing="0" w:line="460" w:lineRule="exact"/>
              <w:ind w:left="0" w:right="0" w:firstLine="480"/>
              <w:rPr>
                <w:rFonts w:hint="default" w:eastAsiaTheme="minorEastAsia"/>
              </w:rPr>
            </w:pPr>
            <w:r>
              <w:rPr>
                <w:rFonts w:hint="default" w:eastAsiaTheme="minorEastAsia"/>
              </w:rPr>
              <w:fldChar w:fldCharType="begin"/>
            </w:r>
            <w:r>
              <w:rPr>
                <w:rFonts w:hint="default" w:eastAsiaTheme="minorEastAsia"/>
              </w:rPr>
              <w:instrText xml:space="preserve"> = 2 \* GB3 \* MERGEFORMAT </w:instrText>
            </w:r>
            <w:r>
              <w:rPr>
                <w:rFonts w:hint="default" w:eastAsiaTheme="minorEastAsia"/>
              </w:rPr>
              <w:fldChar w:fldCharType="separate"/>
            </w:r>
            <w:r>
              <w:rPr>
                <w:rFonts w:hint="default" w:eastAsiaTheme="minorEastAsia"/>
              </w:rPr>
              <w:t>②</w:t>
            </w:r>
            <w:r>
              <w:rPr>
                <w:rFonts w:hint="default" w:eastAsiaTheme="minorEastAsia"/>
              </w:rPr>
              <w:fldChar w:fldCharType="end"/>
            </w:r>
            <w:r>
              <w:rPr>
                <w:rFonts w:hint="default" w:eastAsiaTheme="minorEastAsia"/>
              </w:rPr>
              <w:t>水质</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eastAsiaTheme="minorEastAsia"/>
                <w:szCs w:val="22"/>
              </w:rPr>
            </w:pPr>
            <w:r>
              <w:rPr>
                <w:rFonts w:hint="eastAsia" w:ascii="Times New Roman" w:hAnsi="Times New Roman"/>
              </w:rPr>
              <w:t>车辆在原料运输过程中会撒落很少量的物料</w:t>
            </w:r>
            <w:r>
              <w:rPr>
                <w:rFonts w:hint="default" w:ascii="Times New Roman" w:hAnsi="Times New Roman"/>
                <w:szCs w:val="22"/>
              </w:rPr>
              <w:t>，主要污染因子为SS</w:t>
            </w:r>
            <w:r>
              <w:rPr>
                <w:rFonts w:hint="default" w:ascii="Times New Roman" w:hAnsi="Times New Roman"/>
              </w:rPr>
              <w:t>。初期雨水</w:t>
            </w:r>
            <w:r>
              <w:rPr>
                <w:rFonts w:hint="default" w:ascii="Times New Roman" w:hAnsi="Times New Roman"/>
                <w:snapToGrid w:val="0"/>
              </w:rPr>
              <w:t>经</w:t>
            </w:r>
            <w:r>
              <w:rPr>
                <w:rFonts w:hint="eastAsia" w:ascii="Times New Roman" w:hAnsi="Times New Roman"/>
                <w:snapToGrid w:val="0"/>
                <w:lang w:eastAsia="zh-CN"/>
              </w:rPr>
              <w:t>初期雨水池</w:t>
            </w:r>
            <w:r>
              <w:rPr>
                <w:rFonts w:hint="eastAsia" w:ascii="Times New Roman" w:hAnsi="Times New Roman"/>
                <w:snapToGrid w:val="0"/>
                <w:lang w:val="en-US" w:eastAsia="zh-CN"/>
              </w:rPr>
              <w:t>沉淀</w:t>
            </w:r>
            <w:r>
              <w:rPr>
                <w:rFonts w:hint="eastAsia" w:ascii="Times New Roman" w:hAnsi="Times New Roman"/>
                <w:snapToGrid w:val="0"/>
              </w:rPr>
              <w:t>处理后</w:t>
            </w:r>
            <w:r>
              <w:rPr>
                <w:rFonts w:hint="default" w:ascii="Times New Roman" w:hAnsi="Times New Roman"/>
              </w:rPr>
              <w:t>废水中</w:t>
            </w:r>
            <w:r>
              <w:rPr>
                <w:rFonts w:hint="eastAsia" w:ascii="Times New Roman" w:hAnsi="Times New Roman"/>
              </w:rPr>
              <w:t>的</w:t>
            </w:r>
            <w:r>
              <w:rPr>
                <w:rFonts w:hint="default" w:ascii="Times New Roman" w:hAnsi="Times New Roman"/>
              </w:rPr>
              <w:t>大多数颗粒物可有效沉淀下来，泥水进行分离，经沉淀后的水用于生产。</w:t>
            </w:r>
          </w:p>
          <w:p>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szCs w:val="22"/>
              </w:rPr>
            </w:pPr>
            <w:r>
              <w:rPr>
                <w:rFonts w:hint="default" w:ascii="Times New Roman" w:hAnsi="Times New Roman"/>
                <w:szCs w:val="22"/>
              </w:rPr>
              <w:fldChar w:fldCharType="begin"/>
            </w:r>
            <w:r>
              <w:rPr>
                <w:rFonts w:hint="default" w:ascii="Times New Roman" w:hAnsi="Times New Roman"/>
                <w:szCs w:val="22"/>
              </w:rPr>
              <w:instrText xml:space="preserve"> = 3 \* GB3 \* MERGEFORMAT </w:instrText>
            </w:r>
            <w:r>
              <w:rPr>
                <w:rFonts w:hint="default" w:ascii="Times New Roman" w:hAnsi="Times New Roman"/>
                <w:szCs w:val="22"/>
              </w:rPr>
              <w:fldChar w:fldCharType="separate"/>
            </w:r>
            <w:r>
              <w:rPr>
                <w:rFonts w:hint="default" w:ascii="Times New Roman" w:hAnsi="Times New Roman"/>
                <w:szCs w:val="22"/>
              </w:rPr>
              <w:t>③</w:t>
            </w:r>
            <w:r>
              <w:rPr>
                <w:rFonts w:hint="default" w:ascii="Times New Roman" w:hAnsi="Times New Roman"/>
                <w:szCs w:val="22"/>
              </w:rPr>
              <w:fldChar w:fldCharType="end"/>
            </w:r>
            <w:r>
              <w:rPr>
                <w:rFonts w:hint="default" w:ascii="Times New Roman" w:hAnsi="Times New Roman"/>
                <w:szCs w:val="22"/>
              </w:rPr>
              <w:t>水量</w:t>
            </w:r>
          </w:p>
          <w:p>
            <w:pPr>
              <w:pStyle w:val="34"/>
              <w:keepNext w:val="0"/>
              <w:keepLines w:val="0"/>
              <w:suppressLineNumbers w:val="0"/>
              <w:spacing w:before="0" w:beforeAutospacing="0" w:after="0" w:afterAutospacing="0" w:line="460" w:lineRule="exact"/>
              <w:ind w:left="0" w:right="0" w:firstLine="480"/>
              <w:rPr>
                <w:rFonts w:hint="default"/>
              </w:rPr>
            </w:pPr>
            <w:r>
              <w:rPr>
                <w:rFonts w:hint="eastAsia"/>
              </w:rPr>
              <w:t>根据工程分析，单次</w:t>
            </w:r>
            <w:r>
              <w:rPr>
                <w:rFonts w:hint="default"/>
              </w:rPr>
              <w:t>初期雨水最大产生量为</w:t>
            </w:r>
            <w:r>
              <w:rPr>
                <w:rFonts w:hint="eastAsia"/>
                <w:lang w:val="en-US" w:eastAsia="zh-CN"/>
              </w:rPr>
              <w:t>12</w:t>
            </w:r>
            <w:r>
              <w:rPr>
                <w:rFonts w:hint="default"/>
              </w:rPr>
              <w:t>m</w:t>
            </w:r>
            <w:r>
              <w:rPr>
                <w:rFonts w:hint="default"/>
                <w:vertAlign w:val="superscript"/>
              </w:rPr>
              <w:t>3</w:t>
            </w:r>
            <w:r>
              <w:rPr>
                <w:rFonts w:hint="default"/>
              </w:rPr>
              <w:t>/次，</w:t>
            </w:r>
            <w:r>
              <w:rPr>
                <w:rFonts w:hint="eastAsia"/>
              </w:rPr>
              <w:t>经</w:t>
            </w:r>
            <w:r>
              <w:rPr>
                <w:rFonts w:hint="eastAsia"/>
                <w:lang w:eastAsia="zh-CN"/>
              </w:rPr>
              <w:t>初期雨水池</w:t>
            </w:r>
            <w:r>
              <w:rPr>
                <w:rFonts w:hint="eastAsia"/>
              </w:rPr>
              <w:t>沉淀处理后回用，拟在厂区北侧门口设置容积不小于</w:t>
            </w:r>
            <w:r>
              <w:rPr>
                <w:rFonts w:hint="eastAsia"/>
                <w:lang w:val="en-US" w:eastAsia="zh-CN"/>
              </w:rPr>
              <w:t>12</w:t>
            </w:r>
            <w:r>
              <w:rPr>
                <w:rFonts w:hint="default"/>
                <w:bCs/>
              </w:rPr>
              <w:t>m</w:t>
            </w:r>
            <w:r>
              <w:rPr>
                <w:rFonts w:hint="default"/>
                <w:bCs/>
                <w:vertAlign w:val="superscript"/>
              </w:rPr>
              <w:t>3</w:t>
            </w:r>
            <w:r>
              <w:rPr>
                <w:rFonts w:hint="eastAsia"/>
              </w:rPr>
              <w:t>的</w:t>
            </w:r>
            <w:r>
              <w:rPr>
                <w:rFonts w:hint="eastAsia"/>
                <w:lang w:eastAsia="zh-CN"/>
              </w:rPr>
              <w:t>初期雨水池</w:t>
            </w:r>
            <w:r>
              <w:rPr>
                <w:rFonts w:hint="eastAsia"/>
              </w:rPr>
              <w:t>，可满足需求。</w:t>
            </w:r>
          </w:p>
          <w:p>
            <w:pPr>
              <w:pStyle w:val="34"/>
              <w:keepNext w:val="0"/>
              <w:keepLines w:val="0"/>
              <w:suppressLineNumbers w:val="0"/>
              <w:spacing w:before="0" w:beforeAutospacing="0" w:after="0" w:afterAutospacing="0" w:line="460" w:lineRule="exact"/>
              <w:ind w:left="0" w:right="0" w:firstLine="480"/>
              <w:rPr>
                <w:rFonts w:hint="default" w:eastAsiaTheme="minorEastAsia"/>
              </w:rPr>
            </w:pPr>
            <w:r>
              <w:rPr>
                <w:rFonts w:hint="default" w:eastAsiaTheme="minorEastAsia"/>
              </w:rPr>
              <w:t>综上所述，从水质、水量和设施处理能力分析，项目初期雨水</w:t>
            </w:r>
            <w:r>
              <w:rPr>
                <w:rFonts w:hint="eastAsia" w:eastAsiaTheme="minorEastAsia"/>
              </w:rPr>
              <w:t>收集、处理方案可行。</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3</w:t>
            </w:r>
            <w:r>
              <w:rPr>
                <w:rFonts w:hint="default" w:ascii="Times New Roman" w:hAnsi="Times New Roman" w:eastAsia="黑体"/>
                <w:b/>
                <w:bCs/>
              </w:rPr>
              <w:t>.3水环境影响分析</w:t>
            </w:r>
          </w:p>
          <w:p>
            <w:pPr>
              <w:pStyle w:val="3"/>
              <w:keepNext w:val="0"/>
              <w:keepLines w:val="0"/>
              <w:suppressLineNumbers w:val="0"/>
              <w:spacing w:beforeAutospacing="0" w:after="0" w:afterAutospacing="0" w:line="440" w:lineRule="exact"/>
              <w:ind w:left="0" w:firstLine="480" w:firstLineChars="200"/>
              <w:jc w:val="left"/>
              <w:rPr>
                <w:rFonts w:hint="default" w:ascii="Times New Roman" w:hAnsi="Times New Roman"/>
              </w:rPr>
            </w:pPr>
            <w:r>
              <w:rPr>
                <w:rFonts w:hint="default" w:ascii="Times New Roman" w:hAnsi="Times New Roman"/>
              </w:rPr>
              <w:t>项目生产废水经沉淀处理后循环回用，不外排，正常生产基本不会对周边地表水体产生污染；项目员工均不在厂区内食宿，生活污水经地埋式生活污水处理设施处理后用于周边山林地</w:t>
            </w:r>
            <w:r>
              <w:rPr>
                <w:rFonts w:hint="eastAsia" w:ascii="Times New Roman" w:hAnsi="Times New Roman"/>
              </w:rPr>
              <w:t>灌溉</w:t>
            </w:r>
            <w:r>
              <w:rPr>
                <w:rFonts w:hint="default" w:ascii="Times New Roman" w:hAnsi="Times New Roman"/>
              </w:rPr>
              <w:t>。</w:t>
            </w:r>
          </w:p>
          <w:p>
            <w:pPr>
              <w:pStyle w:val="3"/>
              <w:keepNext w:val="0"/>
              <w:keepLines w:val="0"/>
              <w:suppressLineNumbers w:val="0"/>
              <w:spacing w:beforeAutospacing="0" w:after="0" w:afterAutospacing="0" w:line="440" w:lineRule="exact"/>
              <w:ind w:left="0" w:firstLine="480" w:firstLineChars="200"/>
              <w:jc w:val="left"/>
              <w:rPr>
                <w:rFonts w:hint="default" w:ascii="Times New Roman" w:hAnsi="Times New Roman"/>
              </w:rPr>
            </w:pPr>
            <w:r>
              <w:rPr>
                <w:rFonts w:hint="default" w:ascii="Times New Roman" w:hAnsi="Times New Roman"/>
              </w:rPr>
              <w:t>因此，项目正常生产不会对周边环境造成影响。</w:t>
            </w:r>
          </w:p>
          <w:p>
            <w:pPr>
              <w:pStyle w:val="8"/>
              <w:numPr>
                <w:ilvl w:val="0"/>
                <w:numId w:val="0"/>
              </w:numPr>
              <w:suppressLineNumbers w:val="0"/>
              <w:spacing w:before="0" w:beforeAutospacing="0" w:after="0" w:afterAutospacing="0" w:line="440" w:lineRule="exact"/>
              <w:ind w:left="0" w:right="0"/>
              <w:rPr>
                <w:rFonts w:hint="default" w:ascii="Times New Roman" w:hAnsi="Times New Roman"/>
                <w:color w:val="auto"/>
                <w:szCs w:val="24"/>
              </w:rPr>
            </w:pPr>
            <w:r>
              <w:rPr>
                <w:rFonts w:hint="default" w:ascii="Times New Roman" w:hAnsi="Times New Roman"/>
                <w:color w:val="auto"/>
                <w:szCs w:val="24"/>
              </w:rPr>
              <w:t>4.2.</w:t>
            </w:r>
            <w:r>
              <w:rPr>
                <w:rFonts w:hint="eastAsia" w:ascii="Times New Roman" w:hAnsi="Times New Roman"/>
                <w:color w:val="auto"/>
                <w:szCs w:val="24"/>
              </w:rPr>
              <w:t>4</w:t>
            </w:r>
            <w:r>
              <w:rPr>
                <w:rFonts w:hint="default" w:ascii="Times New Roman" w:hAnsi="Times New Roman"/>
                <w:color w:val="auto"/>
                <w:szCs w:val="24"/>
              </w:rPr>
              <w:t>噪声</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lang w:val="en-US" w:eastAsia="zh-CN"/>
              </w:rPr>
            </w:pPr>
            <w:r>
              <w:rPr>
                <w:rFonts w:hint="default" w:ascii="Times New Roman" w:hAnsi="Times New Roman" w:eastAsia="黑体"/>
                <w:b/>
                <w:bCs/>
              </w:rPr>
              <w:t>4.2.</w:t>
            </w:r>
            <w:r>
              <w:rPr>
                <w:rFonts w:hint="eastAsia" w:ascii="Times New Roman" w:hAnsi="Times New Roman" w:eastAsia="黑体"/>
                <w:b/>
                <w:bCs/>
              </w:rPr>
              <w:t>4</w:t>
            </w:r>
            <w:r>
              <w:rPr>
                <w:rFonts w:hint="default" w:ascii="Times New Roman" w:hAnsi="Times New Roman" w:eastAsia="黑体"/>
                <w:b/>
                <w:bCs/>
              </w:rPr>
              <w:t>.1</w:t>
            </w:r>
            <w:r>
              <w:rPr>
                <w:rFonts w:hint="eastAsia" w:ascii="Times New Roman" w:hAnsi="Times New Roman" w:eastAsia="黑体"/>
                <w:b/>
                <w:bCs/>
                <w:lang w:val="en-US" w:eastAsia="zh-CN"/>
              </w:rPr>
              <w:t>噪声源强</w:t>
            </w:r>
          </w:p>
          <w:p>
            <w:pPr>
              <w:pStyle w:val="3"/>
              <w:keepNext w:val="0"/>
              <w:keepLines w:val="0"/>
              <w:suppressLineNumbers w:val="0"/>
              <w:spacing w:beforeAutospacing="0" w:after="0" w:afterAutospacing="0" w:line="440" w:lineRule="exact"/>
              <w:ind w:left="0" w:firstLine="480" w:firstLineChars="200"/>
              <w:jc w:val="left"/>
              <w:rPr>
                <w:rFonts w:hint="default" w:ascii="Times New Roman" w:hAnsi="Times New Roman"/>
              </w:rPr>
            </w:pPr>
            <w:r>
              <w:rPr>
                <w:rFonts w:hint="eastAsia" w:ascii="Times New Roman" w:hAnsi="Times New Roman"/>
              </w:rPr>
              <w:t>（1）噪声源强</w:t>
            </w:r>
          </w:p>
          <w:p>
            <w:pPr>
              <w:pStyle w:val="3"/>
              <w:keepNext w:val="0"/>
              <w:keepLines w:val="0"/>
              <w:suppressLineNumbers w:val="0"/>
              <w:spacing w:beforeAutospacing="0" w:after="0" w:afterAutospacing="0" w:line="440" w:lineRule="exact"/>
              <w:ind w:left="0" w:firstLine="480" w:firstLineChars="200"/>
              <w:jc w:val="left"/>
              <w:rPr>
                <w:rFonts w:hint="eastAsia" w:ascii="Times New Roman" w:hAnsi="Times New Roman"/>
              </w:rPr>
            </w:pPr>
            <w:r>
              <w:rPr>
                <w:rFonts w:hint="eastAsia" w:ascii="Times New Roman" w:hAnsi="Times New Roman"/>
              </w:rPr>
              <w:t>本项目主要噪声源强汇总见下表。</w:t>
            </w:r>
          </w:p>
          <w:p>
            <w:pPr>
              <w:keepNext w:val="0"/>
              <w:keepLines w:val="0"/>
              <w:suppressLineNumbers w:val="0"/>
              <w:spacing w:before="0" w:beforeAutospacing="0" w:after="0" w:afterAutospacing="0"/>
              <w:ind w:left="0" w:right="0"/>
              <w:rPr>
                <w:rFonts w:hint="eastAsia" w:ascii="Times New Roman" w:hAnsi="Times New Roman"/>
              </w:rPr>
            </w:pPr>
          </w:p>
          <w:p>
            <w:pPr>
              <w:pStyle w:val="2"/>
              <w:keepNext w:val="0"/>
              <w:keepLines w:val="0"/>
              <w:suppressLineNumbers w:val="0"/>
              <w:spacing w:before="0" w:beforeAutospacing="0" w:after="0" w:afterAutospacing="0"/>
              <w:ind w:right="0"/>
              <w:rPr>
                <w:rFonts w:hint="eastAsia" w:ascii="Times New Roman" w:hAnsi="Times New Roman"/>
              </w:rPr>
            </w:pPr>
          </w:p>
          <w:p>
            <w:pPr>
              <w:pStyle w:val="3"/>
              <w:keepNext w:val="0"/>
              <w:keepLines w:val="0"/>
              <w:suppressLineNumbers w:val="0"/>
              <w:spacing w:beforeAutospacing="0" w:afterAutospacing="0"/>
              <w:ind w:left="0"/>
              <w:rPr>
                <w:rFonts w:hint="default"/>
              </w:rPr>
            </w:pPr>
          </w:p>
          <w:p>
            <w:pPr>
              <w:pStyle w:val="33"/>
              <w:keepNext w:val="0"/>
              <w:keepLines w:val="0"/>
              <w:suppressLineNumbers w:val="0"/>
              <w:spacing w:before="0" w:beforeLines="0" w:beforeAutospacing="0" w:after="0" w:afterAutospacing="0"/>
              <w:ind w:left="0" w:right="0"/>
              <w:rPr>
                <w:rFonts w:hint="default"/>
                <w:color w:val="auto"/>
              </w:rPr>
            </w:pPr>
            <w:r>
              <w:rPr>
                <w:rFonts w:hint="default" w:ascii="Times New Roman" w:hAnsi="Times New Roman"/>
                <w:b/>
                <w:bCs/>
                <w:color w:val="auto"/>
                <w:sz w:val="21"/>
                <w:szCs w:val="21"/>
              </w:rPr>
              <w:t>表4.2-</w:t>
            </w:r>
            <w:r>
              <w:rPr>
                <w:rFonts w:hint="eastAsia" w:ascii="Times New Roman" w:hAnsi="Times New Roman"/>
                <w:b/>
                <w:bCs/>
                <w:color w:val="auto"/>
                <w:sz w:val="21"/>
                <w:szCs w:val="21"/>
              </w:rPr>
              <w:t>7</w:t>
            </w:r>
            <w:r>
              <w:rPr>
                <w:rFonts w:hint="default" w:ascii="Times New Roman" w:hAnsi="Times New Roman"/>
                <w:b/>
                <w:bCs/>
                <w:color w:val="auto"/>
                <w:sz w:val="21"/>
                <w:szCs w:val="21"/>
              </w:rPr>
              <w:t xml:space="preserve"> 主要设备噪声源强一览表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161"/>
              <w:gridCol w:w="1573"/>
              <w:gridCol w:w="1180"/>
              <w:gridCol w:w="1763"/>
              <w:gridCol w:w="1219"/>
              <w:gridCol w:w="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4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类型</w:t>
                  </w:r>
                </w:p>
              </w:tc>
              <w:tc>
                <w:tcPr>
                  <w:tcW w:w="685"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车间/工段</w:t>
                  </w:r>
                </w:p>
              </w:tc>
              <w:tc>
                <w:tcPr>
                  <w:tcW w:w="92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噪声源</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名称</w:t>
                  </w:r>
                </w:p>
              </w:tc>
              <w:tc>
                <w:tcPr>
                  <w:tcW w:w="696"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A声压级dB(A)</w:t>
                  </w:r>
                </w:p>
              </w:tc>
              <w:tc>
                <w:tcPr>
                  <w:tcW w:w="1040"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降噪措施及效果dB(A)</w:t>
                  </w:r>
                </w:p>
              </w:tc>
              <w:tc>
                <w:tcPr>
                  <w:tcW w:w="71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数量</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(台/条)</w:t>
                  </w:r>
                </w:p>
              </w:tc>
              <w:tc>
                <w:tcPr>
                  <w:tcW w:w="485"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发声特性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44"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室外噪声</w:t>
                  </w:r>
                </w:p>
              </w:tc>
              <w:tc>
                <w:tcPr>
                  <w:tcW w:w="685"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砂石加工</w:t>
                  </w:r>
                </w:p>
              </w:tc>
              <w:tc>
                <w:tcPr>
                  <w:tcW w:w="92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69破碎机</w:t>
                  </w:r>
                </w:p>
              </w:tc>
              <w:tc>
                <w:tcPr>
                  <w:tcW w:w="696"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华文宋体"/>
                      <w:sz w:val="21"/>
                      <w:szCs w:val="21"/>
                    </w:rPr>
                  </w:pPr>
                  <w:r>
                    <w:rPr>
                      <w:rFonts w:hint="default" w:ascii="Times New Roman" w:hAnsi="Times New Roman"/>
                      <w:sz w:val="21"/>
                      <w:szCs w:val="21"/>
                    </w:rPr>
                    <w:t>80</w:t>
                  </w:r>
                  <w:r>
                    <w:rPr>
                      <w:rFonts w:hint="default" w:ascii="Times New Roman" w:hAnsi="Times New Roman" w:eastAsia="华文宋体"/>
                      <w:sz w:val="21"/>
                      <w:szCs w:val="21"/>
                    </w:rPr>
                    <w:t>~</w:t>
                  </w:r>
                  <w:r>
                    <w:rPr>
                      <w:rFonts w:hint="eastAsia" w:ascii="Times New Roman" w:hAnsi="Times New Roman" w:eastAsia="华文宋体"/>
                      <w:sz w:val="21"/>
                      <w:szCs w:val="21"/>
                    </w:rPr>
                    <w:t>100</w:t>
                  </w:r>
                </w:p>
              </w:tc>
              <w:tc>
                <w:tcPr>
                  <w:tcW w:w="1040"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半</w:t>
                  </w:r>
                  <w:r>
                    <w:rPr>
                      <w:rFonts w:hint="default" w:ascii="Times New Roman" w:hAnsi="Times New Roman"/>
                      <w:sz w:val="21"/>
                      <w:szCs w:val="21"/>
                    </w:rPr>
                    <w:t>封闭厂房，</w:t>
                  </w:r>
                  <w:r>
                    <w:rPr>
                      <w:rFonts w:hint="eastAsia" w:ascii="Times New Roman" w:hAnsi="Times New Roman"/>
                      <w:sz w:val="21"/>
                      <w:szCs w:val="21"/>
                    </w:rPr>
                    <w:t>设置减震垫，</w:t>
                  </w:r>
                  <w:r>
                    <w:rPr>
                      <w:rFonts w:hint="default" w:ascii="Times New Roman" w:hAnsi="Times New Roman"/>
                      <w:sz w:val="21"/>
                      <w:szCs w:val="21"/>
                    </w:rPr>
                    <w:t>降噪</w:t>
                  </w:r>
                  <w:r>
                    <w:rPr>
                      <w:rFonts w:hint="eastAsia" w:ascii="Times New Roman" w:hAnsi="Times New Roman"/>
                      <w:sz w:val="21"/>
                      <w:szCs w:val="21"/>
                    </w:rPr>
                    <w:t>20</w:t>
                  </w:r>
                  <w:r>
                    <w:rPr>
                      <w:rFonts w:hint="default" w:ascii="Times New Roman" w:hAnsi="Times New Roman"/>
                      <w:sz w:val="21"/>
                      <w:szCs w:val="21"/>
                    </w:rPr>
                    <w:t>dB（A）</w:t>
                  </w:r>
                </w:p>
              </w:tc>
              <w:tc>
                <w:tcPr>
                  <w:tcW w:w="71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w:t>
                  </w:r>
                </w:p>
              </w:tc>
              <w:tc>
                <w:tcPr>
                  <w:tcW w:w="485"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频发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44" w:type="pct"/>
                  <w:vMerge w:val="continue"/>
                  <w:vAlign w:val="center"/>
                </w:tcPr>
                <w:p>
                  <w:pPr>
                    <w:keepNext w:val="0"/>
                    <w:keepLines w:val="0"/>
                    <w:suppressLineNumbers w:val="0"/>
                    <w:spacing w:before="0" w:beforeAutospacing="0" w:after="0" w:afterAutospacing="0"/>
                    <w:ind w:left="0" w:right="0"/>
                    <w:rPr>
                      <w:rFonts w:hint="default" w:ascii="Times New Roman" w:hAnsi="Times New Roman"/>
                      <w:sz w:val="21"/>
                      <w:szCs w:val="21"/>
                    </w:rPr>
                  </w:pPr>
                </w:p>
              </w:tc>
              <w:tc>
                <w:tcPr>
                  <w:tcW w:w="6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92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圆锥破碎机</w:t>
                  </w:r>
                </w:p>
              </w:tc>
              <w:tc>
                <w:tcPr>
                  <w:tcW w:w="696"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80</w:t>
                  </w:r>
                  <w:r>
                    <w:rPr>
                      <w:rFonts w:hint="default" w:ascii="Times New Roman" w:hAnsi="Times New Roman" w:eastAsia="华文宋体"/>
                      <w:sz w:val="21"/>
                      <w:szCs w:val="21"/>
                    </w:rPr>
                    <w:t>~90</w:t>
                  </w:r>
                </w:p>
              </w:tc>
              <w:tc>
                <w:tcPr>
                  <w:tcW w:w="1040"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71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w:t>
                  </w:r>
                </w:p>
              </w:tc>
              <w:tc>
                <w:tcPr>
                  <w:tcW w:w="4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44" w:type="pct"/>
                  <w:vMerge w:val="continue"/>
                  <w:vAlign w:val="center"/>
                </w:tcPr>
                <w:p>
                  <w:pPr>
                    <w:keepNext w:val="0"/>
                    <w:keepLines w:val="0"/>
                    <w:suppressLineNumbers w:val="0"/>
                    <w:spacing w:before="0" w:beforeAutospacing="0" w:after="0" w:afterAutospacing="0"/>
                    <w:ind w:left="0" w:right="0"/>
                    <w:rPr>
                      <w:rFonts w:hint="default" w:ascii="Times New Roman" w:hAnsi="Times New Roman"/>
                      <w:sz w:val="21"/>
                      <w:szCs w:val="21"/>
                    </w:rPr>
                  </w:pPr>
                </w:p>
              </w:tc>
              <w:tc>
                <w:tcPr>
                  <w:tcW w:w="6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92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振动筛</w:t>
                  </w:r>
                </w:p>
              </w:tc>
              <w:tc>
                <w:tcPr>
                  <w:tcW w:w="696"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80-90</w:t>
                  </w:r>
                </w:p>
              </w:tc>
              <w:tc>
                <w:tcPr>
                  <w:tcW w:w="1040"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71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2</w:t>
                  </w:r>
                </w:p>
              </w:tc>
              <w:tc>
                <w:tcPr>
                  <w:tcW w:w="4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44" w:type="pct"/>
                  <w:vMerge w:val="continue"/>
                  <w:vAlign w:val="center"/>
                </w:tcPr>
                <w:p>
                  <w:pPr>
                    <w:keepNext w:val="0"/>
                    <w:keepLines w:val="0"/>
                    <w:suppressLineNumbers w:val="0"/>
                    <w:spacing w:before="0" w:beforeAutospacing="0" w:after="0" w:afterAutospacing="0"/>
                    <w:ind w:left="0" w:right="0"/>
                    <w:rPr>
                      <w:rFonts w:hint="default" w:ascii="Times New Roman" w:hAnsi="Times New Roman"/>
                      <w:sz w:val="21"/>
                      <w:szCs w:val="21"/>
                    </w:rPr>
                  </w:pPr>
                </w:p>
              </w:tc>
              <w:tc>
                <w:tcPr>
                  <w:tcW w:w="6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92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整形机</w:t>
                  </w:r>
                </w:p>
              </w:tc>
              <w:tc>
                <w:tcPr>
                  <w:tcW w:w="696"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80-90</w:t>
                  </w:r>
                </w:p>
              </w:tc>
              <w:tc>
                <w:tcPr>
                  <w:tcW w:w="1040"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71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w:t>
                  </w:r>
                </w:p>
              </w:tc>
              <w:tc>
                <w:tcPr>
                  <w:tcW w:w="4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44" w:type="pct"/>
                  <w:vMerge w:val="continue"/>
                  <w:vAlign w:val="center"/>
                </w:tcPr>
                <w:p>
                  <w:pPr>
                    <w:keepNext w:val="0"/>
                    <w:keepLines w:val="0"/>
                    <w:suppressLineNumbers w:val="0"/>
                    <w:spacing w:before="0" w:beforeAutospacing="0" w:after="0" w:afterAutospacing="0"/>
                    <w:ind w:left="0" w:right="0"/>
                    <w:rPr>
                      <w:rFonts w:hint="default" w:ascii="Times New Roman" w:hAnsi="Times New Roman"/>
                      <w:sz w:val="21"/>
                      <w:szCs w:val="21"/>
                    </w:rPr>
                  </w:pPr>
                </w:p>
              </w:tc>
              <w:tc>
                <w:tcPr>
                  <w:tcW w:w="6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92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对辊式制砂机</w:t>
                  </w:r>
                </w:p>
              </w:tc>
              <w:tc>
                <w:tcPr>
                  <w:tcW w:w="696"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75-85</w:t>
                  </w:r>
                </w:p>
              </w:tc>
              <w:tc>
                <w:tcPr>
                  <w:tcW w:w="1040"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71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w:t>
                  </w:r>
                </w:p>
              </w:tc>
              <w:tc>
                <w:tcPr>
                  <w:tcW w:w="4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44" w:type="pct"/>
                  <w:vMerge w:val="continue"/>
                  <w:vAlign w:val="center"/>
                </w:tcPr>
                <w:p>
                  <w:pPr>
                    <w:keepNext w:val="0"/>
                    <w:keepLines w:val="0"/>
                    <w:suppressLineNumbers w:val="0"/>
                    <w:spacing w:before="0" w:beforeAutospacing="0" w:after="0" w:afterAutospacing="0"/>
                    <w:ind w:left="0" w:right="0"/>
                    <w:rPr>
                      <w:rFonts w:hint="default" w:ascii="Times New Roman" w:hAnsi="Times New Roman"/>
                      <w:sz w:val="21"/>
                      <w:szCs w:val="21"/>
                    </w:rPr>
                  </w:pPr>
                </w:p>
              </w:tc>
              <w:tc>
                <w:tcPr>
                  <w:tcW w:w="6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92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滚筒式洗砂机</w:t>
                  </w:r>
                </w:p>
              </w:tc>
              <w:tc>
                <w:tcPr>
                  <w:tcW w:w="696"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70-80</w:t>
                  </w:r>
                </w:p>
              </w:tc>
              <w:tc>
                <w:tcPr>
                  <w:tcW w:w="1040"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p>
              </w:tc>
              <w:tc>
                <w:tcPr>
                  <w:tcW w:w="71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w:t>
                  </w:r>
                </w:p>
              </w:tc>
              <w:tc>
                <w:tcPr>
                  <w:tcW w:w="48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sz w:val="18"/>
                      <w:szCs w:val="18"/>
                    </w:rPr>
                  </w:pPr>
                </w:p>
              </w:tc>
            </w:tr>
          </w:tbl>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4</w:t>
            </w:r>
            <w:r>
              <w:rPr>
                <w:rFonts w:hint="default" w:ascii="Times New Roman" w:hAnsi="Times New Roman" w:eastAsia="黑体"/>
                <w:b/>
                <w:bCs/>
              </w:rPr>
              <w:t>.</w:t>
            </w:r>
            <w:r>
              <w:rPr>
                <w:rFonts w:hint="eastAsia" w:ascii="Times New Roman" w:hAnsi="Times New Roman" w:eastAsia="黑体"/>
                <w:b/>
                <w:bCs/>
                <w:lang w:val="en-US" w:eastAsia="zh-CN"/>
              </w:rPr>
              <w:t>2</w:t>
            </w:r>
            <w:r>
              <w:rPr>
                <w:rFonts w:hint="eastAsia" w:ascii="Times New Roman" w:hAnsi="Times New Roman" w:eastAsia="黑体"/>
                <w:b/>
                <w:bCs/>
              </w:rPr>
              <w:t>预测模型</w:t>
            </w:r>
          </w:p>
          <w:p>
            <w:pPr>
              <w:pStyle w:val="3"/>
              <w:keepNext w:val="0"/>
              <w:keepLines w:val="0"/>
              <w:suppressLineNumbers w:val="0"/>
              <w:spacing w:beforeAutospacing="0" w:after="0" w:afterAutospacing="0" w:line="440" w:lineRule="exact"/>
              <w:ind w:left="0" w:firstLine="480" w:firstLineChars="200"/>
              <w:jc w:val="left"/>
              <w:rPr>
                <w:rFonts w:hint="default" w:ascii="Times New Roman" w:hAnsi="Times New Roman"/>
              </w:rPr>
            </w:pPr>
            <w:r>
              <w:rPr>
                <w:rFonts w:hint="eastAsia" w:ascii="Times New Roman" w:hAnsi="Times New Roman"/>
              </w:rPr>
              <w:t>本评价选取《环境影响评价技术导则</w:t>
            </w:r>
            <w:r>
              <w:rPr>
                <w:rFonts w:hint="default" w:ascii="Times New Roman" w:hAnsi="Times New Roman"/>
              </w:rPr>
              <w:t xml:space="preserve"> </w:t>
            </w:r>
            <w:r>
              <w:rPr>
                <w:rFonts w:hint="eastAsia" w:ascii="Times New Roman" w:hAnsi="Times New Roman"/>
              </w:rPr>
              <w:t>声环境》（</w:t>
            </w:r>
            <w:r>
              <w:rPr>
                <w:rFonts w:hint="default" w:ascii="Times New Roman" w:hAnsi="Times New Roman"/>
              </w:rPr>
              <w:t>HJ2.4-2021</w:t>
            </w:r>
            <w:r>
              <w:rPr>
                <w:rFonts w:hint="eastAsia" w:ascii="Times New Roman" w:hAnsi="Times New Roman"/>
              </w:rPr>
              <w:t>）推荐的典型行业噪声预测模型作为噪声预测模型，采用六五软件工作室开发的</w:t>
            </w:r>
            <w:r>
              <w:rPr>
                <w:rFonts w:hint="default" w:ascii="Times New Roman" w:hAnsi="Times New Roman"/>
              </w:rPr>
              <w:t>EIAProN2021</w:t>
            </w:r>
            <w:r>
              <w:rPr>
                <w:rFonts w:hint="eastAsia" w:ascii="Times New Roman" w:hAnsi="Times New Roman"/>
              </w:rPr>
              <w:t>版软件（版本号为</w:t>
            </w:r>
            <w:r>
              <w:rPr>
                <w:rFonts w:hint="default" w:ascii="Times New Roman" w:hAnsi="Times New Roman"/>
              </w:rPr>
              <w:t>V2.5.209</w:t>
            </w:r>
            <w:r>
              <w:rPr>
                <w:rFonts w:hint="eastAsia" w:ascii="Times New Roman" w:hAnsi="Times New Roman"/>
              </w:rPr>
              <w:t>）。</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4</w:t>
            </w:r>
            <w:r>
              <w:rPr>
                <w:rFonts w:hint="default" w:ascii="Times New Roman" w:hAnsi="Times New Roman" w:eastAsia="黑体"/>
                <w:b/>
                <w:bCs/>
              </w:rPr>
              <w:t>.</w:t>
            </w:r>
            <w:r>
              <w:rPr>
                <w:rFonts w:hint="eastAsia" w:ascii="Times New Roman" w:hAnsi="Times New Roman" w:eastAsia="黑体"/>
                <w:b/>
                <w:bCs/>
                <w:lang w:val="en-US" w:eastAsia="zh-CN"/>
              </w:rPr>
              <w:t>3</w:t>
            </w:r>
            <w:r>
              <w:rPr>
                <w:rFonts w:hint="eastAsia" w:ascii="Times New Roman" w:hAnsi="Times New Roman" w:eastAsia="黑体"/>
                <w:b/>
                <w:bCs/>
              </w:rPr>
              <w:t>预测参数</w:t>
            </w:r>
          </w:p>
          <w:p>
            <w:pPr>
              <w:pStyle w:val="3"/>
              <w:keepNext w:val="0"/>
              <w:keepLines w:val="0"/>
              <w:suppressLineNumbers w:val="0"/>
              <w:spacing w:beforeAutospacing="0" w:after="0" w:afterAutospacing="0" w:line="440" w:lineRule="exact"/>
              <w:ind w:left="0" w:firstLine="480" w:firstLineChars="200"/>
              <w:jc w:val="left"/>
              <w:rPr>
                <w:rFonts w:hint="default" w:ascii="Times New Roman" w:hAnsi="Times New Roman"/>
              </w:rPr>
            </w:pPr>
            <w:r>
              <w:rPr>
                <w:rFonts w:hint="eastAsia" w:ascii="Times New Roman" w:hAnsi="Times New Roman"/>
              </w:rPr>
              <w:t>（</w:t>
            </w:r>
            <w:r>
              <w:rPr>
                <w:rFonts w:hint="eastAsia" w:ascii="Times New Roman" w:hAnsi="Times New Roman"/>
                <w:lang w:val="en-US" w:eastAsia="zh-CN"/>
              </w:rPr>
              <w:t>1</w:t>
            </w:r>
            <w:r>
              <w:rPr>
                <w:rFonts w:hint="eastAsia" w:ascii="Times New Roman" w:hAnsi="Times New Roman"/>
              </w:rPr>
              <w:t>）基础数据</w:t>
            </w:r>
          </w:p>
          <w:p>
            <w:pPr>
              <w:pStyle w:val="3"/>
              <w:keepNext w:val="0"/>
              <w:keepLines w:val="0"/>
              <w:suppressLineNumbers w:val="0"/>
              <w:spacing w:beforeAutospacing="0" w:after="0" w:afterAutospacing="0" w:line="440" w:lineRule="exact"/>
              <w:ind w:left="0" w:firstLine="480" w:firstLineChars="200"/>
              <w:jc w:val="left"/>
              <w:rPr>
                <w:rFonts w:hint="eastAsia" w:ascii="Times New Roman" w:hAnsi="Times New Roman"/>
              </w:rPr>
            </w:pPr>
            <w:r>
              <w:rPr>
                <w:rFonts w:hint="eastAsia" w:ascii="Times New Roman" w:hAnsi="Times New Roman"/>
              </w:rPr>
              <w:t>项目噪声环境影响预测基础数据见下表。</w:t>
            </w:r>
          </w:p>
          <w:p>
            <w:pPr>
              <w:pStyle w:val="33"/>
              <w:keepNext w:val="0"/>
              <w:keepLines w:val="0"/>
              <w:suppressLineNumbers w:val="0"/>
              <w:spacing w:before="120" w:beforeAutospacing="0" w:after="0" w:afterAutospacing="0"/>
              <w:ind w:left="0" w:right="0" w:firstLine="422"/>
              <w:rPr>
                <w:rFonts w:hint="default" w:ascii="Times New Roman" w:hAnsi="Times New Roman"/>
                <w:b/>
                <w:bCs/>
                <w:sz w:val="21"/>
                <w:szCs w:val="21"/>
                <w:highlight w:val="yellow"/>
              </w:rPr>
            </w:pPr>
            <w:r>
              <w:rPr>
                <w:rFonts w:hint="default" w:ascii="Times New Roman" w:hAnsi="Times New Roman"/>
                <w:b/>
                <w:bCs/>
                <w:sz w:val="21"/>
                <w:szCs w:val="21"/>
              </w:rPr>
              <w:t>表4.2-</w:t>
            </w:r>
            <w:r>
              <w:rPr>
                <w:rFonts w:hint="eastAsia" w:ascii="Times New Roman" w:hAnsi="Times New Roman"/>
                <w:b/>
                <w:bCs/>
                <w:sz w:val="21"/>
                <w:szCs w:val="21"/>
              </w:rPr>
              <w:t>8</w:t>
            </w:r>
            <w:r>
              <w:rPr>
                <w:rFonts w:hint="default" w:ascii="Times New Roman" w:hAnsi="Times New Roman"/>
                <w:b/>
                <w:bCs/>
                <w:sz w:val="21"/>
                <w:szCs w:val="21"/>
              </w:rPr>
              <w:t xml:space="preserve"> </w:t>
            </w:r>
            <w:r>
              <w:rPr>
                <w:rFonts w:hint="eastAsia" w:ascii="Times New Roman" w:hAnsi="Times New Roman"/>
                <w:b/>
                <w:bCs/>
                <w:sz w:val="21"/>
                <w:szCs w:val="21"/>
              </w:rPr>
              <w:t>项目噪声环境影响预测基础数据表</w:t>
            </w:r>
          </w:p>
          <w:tbl>
            <w:tblPr>
              <w:tblStyle w:val="25"/>
              <w:tblW w:w="4998"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2371"/>
              <w:gridCol w:w="1497"/>
              <w:gridCol w:w="282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48" w:type="pct"/>
                  <w:tcBorders>
                    <w:top w:val="single" w:color="auto" w:sz="12"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b/>
                      <w:bCs/>
                      <w:kern w:val="0"/>
                      <w:szCs w:val="21"/>
                      <w:shd w:val="clear" w:color="auto" w:fill="FFFFFF"/>
                    </w:rPr>
                  </w:pPr>
                  <w:r>
                    <w:rPr>
                      <w:rFonts w:hint="eastAsia" w:ascii="Times New Roman" w:hAnsi="Times New Roman" w:cs="宋体"/>
                      <w:b/>
                      <w:bCs/>
                      <w:kern w:val="0"/>
                      <w:sz w:val="21"/>
                      <w:szCs w:val="21"/>
                      <w:shd w:val="clear" w:color="auto" w:fill="FFFFFF"/>
                      <w:lang w:bidi="ar"/>
                    </w:rPr>
                    <w:t>序号</w:t>
                  </w:r>
                </w:p>
              </w:tc>
              <w:tc>
                <w:tcPr>
                  <w:tcW w:w="1399"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b/>
                      <w:bCs/>
                      <w:kern w:val="0"/>
                      <w:szCs w:val="21"/>
                      <w:shd w:val="clear" w:color="auto" w:fill="FFFFFF"/>
                    </w:rPr>
                  </w:pPr>
                  <w:r>
                    <w:rPr>
                      <w:rFonts w:hint="eastAsia" w:ascii="Times New Roman" w:hAnsi="Times New Roman" w:cs="宋体"/>
                      <w:b/>
                      <w:bCs/>
                      <w:kern w:val="0"/>
                      <w:sz w:val="21"/>
                      <w:szCs w:val="21"/>
                      <w:shd w:val="clear" w:color="auto" w:fill="FFFFFF"/>
                      <w:lang w:bidi="ar"/>
                    </w:rPr>
                    <w:t>名称</w:t>
                  </w:r>
                </w:p>
              </w:tc>
              <w:tc>
                <w:tcPr>
                  <w:tcW w:w="883"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b/>
                      <w:bCs/>
                      <w:kern w:val="0"/>
                      <w:szCs w:val="21"/>
                      <w:shd w:val="clear" w:color="auto" w:fill="FFFFFF"/>
                    </w:rPr>
                  </w:pPr>
                  <w:r>
                    <w:rPr>
                      <w:rFonts w:hint="eastAsia" w:ascii="Times New Roman" w:hAnsi="Times New Roman" w:cs="宋体"/>
                      <w:b/>
                      <w:bCs/>
                      <w:kern w:val="0"/>
                      <w:sz w:val="21"/>
                      <w:szCs w:val="21"/>
                      <w:shd w:val="clear" w:color="auto" w:fill="FFFFFF"/>
                      <w:lang w:bidi="ar"/>
                    </w:rPr>
                    <w:t>单位</w:t>
                  </w:r>
                </w:p>
              </w:tc>
              <w:tc>
                <w:tcPr>
                  <w:tcW w:w="1668" w:type="pct"/>
                  <w:tcBorders>
                    <w:top w:val="single" w:color="auto" w:sz="12" w:space="0"/>
                    <w:left w:val="single" w:color="auto" w:sz="4" w:space="0"/>
                    <w:bottom w:val="single" w:color="auto" w:sz="4" w:space="0"/>
                    <w:right w:val="nil"/>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b/>
                      <w:bCs/>
                      <w:kern w:val="0"/>
                      <w:szCs w:val="21"/>
                      <w:shd w:val="clear" w:color="auto" w:fill="FFFFFF"/>
                    </w:rPr>
                  </w:pPr>
                  <w:r>
                    <w:rPr>
                      <w:rFonts w:hint="eastAsia" w:ascii="Times New Roman" w:hAnsi="Times New Roman" w:cs="宋体"/>
                      <w:b/>
                      <w:bCs/>
                      <w:kern w:val="0"/>
                      <w:sz w:val="21"/>
                      <w:szCs w:val="21"/>
                      <w:shd w:val="clear" w:color="auto" w:fill="FFFFFF"/>
                      <w:lang w:bidi="ar"/>
                    </w:rPr>
                    <w:t>数据</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48" w:type="pct"/>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1</w:t>
                  </w:r>
                </w:p>
              </w:tc>
              <w:tc>
                <w:tcPr>
                  <w:tcW w:w="13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eastAsia" w:ascii="Times New Roman" w:hAnsi="Times New Roman" w:cs="宋体"/>
                      <w:spacing w:val="-3"/>
                      <w:kern w:val="0"/>
                      <w:sz w:val="21"/>
                      <w:szCs w:val="21"/>
                      <w:shd w:val="clear" w:color="auto" w:fill="FFFFFF"/>
                      <w:lang w:bidi="ar"/>
                    </w:rPr>
                    <w:t>年平均风速</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m/s</w:t>
                  </w:r>
                </w:p>
              </w:tc>
              <w:tc>
                <w:tcPr>
                  <w:tcW w:w="1668" w:type="pct"/>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等线"/>
                      <w:kern w:val="0"/>
                      <w:szCs w:val="21"/>
                      <w:shd w:val="clear" w:color="auto" w:fill="FFFFFF"/>
                    </w:rPr>
                  </w:pPr>
                  <w:r>
                    <w:rPr>
                      <w:rFonts w:hint="eastAsia" w:ascii="Times New Roman" w:hAnsi="Times New Roman" w:eastAsia="等线"/>
                      <w:kern w:val="0"/>
                      <w:sz w:val="21"/>
                      <w:szCs w:val="21"/>
                      <w:shd w:val="clear" w:color="auto" w:fill="FFFFFF"/>
                      <w:lang w:bidi="ar"/>
                    </w:rPr>
                    <w:t>1.5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48" w:type="pct"/>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2</w:t>
                  </w:r>
                </w:p>
              </w:tc>
              <w:tc>
                <w:tcPr>
                  <w:tcW w:w="13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eastAsia" w:ascii="Times New Roman" w:hAnsi="Times New Roman" w:cs="宋体"/>
                      <w:spacing w:val="-3"/>
                      <w:kern w:val="0"/>
                      <w:sz w:val="21"/>
                      <w:szCs w:val="21"/>
                      <w:shd w:val="clear" w:color="auto" w:fill="FFFFFF"/>
                      <w:lang w:bidi="ar"/>
                    </w:rPr>
                    <w:t>主导风向</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w:t>
                  </w:r>
                </w:p>
              </w:tc>
              <w:tc>
                <w:tcPr>
                  <w:tcW w:w="1668" w:type="pct"/>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Cs w:val="20"/>
                      <w:shd w:val="clear" w:color="auto" w:fill="FFFFFF"/>
                      <w:lang w:bidi="ar"/>
                    </w:rPr>
                    <w:t>E</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48" w:type="pct"/>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3</w:t>
                  </w:r>
                </w:p>
              </w:tc>
              <w:tc>
                <w:tcPr>
                  <w:tcW w:w="13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eastAsia" w:ascii="Times New Roman" w:hAnsi="Times New Roman" w:cs="宋体"/>
                      <w:spacing w:val="-3"/>
                      <w:kern w:val="0"/>
                      <w:sz w:val="21"/>
                      <w:szCs w:val="21"/>
                      <w:shd w:val="clear" w:color="auto" w:fill="FFFFFF"/>
                      <w:lang w:bidi="ar"/>
                    </w:rPr>
                    <w:t>年平均气温</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w:t>
                  </w:r>
                </w:p>
              </w:tc>
              <w:tc>
                <w:tcPr>
                  <w:tcW w:w="1668" w:type="pct"/>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等线"/>
                      <w:kern w:val="0"/>
                      <w:szCs w:val="21"/>
                      <w:shd w:val="clear" w:color="auto" w:fill="FFFFFF"/>
                    </w:rPr>
                  </w:pPr>
                  <w:r>
                    <w:rPr>
                      <w:rFonts w:hint="eastAsia" w:ascii="Times New Roman" w:hAnsi="Times New Roman" w:eastAsia="等线"/>
                      <w:kern w:val="0"/>
                      <w:sz w:val="21"/>
                      <w:szCs w:val="21"/>
                      <w:shd w:val="clear" w:color="auto" w:fill="FFFFFF"/>
                      <w:lang w:bidi="ar"/>
                    </w:rPr>
                    <w:t>25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48" w:type="pct"/>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4</w:t>
                  </w:r>
                </w:p>
              </w:tc>
              <w:tc>
                <w:tcPr>
                  <w:tcW w:w="13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eastAsia" w:ascii="Times New Roman" w:hAnsi="Times New Roman" w:cs="宋体"/>
                      <w:spacing w:val="-3"/>
                      <w:kern w:val="0"/>
                      <w:sz w:val="21"/>
                      <w:szCs w:val="21"/>
                      <w:shd w:val="clear" w:color="auto" w:fill="FFFFFF"/>
                      <w:lang w:bidi="ar"/>
                    </w:rPr>
                    <w:t>年平均相对湿度</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w:t>
                  </w:r>
                </w:p>
              </w:tc>
              <w:tc>
                <w:tcPr>
                  <w:tcW w:w="1668" w:type="pct"/>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等线"/>
                      <w:kern w:val="0"/>
                      <w:szCs w:val="21"/>
                      <w:shd w:val="clear" w:color="auto" w:fill="FFFFFF"/>
                    </w:rPr>
                  </w:pPr>
                  <w:r>
                    <w:rPr>
                      <w:rFonts w:hint="eastAsia" w:ascii="Times New Roman" w:hAnsi="Times New Roman" w:eastAsia="等线"/>
                      <w:kern w:val="0"/>
                      <w:sz w:val="21"/>
                      <w:szCs w:val="21"/>
                      <w:shd w:val="clear" w:color="auto" w:fill="FFFFFF"/>
                      <w:lang w:bidi="ar"/>
                    </w:rPr>
                    <w:t>75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48" w:type="pct"/>
                  <w:tcBorders>
                    <w:top w:val="single" w:color="auto" w:sz="4" w:space="0"/>
                    <w:left w:val="nil"/>
                    <w:bottom w:val="single" w:color="auto" w:sz="12"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5</w:t>
                  </w:r>
                </w:p>
              </w:tc>
              <w:tc>
                <w:tcPr>
                  <w:tcW w:w="1399"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eastAsia" w:ascii="Times New Roman" w:hAnsi="Times New Roman" w:cs="宋体"/>
                      <w:spacing w:val="-3"/>
                      <w:kern w:val="0"/>
                      <w:sz w:val="21"/>
                      <w:szCs w:val="21"/>
                      <w:shd w:val="clear" w:color="auto" w:fill="FFFFFF"/>
                      <w:lang w:bidi="ar"/>
                    </w:rPr>
                    <w:t>大气压强</w:t>
                  </w:r>
                </w:p>
              </w:tc>
              <w:tc>
                <w:tcPr>
                  <w:tcW w:w="883"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hPa</w:t>
                  </w:r>
                </w:p>
              </w:tc>
              <w:tc>
                <w:tcPr>
                  <w:tcW w:w="1668" w:type="pct"/>
                  <w:tcBorders>
                    <w:top w:val="single" w:color="auto" w:sz="4" w:space="0"/>
                    <w:left w:val="single" w:color="auto" w:sz="4" w:space="0"/>
                    <w:bottom w:val="single" w:color="auto" w:sz="12" w:space="0"/>
                    <w:right w:val="nil"/>
                  </w:tcBorders>
                  <w:shd w:val="clear" w:color="auto" w:fill="auto"/>
                  <w:vAlign w:val="center"/>
                </w:tcPr>
                <w:p>
                  <w:pPr>
                    <w:keepNext w:val="0"/>
                    <w:keepLines w:val="0"/>
                    <w:suppressLineNumbers w:val="0"/>
                    <w:autoSpaceDE w:val="0"/>
                    <w:autoSpaceDN w:val="0"/>
                    <w:spacing w:before="0" w:beforeAutospacing="0" w:after="0" w:afterAutospacing="0" w:line="288" w:lineRule="auto"/>
                    <w:ind w:left="0" w:right="0"/>
                    <w:jc w:val="center"/>
                    <w:rPr>
                      <w:rFonts w:hint="default" w:eastAsia="Times New Roman"/>
                      <w:kern w:val="0"/>
                      <w:szCs w:val="21"/>
                      <w:shd w:val="clear" w:color="auto" w:fill="FFFFFF"/>
                    </w:rPr>
                  </w:pPr>
                  <w:r>
                    <w:rPr>
                      <w:rFonts w:hint="default" w:ascii="Times New Roman" w:hAnsi="Times New Roman" w:eastAsia="Times New Roman"/>
                      <w:kern w:val="0"/>
                      <w:sz w:val="21"/>
                      <w:szCs w:val="21"/>
                      <w:shd w:val="clear" w:color="auto" w:fill="FFFFFF"/>
                      <w:lang w:bidi="ar"/>
                    </w:rPr>
                    <w:t>1004.13</w:t>
                  </w:r>
                </w:p>
              </w:tc>
            </w:tr>
          </w:tbl>
          <w:p>
            <w:pPr>
              <w:pStyle w:val="3"/>
              <w:keepNext w:val="0"/>
              <w:keepLines w:val="0"/>
              <w:suppressLineNumbers w:val="0"/>
              <w:spacing w:beforeAutospacing="0" w:after="0" w:afterAutospacing="0" w:line="440" w:lineRule="exact"/>
              <w:ind w:left="0" w:firstLine="480" w:firstLineChars="200"/>
              <w:jc w:val="left"/>
              <w:rPr>
                <w:rFonts w:hint="default" w:ascii="Times New Roman" w:hAnsi="Times New Roman"/>
              </w:rPr>
            </w:pPr>
            <w:r>
              <w:rPr>
                <w:rFonts w:hint="eastAsia" w:ascii="Times New Roman" w:hAnsi="Times New Roman"/>
              </w:rPr>
              <w:t>（</w:t>
            </w:r>
            <w:r>
              <w:rPr>
                <w:rFonts w:hint="eastAsia" w:ascii="Times New Roman" w:hAnsi="Times New Roman"/>
                <w:lang w:val="en-US" w:eastAsia="zh-CN"/>
              </w:rPr>
              <w:t>2</w:t>
            </w:r>
            <w:r>
              <w:rPr>
                <w:rFonts w:hint="eastAsia" w:ascii="Times New Roman" w:hAnsi="Times New Roman"/>
              </w:rPr>
              <w:t>）地形参数</w:t>
            </w:r>
          </w:p>
          <w:p>
            <w:pPr>
              <w:pStyle w:val="3"/>
              <w:keepNext w:val="0"/>
              <w:keepLines w:val="0"/>
              <w:suppressLineNumbers w:val="0"/>
              <w:spacing w:beforeAutospacing="0" w:after="0" w:afterAutospacing="0" w:line="440" w:lineRule="exact"/>
              <w:ind w:left="0" w:firstLine="480" w:firstLineChars="200"/>
              <w:jc w:val="left"/>
              <w:rPr>
                <w:rFonts w:hint="default" w:ascii="Times New Roman" w:hAnsi="Times New Roman"/>
              </w:rPr>
            </w:pPr>
            <w:r>
              <w:rPr>
                <w:rFonts w:hint="eastAsia" w:ascii="Times New Roman" w:hAnsi="Times New Roman"/>
              </w:rPr>
              <w:t>地形数据来源于环境影响评价GIS服务平台下载的分辨率为90m的地形数据，将DEM地形文件数据导入预测软件并将运行结果数据导入预测模型，通过EIAProN2021版软件生成地形高程图。</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rPr>
            </w:pPr>
            <w:r>
              <w:rPr>
                <w:rFonts w:hint="default" w:ascii="Times New Roman" w:hAnsi="Times New Roman" w:eastAsia="黑体"/>
                <w:b/>
                <w:bCs/>
              </w:rPr>
              <w:t>4.2.</w:t>
            </w:r>
            <w:r>
              <w:rPr>
                <w:rFonts w:hint="eastAsia" w:ascii="Times New Roman" w:hAnsi="Times New Roman" w:eastAsia="黑体"/>
                <w:b/>
                <w:bCs/>
              </w:rPr>
              <w:t>4</w:t>
            </w:r>
            <w:r>
              <w:rPr>
                <w:rFonts w:hint="default" w:ascii="Times New Roman" w:hAnsi="Times New Roman" w:eastAsia="黑体"/>
                <w:b/>
                <w:bCs/>
              </w:rPr>
              <w:t>.</w:t>
            </w:r>
            <w:r>
              <w:rPr>
                <w:rFonts w:hint="eastAsia" w:ascii="Times New Roman" w:hAnsi="Times New Roman" w:eastAsia="黑体"/>
                <w:b/>
                <w:bCs/>
                <w:lang w:val="en-US" w:eastAsia="zh-CN"/>
              </w:rPr>
              <w:t>4</w:t>
            </w:r>
            <w:r>
              <w:rPr>
                <w:rFonts w:hint="eastAsia" w:ascii="Times New Roman" w:hAnsi="Times New Roman" w:eastAsia="黑体"/>
                <w:b/>
                <w:bCs/>
              </w:rPr>
              <w:t>预测结果</w:t>
            </w:r>
          </w:p>
          <w:p>
            <w:pPr>
              <w:pStyle w:val="41"/>
              <w:keepNext w:val="0"/>
              <w:keepLines w:val="0"/>
              <w:suppressLineNumbers w:val="0"/>
              <w:spacing w:before="0" w:beforeAutospacing="0" w:after="0" w:afterAutospacing="0"/>
              <w:ind w:left="0" w:right="0" w:firstLine="480"/>
              <w:rPr>
                <w:rFonts w:hint="default"/>
                <w:shd w:val="clear" w:color="auto" w:fill="FFFFFF"/>
                <w:lang w:bidi="ar"/>
              </w:rPr>
            </w:pPr>
            <w:r>
              <w:rPr>
                <w:rFonts w:hint="eastAsia"/>
                <w:shd w:val="clear" w:color="auto" w:fill="FFFFFF"/>
                <w:lang w:bidi="ar"/>
              </w:rPr>
              <w:t>厂界预测点的噪声预测结果见下表。</w:t>
            </w:r>
          </w:p>
          <w:p>
            <w:pPr>
              <w:pStyle w:val="33"/>
              <w:keepNext w:val="0"/>
              <w:keepLines w:val="0"/>
              <w:suppressLineNumbers w:val="0"/>
              <w:spacing w:before="120" w:beforeAutospacing="0" w:after="0" w:afterAutospacing="0"/>
              <w:ind w:left="0" w:right="0" w:firstLine="422"/>
              <w:rPr>
                <w:rFonts w:hint="default"/>
                <w:kern w:val="2"/>
                <w:szCs w:val="24"/>
                <w:shd w:val="clear" w:color="auto" w:fill="FFFFFF"/>
                <w:lang w:bidi="ar"/>
              </w:rPr>
            </w:pPr>
            <w:r>
              <w:rPr>
                <w:rFonts w:hint="default" w:ascii="Times New Roman" w:hAnsi="Times New Roman"/>
                <w:b/>
                <w:bCs/>
                <w:sz w:val="21"/>
                <w:szCs w:val="21"/>
              </w:rPr>
              <w:t>表4.2-</w:t>
            </w:r>
            <w:r>
              <w:rPr>
                <w:rFonts w:hint="eastAsia" w:ascii="Times New Roman" w:hAnsi="Times New Roman"/>
                <w:b/>
                <w:bCs/>
                <w:sz w:val="21"/>
                <w:szCs w:val="21"/>
              </w:rPr>
              <w:t>9</w:t>
            </w:r>
            <w:r>
              <w:rPr>
                <w:rFonts w:hint="default" w:ascii="Times New Roman" w:hAnsi="Times New Roman"/>
                <w:b/>
                <w:bCs/>
                <w:sz w:val="21"/>
                <w:szCs w:val="21"/>
              </w:rPr>
              <w:t xml:space="preserve"> </w:t>
            </w:r>
            <w:r>
              <w:rPr>
                <w:rFonts w:hint="eastAsia" w:ascii="Times New Roman" w:hAnsi="Times New Roman"/>
                <w:b/>
                <w:bCs/>
                <w:sz w:val="21"/>
                <w:szCs w:val="21"/>
              </w:rPr>
              <w:t>厂界噪声点预测结果</w:t>
            </w:r>
          </w:p>
          <w:tbl>
            <w:tblPr>
              <w:tblStyle w:val="25"/>
              <w:tblW w:w="85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6"/>
              <w:gridCol w:w="1492"/>
              <w:gridCol w:w="2650"/>
              <w:gridCol w:w="1513"/>
              <w:gridCol w:w="1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86"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bookmarkStart w:id="12" w:name="_Hlk297299088"/>
                  <w:r>
                    <w:rPr>
                      <w:rFonts w:hint="eastAsia" w:ascii="Times New Roman" w:hAnsi="Times New Roman" w:cs="宋体"/>
                      <w:sz w:val="21"/>
                      <w:szCs w:val="21"/>
                      <w:shd w:val="clear" w:color="auto" w:fill="FFFFFF"/>
                    </w:rPr>
                    <w:t>编号</w:t>
                  </w:r>
                </w:p>
              </w:tc>
              <w:tc>
                <w:tcPr>
                  <w:tcW w:w="14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r>
                    <w:rPr>
                      <w:rFonts w:hint="eastAsia" w:ascii="Times New Roman" w:hAnsi="Times New Roman" w:cs="宋体"/>
                      <w:sz w:val="21"/>
                      <w:szCs w:val="21"/>
                      <w:shd w:val="clear" w:color="auto" w:fill="FFFFFF"/>
                    </w:rPr>
                    <w:t>预测点</w:t>
                  </w:r>
                  <w:r>
                    <w:rPr>
                      <w:rFonts w:hint="eastAsia" w:ascii="Times New Roman" w:hAnsi="Times New Roman" w:cs="宋体"/>
                      <w:kern w:val="0"/>
                      <w:sz w:val="21"/>
                      <w:szCs w:val="21"/>
                      <w:shd w:val="clear" w:color="auto" w:fill="FFFFFF"/>
                      <w:vertAlign w:val="superscript"/>
                    </w:rPr>
                    <w:t>注</w:t>
                  </w:r>
                </w:p>
              </w:tc>
              <w:tc>
                <w:tcPr>
                  <w:tcW w:w="265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highlight w:val="none"/>
                      <w:shd w:val="clear" w:color="auto" w:fill="FFFFFF"/>
                    </w:rPr>
                  </w:pPr>
                  <w:r>
                    <w:rPr>
                      <w:rFonts w:hint="eastAsia" w:ascii="Times New Roman" w:hAnsi="Times New Roman" w:cs="宋体"/>
                      <w:sz w:val="21"/>
                      <w:szCs w:val="21"/>
                      <w:highlight w:val="none"/>
                      <w:shd w:val="clear" w:color="auto" w:fill="FFFFFF"/>
                      <w:lang w:bidi="ar"/>
                    </w:rPr>
                    <w:t>贡献值</w:t>
                  </w:r>
                  <w:r>
                    <w:rPr>
                      <w:rFonts w:hint="eastAsia" w:ascii="Times New Roman" w:hAnsi="Times New Roman" w:cs="宋体"/>
                      <w:sz w:val="21"/>
                      <w:szCs w:val="21"/>
                      <w:highlight w:val="none"/>
                      <w:shd w:val="clear" w:color="auto" w:fill="FFFFFF"/>
                    </w:rPr>
                    <w:t>（</w:t>
                  </w:r>
                  <w:r>
                    <w:rPr>
                      <w:rFonts w:hint="default"/>
                      <w:sz w:val="21"/>
                      <w:szCs w:val="21"/>
                      <w:highlight w:val="none"/>
                      <w:shd w:val="clear" w:color="auto" w:fill="FFFFFF"/>
                    </w:rPr>
                    <w:t>dB(A)</w:t>
                  </w:r>
                  <w:r>
                    <w:rPr>
                      <w:rFonts w:hint="eastAsia" w:ascii="Times New Roman" w:hAnsi="Times New Roman" w:cs="宋体"/>
                      <w:sz w:val="21"/>
                      <w:szCs w:val="21"/>
                      <w:highlight w:val="none"/>
                      <w:shd w:val="clear" w:color="auto" w:fill="FFFFFF"/>
                    </w:rPr>
                    <w:t>）</w:t>
                  </w:r>
                </w:p>
              </w:tc>
              <w:tc>
                <w:tcPr>
                  <w:tcW w:w="1513"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ascii="Times New Roman" w:hAnsi="Times New Roman" w:cs="宋体"/>
                      <w:kern w:val="0"/>
                      <w:sz w:val="21"/>
                      <w:szCs w:val="21"/>
                      <w:shd w:val="clear" w:color="auto" w:fill="FFFFFF"/>
                    </w:rPr>
                    <w:t>执行标准</w:t>
                  </w:r>
                </w:p>
              </w:tc>
              <w:tc>
                <w:tcPr>
                  <w:tcW w:w="1960"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ascii="Times New Roman" w:hAnsi="Times New Roman" w:cs="宋体"/>
                      <w:kern w:val="0"/>
                      <w:sz w:val="21"/>
                      <w:szCs w:val="21"/>
                      <w:shd w:val="clear" w:color="auto" w:fill="FFFFFF"/>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86"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bookmarkStart w:id="13" w:name="_Hlk298349965"/>
                  <w:r>
                    <w:rPr>
                      <w:rFonts w:hint="default"/>
                      <w:sz w:val="21"/>
                      <w:szCs w:val="21"/>
                      <w:shd w:val="clear" w:color="auto" w:fill="FFFFFF"/>
                    </w:rPr>
                    <w:t>N1</w:t>
                  </w:r>
                </w:p>
              </w:tc>
              <w:tc>
                <w:tcPr>
                  <w:tcW w:w="14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r>
                    <w:rPr>
                      <w:rFonts w:hint="eastAsia" w:ascii="Times New Roman" w:hAnsi="Times New Roman" w:cs="宋体"/>
                      <w:sz w:val="21"/>
                      <w:szCs w:val="21"/>
                      <w:shd w:val="clear" w:color="auto" w:fill="FFFFFF"/>
                    </w:rPr>
                    <w:t>厂界东测</w:t>
                  </w:r>
                  <w:r>
                    <w:rPr>
                      <w:rFonts w:hint="default"/>
                      <w:sz w:val="21"/>
                      <w:szCs w:val="21"/>
                      <w:shd w:val="clear" w:color="auto" w:fill="FFFFFF"/>
                    </w:rPr>
                    <w:t>1#</w:t>
                  </w:r>
                </w:p>
              </w:tc>
              <w:tc>
                <w:tcPr>
                  <w:tcW w:w="265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eastAsia="宋体"/>
                      <w:sz w:val="21"/>
                      <w:szCs w:val="21"/>
                      <w:highlight w:val="none"/>
                      <w:shd w:val="clear" w:color="auto" w:fill="FFFFFF"/>
                      <w:lang w:val="en-US" w:eastAsia="zh-CN"/>
                    </w:rPr>
                  </w:pPr>
                  <w:r>
                    <w:rPr>
                      <w:rFonts w:hint="eastAsia"/>
                      <w:sz w:val="21"/>
                      <w:szCs w:val="21"/>
                      <w:highlight w:val="none"/>
                      <w:shd w:val="clear" w:color="auto" w:fill="FFFFFF"/>
                      <w:lang w:val="en-US" w:eastAsia="zh-CN"/>
                    </w:rPr>
                    <w:t>56.6</w:t>
                  </w:r>
                </w:p>
              </w:tc>
              <w:tc>
                <w:tcPr>
                  <w:tcW w:w="1513"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kern w:val="0"/>
                      <w:sz w:val="21"/>
                      <w:szCs w:val="21"/>
                      <w:shd w:val="clear" w:color="auto" w:fill="FFFFFF"/>
                    </w:rPr>
                    <w:t>60</w:t>
                  </w:r>
                </w:p>
              </w:tc>
              <w:tc>
                <w:tcPr>
                  <w:tcW w:w="1960"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ascii="Times New Roman" w:hAnsi="Times New Roman" w:cs="宋体"/>
                      <w:kern w:val="0"/>
                      <w:sz w:val="21"/>
                      <w:szCs w:val="21"/>
                      <w:shd w:val="clear" w:color="auto" w:fill="FFFFFF"/>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86"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r>
                    <w:rPr>
                      <w:rFonts w:hint="default"/>
                      <w:sz w:val="21"/>
                      <w:szCs w:val="21"/>
                      <w:shd w:val="clear" w:color="auto" w:fill="FFFFFF"/>
                    </w:rPr>
                    <w:t>N2</w:t>
                  </w:r>
                </w:p>
              </w:tc>
              <w:tc>
                <w:tcPr>
                  <w:tcW w:w="14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r>
                    <w:rPr>
                      <w:rFonts w:hint="eastAsia" w:ascii="Times New Roman" w:hAnsi="Times New Roman" w:cs="宋体"/>
                      <w:sz w:val="21"/>
                      <w:szCs w:val="21"/>
                      <w:shd w:val="clear" w:color="auto" w:fill="FFFFFF"/>
                    </w:rPr>
                    <w:t>厂界西侧</w:t>
                  </w:r>
                  <w:r>
                    <w:rPr>
                      <w:rFonts w:hint="default"/>
                      <w:sz w:val="21"/>
                      <w:szCs w:val="21"/>
                      <w:shd w:val="clear" w:color="auto" w:fill="FFFFFF"/>
                    </w:rPr>
                    <w:t>2#</w:t>
                  </w:r>
                </w:p>
              </w:tc>
              <w:tc>
                <w:tcPr>
                  <w:tcW w:w="265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sz w:val="21"/>
                      <w:szCs w:val="21"/>
                      <w:highlight w:val="none"/>
                      <w:shd w:val="clear" w:color="auto" w:fill="FFFFFF"/>
                    </w:rPr>
                  </w:pPr>
                  <w:r>
                    <w:rPr>
                      <w:rFonts w:hint="eastAsia"/>
                      <w:sz w:val="21"/>
                      <w:szCs w:val="21"/>
                      <w:highlight w:val="none"/>
                      <w:shd w:val="clear" w:color="auto" w:fill="FFFFFF"/>
                    </w:rPr>
                    <w:t>57.5</w:t>
                  </w:r>
                </w:p>
              </w:tc>
              <w:tc>
                <w:tcPr>
                  <w:tcW w:w="1513"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kern w:val="0"/>
                      <w:sz w:val="21"/>
                      <w:szCs w:val="21"/>
                      <w:shd w:val="clear" w:color="auto" w:fill="FFFFFF"/>
                    </w:rPr>
                    <w:t>60</w:t>
                  </w:r>
                </w:p>
              </w:tc>
              <w:tc>
                <w:tcPr>
                  <w:tcW w:w="1960"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ascii="Times New Roman" w:hAnsi="Times New Roman" w:cs="宋体"/>
                      <w:kern w:val="0"/>
                      <w:sz w:val="21"/>
                      <w:szCs w:val="21"/>
                      <w:shd w:val="clear" w:color="auto" w:fill="FFFFFF"/>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86"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r>
                    <w:rPr>
                      <w:rFonts w:hint="default"/>
                      <w:sz w:val="21"/>
                      <w:szCs w:val="21"/>
                      <w:shd w:val="clear" w:color="auto" w:fill="FFFFFF"/>
                    </w:rPr>
                    <w:t>N</w:t>
                  </w:r>
                  <w:r>
                    <w:rPr>
                      <w:rFonts w:hint="eastAsia"/>
                      <w:sz w:val="21"/>
                      <w:szCs w:val="21"/>
                      <w:shd w:val="clear" w:color="auto" w:fill="FFFFFF"/>
                    </w:rPr>
                    <w:t>3</w:t>
                  </w:r>
                </w:p>
              </w:tc>
              <w:tc>
                <w:tcPr>
                  <w:tcW w:w="14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r>
                    <w:rPr>
                      <w:rFonts w:hint="eastAsia" w:ascii="Times New Roman" w:hAnsi="Times New Roman" w:cs="宋体"/>
                      <w:sz w:val="21"/>
                      <w:szCs w:val="21"/>
                      <w:shd w:val="clear" w:color="auto" w:fill="FFFFFF"/>
                    </w:rPr>
                    <w:t>厂界南侧</w:t>
                  </w:r>
                  <w:r>
                    <w:rPr>
                      <w:rFonts w:hint="eastAsia"/>
                      <w:sz w:val="21"/>
                      <w:szCs w:val="21"/>
                      <w:shd w:val="clear" w:color="auto" w:fill="FFFFFF"/>
                    </w:rPr>
                    <w:t>3</w:t>
                  </w:r>
                  <w:r>
                    <w:rPr>
                      <w:rFonts w:hint="default"/>
                      <w:sz w:val="21"/>
                      <w:szCs w:val="21"/>
                      <w:shd w:val="clear" w:color="auto" w:fill="FFFFFF"/>
                    </w:rPr>
                    <w:t>#</w:t>
                  </w:r>
                </w:p>
              </w:tc>
              <w:tc>
                <w:tcPr>
                  <w:tcW w:w="265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sz w:val="21"/>
                      <w:szCs w:val="21"/>
                      <w:shd w:val="clear" w:color="auto" w:fill="FFFFFF"/>
                    </w:rPr>
                  </w:pPr>
                  <w:r>
                    <w:rPr>
                      <w:rFonts w:hint="eastAsia"/>
                      <w:sz w:val="21"/>
                      <w:szCs w:val="21"/>
                      <w:shd w:val="clear" w:color="auto" w:fill="FFFFFF"/>
                    </w:rPr>
                    <w:t>56.5</w:t>
                  </w:r>
                </w:p>
              </w:tc>
              <w:tc>
                <w:tcPr>
                  <w:tcW w:w="1513"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kern w:val="0"/>
                      <w:sz w:val="21"/>
                      <w:szCs w:val="21"/>
                      <w:shd w:val="clear" w:color="auto" w:fill="FFFFFF"/>
                    </w:rPr>
                    <w:t>60</w:t>
                  </w:r>
                </w:p>
              </w:tc>
              <w:tc>
                <w:tcPr>
                  <w:tcW w:w="1960"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ascii="Times New Roman" w:hAnsi="Times New Roman" w:cs="宋体"/>
                      <w:kern w:val="0"/>
                      <w:sz w:val="21"/>
                      <w:szCs w:val="21"/>
                      <w:shd w:val="clear" w:color="auto" w:fill="FFFFFF"/>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86"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shd w:val="clear" w:color="auto" w:fill="FFFFFF"/>
                    </w:rPr>
                  </w:pPr>
                  <w:r>
                    <w:rPr>
                      <w:rFonts w:hint="eastAsia"/>
                      <w:sz w:val="21"/>
                      <w:szCs w:val="21"/>
                      <w:shd w:val="clear" w:color="auto" w:fill="FFFFFF"/>
                    </w:rPr>
                    <w:t>N4</w:t>
                  </w:r>
                </w:p>
              </w:tc>
              <w:tc>
                <w:tcPr>
                  <w:tcW w:w="14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sz w:val="21"/>
                      <w:szCs w:val="21"/>
                      <w:shd w:val="clear" w:color="auto" w:fill="FFFFFF"/>
                    </w:rPr>
                  </w:pPr>
                  <w:r>
                    <w:rPr>
                      <w:rFonts w:hint="eastAsia" w:ascii="Times New Roman" w:hAnsi="Times New Roman" w:cs="宋体"/>
                      <w:sz w:val="21"/>
                      <w:szCs w:val="21"/>
                      <w:shd w:val="clear" w:color="auto" w:fill="FFFFFF"/>
                    </w:rPr>
                    <w:t>厂界北侧</w:t>
                  </w:r>
                  <w:r>
                    <w:rPr>
                      <w:rFonts w:hint="eastAsia"/>
                      <w:sz w:val="21"/>
                      <w:szCs w:val="21"/>
                      <w:shd w:val="clear" w:color="auto" w:fill="FFFFFF"/>
                    </w:rPr>
                    <w:t>4</w:t>
                  </w:r>
                  <w:r>
                    <w:rPr>
                      <w:rFonts w:hint="default"/>
                      <w:sz w:val="21"/>
                      <w:szCs w:val="21"/>
                      <w:shd w:val="clear" w:color="auto" w:fill="FFFFFF"/>
                    </w:rPr>
                    <w:t>#</w:t>
                  </w:r>
                </w:p>
              </w:tc>
              <w:tc>
                <w:tcPr>
                  <w:tcW w:w="2650"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sz w:val="21"/>
                      <w:szCs w:val="21"/>
                      <w:shd w:val="clear" w:color="auto" w:fill="FFFFFF"/>
                    </w:rPr>
                  </w:pPr>
                  <w:r>
                    <w:rPr>
                      <w:rFonts w:hint="default"/>
                      <w:sz w:val="21"/>
                      <w:szCs w:val="21"/>
                      <w:shd w:val="clear" w:color="auto" w:fill="FFFFFF"/>
                    </w:rPr>
                    <w:t>55.1</w:t>
                  </w:r>
                </w:p>
              </w:tc>
              <w:tc>
                <w:tcPr>
                  <w:tcW w:w="1513"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 w:val="21"/>
                      <w:szCs w:val="21"/>
                      <w:shd w:val="clear" w:color="auto" w:fill="FFFFFF"/>
                    </w:rPr>
                  </w:pPr>
                  <w:r>
                    <w:rPr>
                      <w:rFonts w:hint="eastAsia"/>
                      <w:kern w:val="0"/>
                      <w:sz w:val="21"/>
                      <w:szCs w:val="21"/>
                      <w:shd w:val="clear" w:color="auto" w:fill="FFFFFF"/>
                    </w:rPr>
                    <w:t>60</w:t>
                  </w:r>
                </w:p>
              </w:tc>
              <w:tc>
                <w:tcPr>
                  <w:tcW w:w="1960" w:type="dxa"/>
                  <w:tcBorders>
                    <w:tl2br w:val="nil"/>
                    <w:tr2bl w:val="nil"/>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宋体"/>
                      <w:kern w:val="0"/>
                      <w:sz w:val="21"/>
                      <w:szCs w:val="21"/>
                      <w:shd w:val="clear" w:color="auto" w:fill="FFFFFF"/>
                    </w:rPr>
                  </w:pPr>
                  <w:r>
                    <w:rPr>
                      <w:rFonts w:hint="eastAsia" w:ascii="Times New Roman" w:hAnsi="Times New Roman" w:cs="宋体"/>
                      <w:kern w:val="0"/>
                      <w:sz w:val="21"/>
                      <w:szCs w:val="21"/>
                      <w:shd w:val="clear" w:color="auto" w:fill="FFFFFF"/>
                    </w:rPr>
                    <w:t>达标</w:t>
                  </w:r>
                </w:p>
              </w:tc>
            </w:tr>
            <w:bookmarkEnd w:id="12"/>
            <w:bookmarkEnd w:id="13"/>
          </w:tbl>
          <w:p>
            <w:pPr>
              <w:keepNext w:val="0"/>
              <w:keepLines w:val="0"/>
              <w:suppressLineNumbers w:val="0"/>
              <w:spacing w:before="0" w:beforeAutospacing="0" w:after="0" w:afterAutospacing="0" w:line="420" w:lineRule="atLeast"/>
              <w:ind w:left="0" w:right="0" w:firstLine="480" w:firstLineChars="200"/>
              <w:rPr>
                <w:rFonts w:hint="default"/>
              </w:rPr>
            </w:pPr>
            <w:r>
              <w:rPr>
                <w:rFonts w:hint="eastAsia" w:ascii="Times New Roman" w:hAnsi="Times New Roman" w:cs="宋体"/>
                <w:shd w:val="clear" w:color="auto" w:fill="FFFFFF"/>
                <w:lang w:bidi="ar"/>
              </w:rPr>
              <w:t>根据预测结果，项目厂界昼间噪声贡献值可达到《工业企业厂界环境噪声排放标准》</w:t>
            </w:r>
            <w:r>
              <w:rPr>
                <w:rFonts w:hint="default" w:ascii="Times New Roman" w:hAnsi="Times New Roman"/>
                <w:shd w:val="clear" w:color="auto" w:fill="FFFFFF"/>
                <w:lang w:bidi="ar"/>
              </w:rPr>
              <w:t>(GB12348-2008)</w:t>
            </w:r>
            <w:r>
              <w:rPr>
                <w:rFonts w:hint="eastAsia" w:ascii="Times New Roman" w:hAnsi="Times New Roman"/>
                <w:shd w:val="clear" w:color="auto" w:fill="FFFFFF"/>
                <w:lang w:bidi="ar"/>
              </w:rPr>
              <w:t>2</w:t>
            </w:r>
            <w:r>
              <w:rPr>
                <w:rFonts w:hint="eastAsia" w:ascii="Times New Roman" w:hAnsi="Times New Roman" w:cs="宋体"/>
                <w:shd w:val="clear" w:color="auto" w:fill="FFFFFF"/>
                <w:lang w:bidi="ar"/>
              </w:rPr>
              <w:t>类标准</w:t>
            </w:r>
            <w:r>
              <w:rPr>
                <w:rFonts w:hint="default"/>
              </w:rPr>
              <w:t>。</w:t>
            </w: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黑体"/>
                <w:b/>
                <w:bCs/>
                <w:lang w:val="en-US" w:eastAsia="zh-CN"/>
              </w:rPr>
            </w:pPr>
            <w:r>
              <w:rPr>
                <w:rFonts w:hint="default" w:ascii="Times New Roman" w:hAnsi="Times New Roman" w:eastAsia="黑体"/>
                <w:b/>
                <w:bCs/>
              </w:rPr>
              <w:t>4.2.</w:t>
            </w:r>
            <w:r>
              <w:rPr>
                <w:rFonts w:hint="eastAsia" w:ascii="Times New Roman" w:hAnsi="Times New Roman" w:eastAsia="黑体"/>
                <w:b/>
                <w:bCs/>
              </w:rPr>
              <w:t>4</w:t>
            </w:r>
            <w:r>
              <w:rPr>
                <w:rFonts w:hint="default" w:ascii="Times New Roman" w:hAnsi="Times New Roman" w:eastAsia="黑体"/>
                <w:b/>
                <w:bCs/>
              </w:rPr>
              <w:t>.</w:t>
            </w:r>
            <w:r>
              <w:rPr>
                <w:rFonts w:hint="eastAsia" w:ascii="Times New Roman" w:hAnsi="Times New Roman" w:eastAsia="黑体"/>
                <w:b/>
                <w:bCs/>
                <w:lang w:val="en-US" w:eastAsia="zh-CN"/>
              </w:rPr>
              <w:t>5声环境影响分析</w:t>
            </w:r>
          </w:p>
          <w:p>
            <w:pPr>
              <w:keepNext w:val="0"/>
              <w:keepLines w:val="0"/>
              <w:suppressLineNumbers w:val="0"/>
              <w:spacing w:before="0" w:beforeAutospacing="0" w:after="0" w:afterAutospacing="0" w:line="420" w:lineRule="atLeast"/>
              <w:ind w:left="0" w:right="0" w:firstLine="480" w:firstLineChars="200"/>
              <w:rPr>
                <w:rFonts w:hint="default"/>
                <w:sz w:val="24"/>
                <w:shd w:val="clear" w:color="auto" w:fill="FFFFFF"/>
              </w:rPr>
            </w:pPr>
            <w:r>
              <w:rPr>
                <w:rFonts w:hint="default"/>
                <w:sz w:val="24"/>
                <w:shd w:val="clear" w:color="auto" w:fill="FFFFFF"/>
              </w:rPr>
              <w:t>根据预测结果，项目厂界昼间贡献值可达到《工业企业厂界环境噪声排放标准》(GB12348-2008)</w:t>
            </w:r>
            <w:r>
              <w:rPr>
                <w:rFonts w:hint="eastAsia"/>
                <w:sz w:val="24"/>
                <w:shd w:val="clear" w:color="auto" w:fill="FFFFFF"/>
                <w:lang w:val="en-US" w:eastAsia="zh-CN"/>
              </w:rPr>
              <w:t>2</w:t>
            </w:r>
            <w:r>
              <w:rPr>
                <w:rFonts w:hint="default"/>
                <w:sz w:val="24"/>
                <w:shd w:val="clear" w:color="auto" w:fill="FFFFFF"/>
              </w:rPr>
              <w:t>类标准。项目周边200m范围内</w:t>
            </w:r>
            <w:r>
              <w:rPr>
                <w:rFonts w:hint="eastAsia"/>
                <w:sz w:val="24"/>
                <w:shd w:val="clear" w:color="auto" w:fill="FFFFFF"/>
                <w:lang w:val="en-US" w:eastAsia="zh-CN"/>
              </w:rPr>
              <w:t>主要为山林地，无</w:t>
            </w:r>
            <w:r>
              <w:rPr>
                <w:rFonts w:hint="default"/>
                <w:sz w:val="24"/>
                <w:shd w:val="clear" w:color="auto" w:fill="FFFFFF"/>
              </w:rPr>
              <w:t>声环境敏感目标，因此项目正常运营不会产生噪声扰民。</w:t>
            </w:r>
          </w:p>
          <w:p>
            <w:pPr>
              <w:pStyle w:val="8"/>
              <w:numPr>
                <w:ilvl w:val="0"/>
                <w:numId w:val="0"/>
              </w:numPr>
              <w:suppressLineNumbers w:val="0"/>
              <w:spacing w:before="0" w:beforeAutospacing="0" w:after="0" w:afterAutospacing="0" w:line="440" w:lineRule="exact"/>
              <w:ind w:left="0" w:right="0"/>
              <w:rPr>
                <w:rFonts w:hint="default" w:ascii="Times New Roman" w:hAnsi="Times New Roman"/>
                <w:szCs w:val="24"/>
              </w:rPr>
            </w:pPr>
            <w:r>
              <w:rPr>
                <w:rFonts w:hint="default" w:ascii="Times New Roman" w:hAnsi="Times New Roman"/>
                <w:szCs w:val="24"/>
              </w:rPr>
              <w:t>4.2.</w:t>
            </w:r>
            <w:r>
              <w:rPr>
                <w:rFonts w:hint="eastAsia" w:ascii="Times New Roman" w:hAnsi="Times New Roman"/>
                <w:szCs w:val="24"/>
              </w:rPr>
              <w:t>5</w:t>
            </w:r>
            <w:r>
              <w:rPr>
                <w:rFonts w:hint="default" w:ascii="Times New Roman" w:hAnsi="Times New Roman"/>
                <w:szCs w:val="24"/>
              </w:rPr>
              <w:t>固体废物</w:t>
            </w:r>
          </w:p>
          <w:p>
            <w:pPr>
              <w:keepNext w:val="0"/>
              <w:keepLines w:val="0"/>
              <w:widowControl/>
              <w:suppressLineNumbers w:val="0"/>
              <w:spacing w:before="0" w:beforeAutospacing="0" w:after="0" w:afterAutospacing="0" w:line="440" w:lineRule="exact"/>
              <w:ind w:left="0" w:right="0"/>
              <w:rPr>
                <w:rFonts w:hint="default" w:ascii="Times New Roman" w:hAnsi="Times New Roman"/>
                <w:b/>
              </w:rPr>
            </w:pPr>
            <w:r>
              <w:rPr>
                <w:rFonts w:hint="default" w:ascii="Times New Roman" w:hAnsi="Times New Roman"/>
                <w:b/>
              </w:rPr>
              <w:t>4.2.</w:t>
            </w:r>
            <w:r>
              <w:rPr>
                <w:rFonts w:hint="eastAsia" w:ascii="Times New Roman" w:hAnsi="Times New Roman"/>
                <w:b/>
              </w:rPr>
              <w:t>5</w:t>
            </w:r>
            <w:r>
              <w:rPr>
                <w:rFonts w:hint="default" w:ascii="Times New Roman" w:hAnsi="Times New Roman"/>
                <w:b/>
              </w:rPr>
              <w:t>.1固体废物产生及处置情况</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项目固废主要</w:t>
            </w:r>
            <w:r>
              <w:rPr>
                <w:rFonts w:hint="eastAsia" w:ascii="Times New Roman" w:hAnsi="Times New Roman"/>
              </w:rPr>
              <w:t>为</w:t>
            </w:r>
            <w:r>
              <w:rPr>
                <w:rFonts w:hint="default" w:ascii="Times New Roman" w:hAnsi="Times New Roman"/>
              </w:rPr>
              <w:t>污泥</w:t>
            </w:r>
            <w:r>
              <w:rPr>
                <w:rFonts w:hint="eastAsia" w:ascii="Times New Roman" w:hAnsi="Times New Roman"/>
              </w:rPr>
              <w:t>、废滤布、</w:t>
            </w:r>
            <w:r>
              <w:rPr>
                <w:rFonts w:hint="default" w:ascii="Times New Roman" w:hAnsi="Times New Roman"/>
              </w:rPr>
              <w:t>生活垃圾及设备运营过程中产生的少量废机油</w:t>
            </w:r>
            <w:r>
              <w:rPr>
                <w:rFonts w:hint="eastAsia" w:ascii="Times New Roman" w:hAnsi="Times New Roman"/>
              </w:rPr>
              <w:t>等</w:t>
            </w:r>
            <w:r>
              <w:rPr>
                <w:rFonts w:hint="default" w:ascii="Times New Roman" w:hAnsi="Times New Roman"/>
              </w:rPr>
              <w:t>。</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（1）污泥</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项目生产废水经</w:t>
            </w:r>
            <w:r>
              <w:rPr>
                <w:rFonts w:hint="eastAsia" w:ascii="Times New Roman" w:hAnsi="Times New Roman"/>
              </w:rPr>
              <w:t>沉淀池</w:t>
            </w:r>
            <w:r>
              <w:rPr>
                <w:rFonts w:hint="default" w:ascii="Times New Roman" w:hAnsi="Times New Roman"/>
              </w:rPr>
              <w:t>处理后，下层为泥水混合物，主要成分为SS，根据建设方提供资料可知，项目产生的污泥约占生产规模的</w:t>
            </w:r>
            <w:r>
              <w:rPr>
                <w:rFonts w:hint="eastAsia" w:ascii="Times New Roman" w:hAnsi="Times New Roman"/>
              </w:rPr>
              <w:t>1</w:t>
            </w:r>
            <w:r>
              <w:rPr>
                <w:rFonts w:hint="default" w:ascii="Times New Roman" w:hAnsi="Times New Roman"/>
              </w:rPr>
              <w:t>%左右。本项目生产规模20万t/a，则污泥量约为</w:t>
            </w:r>
            <w:r>
              <w:rPr>
                <w:rFonts w:hint="eastAsia" w:ascii="Times New Roman" w:hAnsi="Times New Roman"/>
              </w:rPr>
              <w:t>2000</w:t>
            </w:r>
            <w:r>
              <w:rPr>
                <w:rFonts w:hint="default" w:ascii="Times New Roman" w:hAnsi="Times New Roman"/>
              </w:rPr>
              <w:t>t/a</w:t>
            </w:r>
            <w:r>
              <w:rPr>
                <w:rFonts w:hint="eastAsia" w:ascii="Times New Roman" w:hAnsi="Times New Roman"/>
              </w:rPr>
              <w:t>，污泥含水率为20%。废物代码为900-999-61。污泥定期转运至制砖厂用于制砖，目前已与</w:t>
            </w:r>
            <w:r>
              <w:rPr>
                <w:rFonts w:hint="default" w:ascii="Times New Roman" w:hAnsi="Times New Roman"/>
              </w:rPr>
              <w:t>大田县京融建材有限责任公司</w:t>
            </w:r>
            <w:r>
              <w:rPr>
                <w:rFonts w:hint="eastAsia" w:ascii="Times New Roman" w:hAnsi="Times New Roman"/>
              </w:rPr>
              <w:t>签订污泥处置协议。</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rPr>
            </w:pPr>
            <w:r>
              <w:rPr>
                <w:rFonts w:hint="eastAsia" w:ascii="Times New Roman" w:hAnsi="Times New Roman"/>
              </w:rPr>
              <w:t>（2）压滤机废滤布</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项目压滤机设有72块</w:t>
            </w:r>
            <w:r>
              <w:rPr>
                <w:rFonts w:hint="eastAsia" w:ascii="Times New Roman" w:hAnsi="Times New Roman"/>
              </w:rPr>
              <w:t>滤布</w:t>
            </w:r>
            <w:r>
              <w:rPr>
                <w:rFonts w:hint="default" w:ascii="Times New Roman" w:hAnsi="Times New Roman"/>
              </w:rPr>
              <w:t>，</w:t>
            </w:r>
            <w:r>
              <w:rPr>
                <w:rFonts w:hint="eastAsia" w:ascii="Times New Roman" w:hAnsi="Times New Roman"/>
              </w:rPr>
              <w:t>滤布</w:t>
            </w:r>
            <w:r>
              <w:rPr>
                <w:rFonts w:hint="default" w:ascii="Times New Roman" w:hAnsi="Times New Roman"/>
              </w:rPr>
              <w:t>一般不同时损坏、更换，采用每破损一块更换一块的方式。</w:t>
            </w:r>
            <w:r>
              <w:rPr>
                <w:rFonts w:hint="eastAsia" w:ascii="Times New Roman" w:hAnsi="Times New Roman"/>
              </w:rPr>
              <w:t>滤布</w:t>
            </w:r>
            <w:r>
              <w:rPr>
                <w:rFonts w:hint="default" w:ascii="Times New Roman" w:hAnsi="Times New Roman"/>
              </w:rPr>
              <w:t>平均寿命按一年，每</w:t>
            </w:r>
            <w:r>
              <w:rPr>
                <w:rFonts w:hint="eastAsia" w:ascii="Times New Roman" w:hAnsi="Times New Roman"/>
              </w:rPr>
              <w:t>个滤布的</w:t>
            </w:r>
            <w:r>
              <w:rPr>
                <w:rFonts w:hint="default" w:ascii="Times New Roman" w:hAnsi="Times New Roman"/>
              </w:rPr>
              <w:t>质量约3kg，则年产生废滤布约0.2t，固态，属于一般固体废物，废物代码为900-999-99，临时暂存于一般固废区，最后由可回收利用的厂家回收。</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（3）废机油</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项目在运营后，在机修过程中会产生少量废机油，废机油属于危险废物，产生量约0.02t/a，</w:t>
            </w:r>
            <w:r>
              <w:rPr>
                <w:rFonts w:hint="eastAsia"/>
              </w:rPr>
              <w:t>废代码为900-218-08，</w:t>
            </w:r>
            <w:r>
              <w:rPr>
                <w:rFonts w:hint="default" w:ascii="Times New Roman" w:hAnsi="Times New Roman"/>
              </w:rPr>
              <w:t>经桶装收集后，统一贮存在危废间，并建立台账，委托有资质的单位处置。</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w:t>
            </w:r>
            <w:r>
              <w:rPr>
                <w:rFonts w:hint="eastAsia" w:ascii="Times New Roman" w:hAnsi="Times New Roman"/>
              </w:rPr>
              <w:t>4</w:t>
            </w:r>
            <w:r>
              <w:rPr>
                <w:rFonts w:hint="default" w:ascii="Times New Roman" w:hAnsi="Times New Roman"/>
              </w:rPr>
              <w:t>）生活垃圾</w:t>
            </w:r>
          </w:p>
          <w:p>
            <w:pPr>
              <w:pStyle w:val="41"/>
              <w:keepNext w:val="0"/>
              <w:keepLines w:val="0"/>
              <w:suppressLineNumbers w:val="0"/>
              <w:spacing w:before="0" w:beforeAutospacing="0" w:after="0" w:afterAutospacing="0" w:line="440" w:lineRule="exact"/>
              <w:ind w:left="0" w:right="0" w:firstLine="480"/>
              <w:rPr>
                <w:rFonts w:hint="default" w:ascii="Times New Roman" w:hAnsi="Times New Roman"/>
              </w:rPr>
            </w:pPr>
            <w:r>
              <w:rPr>
                <w:rFonts w:hint="default" w:ascii="Times New Roman" w:hAnsi="Times New Roman"/>
              </w:rPr>
              <w:t>项目员工8人，均不住厂，参照我国生活</w:t>
            </w:r>
            <w:r>
              <w:rPr>
                <w:rFonts w:hint="eastAsia" w:ascii="Times New Roman" w:hAnsi="Times New Roman"/>
              </w:rPr>
              <w:t xml:space="preserve"> </w:t>
            </w:r>
            <w:r>
              <w:rPr>
                <w:rFonts w:hint="default" w:ascii="Times New Roman" w:hAnsi="Times New Roman"/>
              </w:rPr>
              <w:t>污染物排放系数，不住厂职工垃圾排放系数取0.3kg/人·天，则项目生活垃圾产生量为2.4kg/d（0.72t/a）。</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rPr>
            </w:pPr>
            <w:r>
              <w:rPr>
                <w:rFonts w:hint="default" w:ascii="Times New Roman" w:hAnsi="Times New Roman"/>
              </w:rPr>
              <w:t>项目固体废物产生、处置情况见下表。</w:t>
            </w:r>
          </w:p>
          <w:p>
            <w:pPr>
              <w:pStyle w:val="2"/>
              <w:keepNext w:val="0"/>
              <w:keepLines w:val="0"/>
              <w:suppressLineNumbers w:val="0"/>
              <w:spacing w:before="0" w:beforeAutospacing="0" w:after="0" w:afterAutospacing="0"/>
              <w:ind w:right="0"/>
              <w:rPr>
                <w:rFonts w:hint="default"/>
              </w:rPr>
            </w:pPr>
          </w:p>
          <w:p>
            <w:pPr>
              <w:pStyle w:val="2"/>
              <w:keepNext w:val="0"/>
              <w:keepLines w:val="0"/>
              <w:suppressLineNumbers w:val="0"/>
              <w:spacing w:before="0" w:beforeAutospacing="0" w:after="0" w:afterAutospacing="0"/>
              <w:ind w:right="0"/>
              <w:rPr>
                <w:rFonts w:hint="default" w:ascii="Times New Roman" w:hAnsi="Times New Roman"/>
              </w:rPr>
            </w:pPr>
          </w:p>
          <w:p>
            <w:pPr>
              <w:keepNext w:val="0"/>
              <w:keepLines w:val="0"/>
              <w:widowControl/>
              <w:suppressLineNumbers w:val="0"/>
              <w:spacing w:before="0" w:beforeAutospacing="0" w:after="0" w:afterAutospacing="0" w:line="440" w:lineRule="exact"/>
              <w:ind w:left="0" w:right="0"/>
              <w:jc w:val="center"/>
              <w:rPr>
                <w:rFonts w:hint="default" w:ascii="Times New Roman" w:hAnsi="Times New Roman" w:eastAsia="黑体"/>
                <w:b/>
                <w:bCs/>
                <w:color w:val="auto"/>
                <w:kern w:val="0"/>
                <w:sz w:val="21"/>
                <w:szCs w:val="21"/>
              </w:rPr>
            </w:pPr>
            <w:r>
              <w:rPr>
                <w:rFonts w:hint="default" w:ascii="Times New Roman" w:hAnsi="Times New Roman" w:eastAsia="黑体"/>
                <w:b/>
                <w:bCs/>
                <w:color w:val="auto"/>
                <w:kern w:val="0"/>
                <w:sz w:val="21"/>
                <w:szCs w:val="21"/>
              </w:rPr>
              <w:t>表4.2-</w:t>
            </w:r>
            <w:r>
              <w:rPr>
                <w:rFonts w:hint="eastAsia" w:ascii="Times New Roman" w:hAnsi="Times New Roman" w:eastAsia="黑体"/>
                <w:b/>
                <w:bCs/>
                <w:color w:val="auto"/>
                <w:kern w:val="0"/>
                <w:sz w:val="21"/>
                <w:szCs w:val="21"/>
              </w:rPr>
              <w:t>10</w:t>
            </w:r>
            <w:r>
              <w:rPr>
                <w:rFonts w:hint="default" w:ascii="Times New Roman" w:hAnsi="Times New Roman" w:eastAsia="黑体"/>
                <w:b/>
                <w:bCs/>
                <w:color w:val="auto"/>
                <w:kern w:val="0"/>
                <w:sz w:val="21"/>
                <w:szCs w:val="21"/>
              </w:rPr>
              <w:t xml:space="preserve"> 项目固体废物产生、处置情况一览表</w:t>
            </w:r>
          </w:p>
          <w:tbl>
            <w:tblPr>
              <w:tblStyle w:val="25"/>
              <w:tblW w:w="850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825"/>
              <w:gridCol w:w="1005"/>
              <w:gridCol w:w="1030"/>
              <w:gridCol w:w="1107"/>
              <w:gridCol w:w="1155"/>
              <w:gridCol w:w="26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5" w:hRule="atLeast"/>
                <w:tblHeader/>
              </w:trPr>
              <w:tc>
                <w:tcPr>
                  <w:tcW w:w="698"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序号</w:t>
                  </w:r>
                </w:p>
              </w:tc>
              <w:tc>
                <w:tcPr>
                  <w:tcW w:w="82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工序</w:t>
                  </w:r>
                </w:p>
              </w:tc>
              <w:tc>
                <w:tcPr>
                  <w:tcW w:w="100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固废名称</w:t>
                  </w:r>
                </w:p>
              </w:tc>
              <w:tc>
                <w:tcPr>
                  <w:tcW w:w="1030"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固废属性</w:t>
                  </w:r>
                </w:p>
              </w:tc>
              <w:tc>
                <w:tcPr>
                  <w:tcW w:w="1107"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代码</w:t>
                  </w:r>
                </w:p>
              </w:tc>
              <w:tc>
                <w:tcPr>
                  <w:tcW w:w="115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产生量（t/a）</w:t>
                  </w:r>
                </w:p>
              </w:tc>
              <w:tc>
                <w:tcPr>
                  <w:tcW w:w="2681"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处置措施及去向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698"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1</w:t>
                  </w:r>
                </w:p>
              </w:tc>
              <w:tc>
                <w:tcPr>
                  <w:tcW w:w="82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废水</w:t>
                  </w:r>
                </w:p>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压滤</w:t>
                  </w:r>
                </w:p>
              </w:tc>
              <w:tc>
                <w:tcPr>
                  <w:tcW w:w="100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污泥</w:t>
                  </w:r>
                </w:p>
              </w:tc>
              <w:tc>
                <w:tcPr>
                  <w:tcW w:w="1030"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一般工业固废</w:t>
                  </w:r>
                </w:p>
              </w:tc>
              <w:tc>
                <w:tcPr>
                  <w:tcW w:w="1107" w:type="dxa"/>
                  <w:noWrap/>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900-999-61</w:t>
                  </w:r>
                </w:p>
              </w:tc>
              <w:tc>
                <w:tcPr>
                  <w:tcW w:w="115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2000</w:t>
                  </w:r>
                </w:p>
              </w:tc>
              <w:tc>
                <w:tcPr>
                  <w:tcW w:w="2681"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存放于暂存池，定期转运至制砖厂用于制砖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698"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2</w:t>
                  </w:r>
                </w:p>
              </w:tc>
              <w:tc>
                <w:tcPr>
                  <w:tcW w:w="82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废水</w:t>
                  </w:r>
                </w:p>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压滤</w:t>
                  </w:r>
                </w:p>
              </w:tc>
              <w:tc>
                <w:tcPr>
                  <w:tcW w:w="1005" w:type="dxa"/>
                  <w:vAlign w:val="center"/>
                </w:tcPr>
                <w:p>
                  <w:pPr>
                    <w:pStyle w:val="37"/>
                    <w:keepNext w:val="0"/>
                    <w:keepLines w:val="0"/>
                    <w:suppressLineNumbers w:val="0"/>
                    <w:spacing w:before="0" w:beforeAutospacing="0" w:after="0" w:afterAutospacing="0"/>
                    <w:ind w:left="0" w:right="0"/>
                    <w:rPr>
                      <w:rFonts w:hint="default" w:ascii="Times New Roman" w:hAnsi="Times New Roman"/>
                      <w:sz w:val="18"/>
                      <w:szCs w:val="18"/>
                    </w:rPr>
                  </w:pPr>
                  <w:r>
                    <w:rPr>
                      <w:rFonts w:hint="default" w:ascii="Times New Roman" w:hAnsi="Times New Roman"/>
                      <w:sz w:val="18"/>
                      <w:szCs w:val="18"/>
                    </w:rPr>
                    <w:t>压滤机废滤布</w:t>
                  </w:r>
                </w:p>
              </w:tc>
              <w:tc>
                <w:tcPr>
                  <w:tcW w:w="1030" w:type="dxa"/>
                  <w:vAlign w:val="center"/>
                </w:tcPr>
                <w:p>
                  <w:pPr>
                    <w:pStyle w:val="37"/>
                    <w:keepNext w:val="0"/>
                    <w:keepLines w:val="0"/>
                    <w:suppressLineNumbers w:val="0"/>
                    <w:spacing w:before="0" w:beforeAutospacing="0" w:after="0" w:afterAutospacing="0"/>
                    <w:ind w:left="0" w:right="0"/>
                    <w:rPr>
                      <w:rFonts w:hint="default" w:ascii="Times New Roman" w:hAnsi="Times New Roman"/>
                      <w:sz w:val="18"/>
                      <w:szCs w:val="18"/>
                    </w:rPr>
                  </w:pPr>
                  <w:r>
                    <w:rPr>
                      <w:rFonts w:hint="default" w:ascii="Times New Roman" w:hAnsi="Times New Roman"/>
                      <w:sz w:val="18"/>
                      <w:szCs w:val="18"/>
                    </w:rPr>
                    <w:t>一般固废</w:t>
                  </w:r>
                </w:p>
              </w:tc>
              <w:tc>
                <w:tcPr>
                  <w:tcW w:w="1107" w:type="dxa"/>
                  <w:noWrap/>
                  <w:vAlign w:val="center"/>
                </w:tcPr>
                <w:p>
                  <w:pPr>
                    <w:pStyle w:val="37"/>
                    <w:keepNext w:val="0"/>
                    <w:keepLines w:val="0"/>
                    <w:suppressLineNumbers w:val="0"/>
                    <w:spacing w:before="0" w:beforeAutospacing="0" w:after="0" w:afterAutospacing="0"/>
                    <w:ind w:left="0" w:right="0"/>
                    <w:rPr>
                      <w:rFonts w:hint="default" w:ascii="Times New Roman" w:hAnsi="Times New Roman"/>
                      <w:sz w:val="18"/>
                      <w:szCs w:val="18"/>
                    </w:rPr>
                  </w:pPr>
                  <w:r>
                    <w:rPr>
                      <w:rFonts w:hint="default" w:ascii="Times New Roman" w:hAnsi="Times New Roman"/>
                      <w:sz w:val="18"/>
                      <w:szCs w:val="18"/>
                    </w:rPr>
                    <w:t>900-999-99</w:t>
                  </w:r>
                </w:p>
              </w:tc>
              <w:tc>
                <w:tcPr>
                  <w:tcW w:w="1155" w:type="dxa"/>
                  <w:vAlign w:val="center"/>
                </w:tcPr>
                <w:p>
                  <w:pPr>
                    <w:pStyle w:val="37"/>
                    <w:keepNext w:val="0"/>
                    <w:keepLines w:val="0"/>
                    <w:suppressLineNumbers w:val="0"/>
                    <w:spacing w:before="0" w:beforeAutospacing="0" w:after="0" w:afterAutospacing="0"/>
                    <w:ind w:left="0" w:right="0"/>
                    <w:rPr>
                      <w:rFonts w:hint="default" w:ascii="Times New Roman" w:hAnsi="Times New Roman"/>
                      <w:sz w:val="18"/>
                      <w:szCs w:val="18"/>
                    </w:rPr>
                  </w:pPr>
                  <w:r>
                    <w:rPr>
                      <w:rFonts w:hint="default" w:ascii="Times New Roman" w:hAnsi="Times New Roman"/>
                      <w:sz w:val="18"/>
                      <w:szCs w:val="18"/>
                    </w:rPr>
                    <w:t>0.2</w:t>
                  </w:r>
                </w:p>
              </w:tc>
              <w:tc>
                <w:tcPr>
                  <w:tcW w:w="2681" w:type="dxa"/>
                  <w:vAlign w:val="center"/>
                </w:tcPr>
                <w:p>
                  <w:pPr>
                    <w:pStyle w:val="37"/>
                    <w:keepNext w:val="0"/>
                    <w:keepLines w:val="0"/>
                    <w:suppressLineNumbers w:val="0"/>
                    <w:spacing w:before="0" w:beforeAutospacing="0" w:after="0" w:afterAutospacing="0"/>
                    <w:ind w:left="0" w:right="0"/>
                    <w:rPr>
                      <w:rFonts w:hint="default" w:ascii="Times New Roman" w:hAnsi="Times New Roman"/>
                      <w:sz w:val="18"/>
                      <w:szCs w:val="18"/>
                    </w:rPr>
                  </w:pPr>
                  <w:r>
                    <w:rPr>
                      <w:rFonts w:hint="default" w:ascii="Times New Roman" w:hAnsi="Times New Roman"/>
                      <w:sz w:val="18"/>
                      <w:szCs w:val="18"/>
                    </w:rPr>
                    <w:t>可回收利用的厂家回收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698"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3</w:t>
                  </w:r>
                </w:p>
              </w:tc>
              <w:tc>
                <w:tcPr>
                  <w:tcW w:w="82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生产过程设备</w:t>
                  </w:r>
                </w:p>
              </w:tc>
              <w:tc>
                <w:tcPr>
                  <w:tcW w:w="100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废机油</w:t>
                  </w:r>
                </w:p>
              </w:tc>
              <w:tc>
                <w:tcPr>
                  <w:tcW w:w="1030"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危废</w:t>
                  </w:r>
                </w:p>
              </w:tc>
              <w:tc>
                <w:tcPr>
                  <w:tcW w:w="1107" w:type="dxa"/>
                  <w:noWrap/>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900-21</w:t>
                  </w:r>
                  <w:r>
                    <w:rPr>
                      <w:rFonts w:hint="eastAsia" w:ascii="Times New Roman" w:hAnsi="Times New Roman"/>
                      <w:sz w:val="18"/>
                      <w:szCs w:val="18"/>
                    </w:rPr>
                    <w:t>8</w:t>
                  </w:r>
                  <w:r>
                    <w:rPr>
                      <w:rFonts w:hint="default" w:ascii="Times New Roman" w:hAnsi="Times New Roman"/>
                      <w:sz w:val="18"/>
                      <w:szCs w:val="18"/>
                    </w:rPr>
                    <w:t>-08</w:t>
                  </w:r>
                </w:p>
              </w:tc>
              <w:tc>
                <w:tcPr>
                  <w:tcW w:w="115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0.02</w:t>
                  </w:r>
                </w:p>
              </w:tc>
              <w:tc>
                <w:tcPr>
                  <w:tcW w:w="2681"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统一贮存在危废间，并建立台账，委托有资质的单位处置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698"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3</w:t>
                  </w:r>
                </w:p>
              </w:tc>
              <w:tc>
                <w:tcPr>
                  <w:tcW w:w="82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职工生活</w:t>
                  </w:r>
                </w:p>
              </w:tc>
              <w:tc>
                <w:tcPr>
                  <w:tcW w:w="100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生活垃圾</w:t>
                  </w:r>
                </w:p>
              </w:tc>
              <w:tc>
                <w:tcPr>
                  <w:tcW w:w="1030"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生活垃圾</w:t>
                  </w:r>
                </w:p>
              </w:tc>
              <w:tc>
                <w:tcPr>
                  <w:tcW w:w="1107" w:type="dxa"/>
                  <w:noWrap/>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eastAsia" w:ascii="Times New Roman" w:hAnsi="Times New Roman"/>
                      <w:sz w:val="18"/>
                      <w:szCs w:val="18"/>
                    </w:rPr>
                    <w:t xml:space="preserve"> </w:t>
                  </w:r>
                  <w:r>
                    <w:rPr>
                      <w:rFonts w:hint="default" w:ascii="Times New Roman" w:hAnsi="Times New Roman"/>
                      <w:sz w:val="18"/>
                      <w:szCs w:val="18"/>
                    </w:rPr>
                    <w:t>/</w:t>
                  </w:r>
                </w:p>
              </w:tc>
              <w:tc>
                <w:tcPr>
                  <w:tcW w:w="1155"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0.72</w:t>
                  </w:r>
                </w:p>
              </w:tc>
              <w:tc>
                <w:tcPr>
                  <w:tcW w:w="2681" w:type="dxa"/>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委托当地环卫部门统一清运处理</w:t>
                  </w:r>
                </w:p>
              </w:tc>
            </w:tr>
          </w:tbl>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b/>
                <w:bCs/>
                <w:kern w:val="21"/>
              </w:rPr>
            </w:pPr>
            <w:r>
              <w:rPr>
                <w:rFonts w:hint="default" w:ascii="Times New Roman" w:hAnsi="Times New Roman"/>
                <w:b/>
              </w:rPr>
              <w:t>4.2.</w:t>
            </w:r>
            <w:r>
              <w:rPr>
                <w:rFonts w:hint="eastAsia" w:ascii="Times New Roman" w:hAnsi="Times New Roman"/>
                <w:b/>
              </w:rPr>
              <w:t>5</w:t>
            </w:r>
            <w:r>
              <w:rPr>
                <w:rFonts w:hint="default" w:ascii="Times New Roman" w:hAnsi="Times New Roman"/>
                <w:b/>
              </w:rPr>
              <w:t>.2</w:t>
            </w:r>
            <w:r>
              <w:rPr>
                <w:rFonts w:hint="default" w:ascii="Times New Roman" w:hAnsi="Times New Roman"/>
                <w:b/>
                <w:bCs/>
                <w:kern w:val="21"/>
              </w:rPr>
              <w:t>固体废物处置措施及可行性分析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color w:val="auto"/>
              </w:rPr>
            </w:pPr>
            <w:r>
              <w:rPr>
                <w:rFonts w:hint="eastAsia" w:ascii="Times New Roman" w:hAnsi="Times New Roman"/>
                <w:b/>
                <w:bCs/>
                <w:color w:val="auto"/>
                <w:lang w:eastAsia="zh-CN"/>
              </w:rPr>
              <w:t>（</w:t>
            </w:r>
            <w:r>
              <w:rPr>
                <w:rFonts w:hint="eastAsia" w:ascii="Times New Roman" w:hAnsi="Times New Roman"/>
                <w:b/>
                <w:bCs/>
                <w:color w:val="auto"/>
                <w:lang w:val="en-US" w:eastAsia="zh-CN"/>
              </w:rPr>
              <w:t>1</w:t>
            </w:r>
            <w:r>
              <w:rPr>
                <w:rFonts w:hint="eastAsia" w:ascii="Times New Roman" w:hAnsi="Times New Roman"/>
                <w:b/>
                <w:bCs/>
                <w:color w:val="auto"/>
                <w:lang w:eastAsia="zh-CN"/>
              </w:rPr>
              <w:t>）</w:t>
            </w:r>
            <w:r>
              <w:rPr>
                <w:rFonts w:hint="default" w:ascii="Times New Roman" w:hAnsi="Times New Roman"/>
                <w:b/>
                <w:bCs/>
                <w:color w:val="auto"/>
              </w:rPr>
              <w:t>危险废物</w:t>
            </w:r>
            <w:r>
              <w:rPr>
                <w:rFonts w:hint="eastAsia" w:ascii="Times New Roman" w:hAnsi="Times New Roman"/>
                <w:b/>
                <w:bCs/>
                <w:color w:val="auto"/>
              </w:rPr>
              <w:t>收集、暂存、转运相关要求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ascii="Times New Roman" w:hAnsi="Times New Roman"/>
              </w:rPr>
              <w:t>根据</w:t>
            </w:r>
            <w:r>
              <w:rPr>
                <w:rFonts w:hint="default" w:ascii="Times New Roman" w:hAnsi="Times New Roman"/>
              </w:rPr>
              <w:t>《危险废物贮存污染控制标准》(GB18597-2023)</w:t>
            </w:r>
            <w:r>
              <w:rPr>
                <w:rFonts w:hint="eastAsia" w:hAnsi="Tahoma"/>
              </w:rPr>
              <w:t>有关规定对危废进行管理、收集、暂存和运输，具体要求如下：</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default" w:ascii="Times New Roman" w:hAnsi="Tahoma"/>
                <w:b/>
                <w:bCs/>
              </w:rPr>
            </w:pPr>
            <w:r>
              <w:rPr>
                <w:rFonts w:hint="eastAsia" w:ascii="Times New Roman" w:hAnsi="Tahoma"/>
                <w:b/>
                <w:bCs/>
              </w:rPr>
              <w:t>危险废物的收集包装</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①配置专职人员专门负责厂区危险废物的收集，并采用符合要求的收集容器进行收集，收集人员配备个人防护设备；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②危险废物的收集容器应在醒目位置贴有危险废物标签，在收集场所醒目的地方设置危险废物警告标识。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③危险废物标签应标明以下信息：主要化学成分或危险废物名称、数量、物理形态、危险类别、安全措施以及危险废物产生单位名称、地址、联系人及电话。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④危险废物在产生点收集后严格按照指定路线转移运输至危险废物暂存间，运输过程采用专用手推车。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⑤加强运输过程中的管理，严防洒落现象，若发生洒落及时进行收集处置。</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default" w:ascii="Times New Roman" w:hAnsi="Tahoma"/>
                <w:b/>
                <w:bCs/>
              </w:rPr>
            </w:pPr>
            <w:r>
              <w:rPr>
                <w:rFonts w:hint="eastAsia" w:ascii="Times New Roman" w:hAnsi="Tahoma"/>
                <w:b/>
                <w:bCs/>
              </w:rPr>
              <w:t>危险废物的暂存要求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①危废暂存间按《危险废物识别标志设置技术规范》(HJ 1276-2022)设置警示标志。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②必须有耐腐蚀的硬化地面和基础防渗层，地面无裂隙；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③危废暂存间所地面采用地下水重点防渗措施进行防渗。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④要求必要的防风、防雨、防晒措施，并设立明显废物识别标志，临时储存场所应具备一个月以上的贮存能力。</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⑤不得将不相容的废物混合或合并存放。</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⑥应配备通讯设备、照明设施、安全防护服装及工具，并设有报警装置和应急防护设施。</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default" w:ascii="Times New Roman" w:hAnsi="Tahoma"/>
                <w:b/>
                <w:bCs/>
              </w:rPr>
            </w:pPr>
            <w:r>
              <w:rPr>
                <w:rFonts w:hint="eastAsia" w:ascii="Times New Roman" w:hAnsi="Tahoma"/>
                <w:b/>
                <w:bCs/>
              </w:rPr>
              <w:t>危险废物的运输要求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危险废物的运输由有资质的单位运输，转运环节执行“电子联单”制度，保证运输安全，防止非法转移和非法处置，保证危险废物的安全监控，防止危险废物污染事故发生。</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default" w:ascii="Times New Roman" w:hAnsi="Tahoma"/>
                <w:b/>
                <w:bCs/>
              </w:rPr>
            </w:pPr>
            <w:r>
              <w:rPr>
                <w:rFonts w:hint="eastAsia" w:ascii="Times New Roman" w:hAnsi="Tahoma"/>
                <w:b/>
                <w:bCs/>
              </w:rPr>
              <w:t>危险废物处置要求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hAnsi="Tahoma"/>
              </w:rPr>
            </w:pPr>
            <w:r>
              <w:rPr>
                <w:rFonts w:hint="eastAsia" w:hAnsi="Tahoma"/>
              </w:rPr>
              <w:t>项目产生的危险废物在厂区内规范化暂存后，委托有资质的单位进行处置，严禁委托无相关处置资质的单位违规进行处置。</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default" w:ascii="Times New Roman" w:hAnsi="Tahoma"/>
                <w:b/>
                <w:bCs/>
              </w:rPr>
            </w:pPr>
            <w:r>
              <w:rPr>
                <w:rFonts w:hint="eastAsia" w:ascii="Times New Roman" w:hAnsi="Tahoma"/>
                <w:b/>
                <w:bCs/>
              </w:rPr>
              <w:t>环境管理要求</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ahoma"/>
              </w:rPr>
            </w:pPr>
            <w:r>
              <w:rPr>
                <w:rFonts w:hint="eastAsia" w:ascii="Times New Roman" w:hAnsi="Tahoma"/>
              </w:rPr>
              <w:t>安排专职人员负责危险废物的收集、暂存管理及后续处置；</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ahoma"/>
              </w:rPr>
            </w:pPr>
            <w:r>
              <w:rPr>
                <w:rFonts w:hint="eastAsia" w:ascii="Times New Roman" w:hAnsi="Tahoma"/>
              </w:rPr>
              <w:t>建设规范的危废暂存场所，危险废物应在临时贮存场内分别堆放，禁止将不相容的危险废物混装；</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ahoma"/>
              </w:rPr>
            </w:pPr>
            <w:r>
              <w:rPr>
                <w:rFonts w:hint="eastAsia" w:ascii="Times New Roman" w:hAnsi="Tahoma"/>
              </w:rPr>
              <w:t>对危险废物的容器和包装物以及收集、贮存、运输、处置危险废物的设施、场所，必须设置危险废物识别标志；</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ahoma"/>
              </w:rPr>
            </w:pPr>
            <w:r>
              <w:rPr>
                <w:rFonts w:hint="eastAsia" w:ascii="Times New Roman" w:hAnsi="Tahoma"/>
              </w:rPr>
              <w:t>禁止将危险废物提供或者委托给无经营许可证的单位从事收集、贮存、利用、处置的经营活动。</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ahoma"/>
              </w:rPr>
            </w:pPr>
            <w:r>
              <w:rPr>
                <w:rFonts w:hint="eastAsia" w:ascii="Times New Roman" w:hAnsi="Tahoma"/>
              </w:rPr>
              <w:t>建立危险废物管理台账，记录厂区内危险废物的产生、贮存、处置等情况。</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b/>
                <w:bCs/>
                <w:color w:val="auto"/>
                <w:lang w:eastAsia="zh-CN"/>
              </w:rPr>
            </w:pPr>
            <w:r>
              <w:rPr>
                <w:rFonts w:hint="eastAsia" w:ascii="Times New Roman" w:hAnsi="Times New Roman"/>
                <w:b/>
                <w:bCs/>
                <w:color w:val="auto"/>
                <w:lang w:eastAsia="zh-CN"/>
              </w:rPr>
              <w:t>（</w:t>
            </w:r>
            <w:r>
              <w:rPr>
                <w:rFonts w:hint="eastAsia" w:ascii="Times New Roman" w:hAnsi="Times New Roman"/>
                <w:b/>
                <w:bCs/>
                <w:color w:val="auto"/>
                <w:lang w:val="en-US" w:eastAsia="zh-CN"/>
              </w:rPr>
              <w:t>2</w:t>
            </w:r>
            <w:r>
              <w:rPr>
                <w:rFonts w:hint="eastAsia" w:ascii="Times New Roman" w:hAnsi="Times New Roman"/>
                <w:b/>
                <w:bCs/>
                <w:color w:val="auto"/>
                <w:lang w:eastAsia="zh-CN"/>
              </w:rPr>
              <w:t>）</w:t>
            </w:r>
            <w:r>
              <w:rPr>
                <w:rFonts w:hint="default" w:ascii="Times New Roman" w:hAnsi="Times New Roman"/>
                <w:b/>
                <w:bCs/>
                <w:color w:val="auto"/>
                <w:lang w:eastAsia="zh-CN"/>
              </w:rPr>
              <w:t>危险废物</w:t>
            </w:r>
            <w:r>
              <w:rPr>
                <w:rFonts w:hint="eastAsia" w:ascii="Times New Roman" w:hAnsi="Times New Roman"/>
                <w:b/>
                <w:bCs/>
                <w:color w:val="auto"/>
                <w:lang w:eastAsia="zh-CN"/>
              </w:rPr>
              <w:t>暂存设施可行性分析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szCs w:val="21"/>
              </w:rPr>
            </w:pPr>
            <w:r>
              <w:rPr>
                <w:rFonts w:hint="eastAsia" w:hAnsi="Tahoma"/>
              </w:rPr>
              <w:t>厂区按规范设置危废暂存间</w:t>
            </w:r>
            <w:r>
              <w:rPr>
                <w:rFonts w:hint="default" w:ascii="Times New Roman" w:hAnsi="Times New Roman"/>
              </w:rPr>
              <w:t>1个，</w:t>
            </w:r>
            <w:r>
              <w:rPr>
                <w:rFonts w:hint="eastAsia" w:ascii="Times New Roman" w:hAnsi="Times New Roman"/>
              </w:rPr>
              <w:t>占地</w:t>
            </w:r>
            <w:r>
              <w:rPr>
                <w:rFonts w:hint="default" w:ascii="Times New Roman" w:hAnsi="Times New Roman"/>
              </w:rPr>
              <w:t>面积约为15m</w:t>
            </w:r>
            <w:r>
              <w:rPr>
                <w:rFonts w:hint="default" w:ascii="Times New Roman" w:hAnsi="Times New Roman"/>
                <w:vertAlign w:val="superscript"/>
              </w:rPr>
              <w:t>2</w:t>
            </w:r>
            <w:r>
              <w:rPr>
                <w:rFonts w:hint="default" w:ascii="Times New Roman" w:hAnsi="Times New Roman"/>
              </w:rPr>
              <w:t>，</w:t>
            </w:r>
            <w:r>
              <w:rPr>
                <w:rFonts w:hint="eastAsia" w:hAnsi="Tahoma"/>
              </w:rPr>
              <w:t>地面采取“防渗混凝土硬化</w:t>
            </w:r>
            <w:r>
              <w:rPr>
                <w:rFonts w:hint="default" w:hAnsi="Tahoma"/>
              </w:rPr>
              <w:t>+</w:t>
            </w:r>
            <w:r>
              <w:rPr>
                <w:rFonts w:hint="eastAsia" w:hAnsi="Tahoma"/>
              </w:rPr>
              <w:t>环氧树脂地坪漆”防渗，并设置防风、防雨、防晒及截流措施，废机油采用专用容器包装后贮存在危废暂存间，并设置警示牌。本项目设置的危废暂存间基本满足相关规范要求，暂存场贮存能力满足暂存要求</w:t>
            </w:r>
            <w:r>
              <w:rPr>
                <w:rFonts w:hint="default" w:ascii="Times New Roman" w:hAnsi="Times New Roman"/>
                <w:szCs w:val="21"/>
              </w:rPr>
              <w:t>。</w:t>
            </w:r>
          </w:p>
          <w:p>
            <w:pPr>
              <w:keepNext w:val="0"/>
              <w:keepLines w:val="0"/>
              <w:widowControl/>
              <w:suppressLineNumbers w:val="0"/>
              <w:spacing w:before="0" w:beforeAutospacing="0" w:after="0" w:afterAutospacing="0" w:line="440" w:lineRule="exact"/>
              <w:ind w:left="0" w:right="0" w:firstLine="422"/>
              <w:jc w:val="center"/>
              <w:rPr>
                <w:rFonts w:hint="default" w:ascii="Times New Roman" w:hAnsi="Times New Roman" w:eastAsia="黑体"/>
                <w:b/>
                <w:bCs/>
                <w:kern w:val="0"/>
                <w:sz w:val="21"/>
                <w:szCs w:val="21"/>
              </w:rPr>
            </w:pPr>
            <w:r>
              <w:rPr>
                <w:rFonts w:hint="default" w:ascii="Times New Roman" w:hAnsi="Times New Roman" w:eastAsia="黑体"/>
                <w:b/>
                <w:bCs/>
                <w:kern w:val="0"/>
                <w:sz w:val="21"/>
                <w:szCs w:val="21"/>
              </w:rPr>
              <w:t>表4.2-</w:t>
            </w:r>
            <w:r>
              <w:rPr>
                <w:rFonts w:hint="eastAsia" w:ascii="Times New Roman" w:hAnsi="Times New Roman" w:eastAsia="黑体"/>
                <w:b/>
                <w:bCs/>
                <w:kern w:val="0"/>
                <w:sz w:val="21"/>
                <w:szCs w:val="21"/>
              </w:rPr>
              <w:t>11</w:t>
            </w:r>
            <w:r>
              <w:rPr>
                <w:rFonts w:hint="default" w:ascii="Times New Roman" w:hAnsi="Times New Roman" w:eastAsia="黑体"/>
                <w:b/>
                <w:bCs/>
                <w:kern w:val="0"/>
                <w:sz w:val="21"/>
                <w:szCs w:val="21"/>
              </w:rPr>
              <w:t xml:space="preserve"> </w:t>
            </w:r>
            <w:r>
              <w:rPr>
                <w:rFonts w:hint="eastAsia" w:ascii="Times New Roman" w:hAnsi="Times New Roman" w:eastAsia="黑体"/>
                <w:b/>
                <w:bCs/>
                <w:kern w:val="0"/>
                <w:sz w:val="21"/>
                <w:szCs w:val="21"/>
              </w:rPr>
              <w:t>建设项目危险废物贮存库基本情况</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075"/>
              <w:gridCol w:w="1270"/>
              <w:gridCol w:w="780"/>
              <w:gridCol w:w="1017"/>
              <w:gridCol w:w="1070"/>
              <w:gridCol w:w="776"/>
              <w:gridCol w:w="1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贮存场所名称</w:t>
                  </w:r>
                </w:p>
              </w:tc>
              <w:tc>
                <w:tcPr>
                  <w:tcW w:w="63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危废名称</w:t>
                  </w:r>
                </w:p>
              </w:tc>
              <w:tc>
                <w:tcPr>
                  <w:tcW w:w="74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危废代码</w:t>
                  </w:r>
                </w:p>
              </w:tc>
              <w:tc>
                <w:tcPr>
                  <w:tcW w:w="460"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占地面积</w:t>
                  </w:r>
                </w:p>
              </w:tc>
              <w:tc>
                <w:tcPr>
                  <w:tcW w:w="600"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贮存</w:t>
                  </w:r>
                </w:p>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方式</w:t>
                  </w:r>
                </w:p>
              </w:tc>
              <w:tc>
                <w:tcPr>
                  <w:tcW w:w="631"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产生量</w:t>
                  </w:r>
                </w:p>
              </w:tc>
              <w:tc>
                <w:tcPr>
                  <w:tcW w:w="45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贮存能力</w:t>
                  </w:r>
                </w:p>
              </w:tc>
              <w:tc>
                <w:tcPr>
                  <w:tcW w:w="711"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危废暂存间</w:t>
                  </w:r>
                </w:p>
              </w:tc>
              <w:tc>
                <w:tcPr>
                  <w:tcW w:w="63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废机油</w:t>
                  </w:r>
                </w:p>
              </w:tc>
              <w:tc>
                <w:tcPr>
                  <w:tcW w:w="74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900-218-08</w:t>
                  </w:r>
                </w:p>
              </w:tc>
              <w:tc>
                <w:tcPr>
                  <w:tcW w:w="460"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15m</w:t>
                  </w:r>
                  <w:r>
                    <w:rPr>
                      <w:rFonts w:hint="eastAsia" w:ascii="Times New Roman" w:hAnsi="Times New Roman"/>
                      <w:sz w:val="21"/>
                      <w:szCs w:val="21"/>
                      <w:vertAlign w:val="superscript"/>
                    </w:rPr>
                    <w:t>2</w:t>
                  </w:r>
                </w:p>
              </w:tc>
              <w:tc>
                <w:tcPr>
                  <w:tcW w:w="600"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桶装密闭贮存</w:t>
                  </w:r>
                </w:p>
              </w:tc>
              <w:tc>
                <w:tcPr>
                  <w:tcW w:w="631"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0.02t/a</w:t>
                  </w:r>
                </w:p>
              </w:tc>
              <w:tc>
                <w:tcPr>
                  <w:tcW w:w="458"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5t</w:t>
                  </w:r>
                </w:p>
              </w:tc>
              <w:tc>
                <w:tcPr>
                  <w:tcW w:w="711"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1~3个月</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2" w:firstLineChars="200"/>
              <w:textAlignment w:val="auto"/>
              <w:rPr>
                <w:rFonts w:hint="eastAsia" w:ascii="Times New Roman" w:hAnsi="Times New Roman"/>
                <w:b/>
                <w:bCs/>
                <w:color w:val="auto"/>
                <w:lang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2" w:firstLineChars="200"/>
              <w:textAlignment w:val="auto"/>
              <w:rPr>
                <w:rFonts w:hint="eastAsia" w:ascii="Times New Roman" w:hAnsi="Times New Roman"/>
                <w:b/>
                <w:bCs/>
                <w:color w:val="auto"/>
                <w:lang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2" w:firstLineChars="200"/>
              <w:textAlignment w:val="auto"/>
              <w:rPr>
                <w:rFonts w:hint="default" w:ascii="Times New Roman" w:hAnsi="Times New Roman"/>
                <w:b/>
                <w:bCs/>
                <w:color w:val="auto"/>
                <w:lang w:eastAsia="zh-CN"/>
              </w:rPr>
            </w:pPr>
            <w:r>
              <w:rPr>
                <w:rFonts w:hint="eastAsia" w:ascii="Times New Roman" w:hAnsi="Times New Roman"/>
                <w:b/>
                <w:bCs/>
                <w:color w:val="auto"/>
                <w:lang w:eastAsia="zh-CN"/>
              </w:rPr>
              <w:t>（</w:t>
            </w:r>
            <w:r>
              <w:rPr>
                <w:rFonts w:hint="eastAsia" w:ascii="Times New Roman" w:hAnsi="Times New Roman"/>
                <w:b/>
                <w:bCs/>
                <w:color w:val="auto"/>
                <w:lang w:val="en-US" w:eastAsia="zh-CN"/>
              </w:rPr>
              <w:t>3</w:t>
            </w:r>
            <w:r>
              <w:rPr>
                <w:rFonts w:hint="eastAsia" w:ascii="Times New Roman" w:hAnsi="Times New Roman"/>
                <w:b/>
                <w:bCs/>
                <w:color w:val="auto"/>
                <w:lang w:eastAsia="zh-CN"/>
              </w:rPr>
              <w:t>）</w:t>
            </w:r>
            <w:r>
              <w:rPr>
                <w:rFonts w:hint="default" w:ascii="Times New Roman" w:hAnsi="Times New Roman"/>
                <w:b/>
                <w:bCs/>
                <w:color w:val="auto"/>
                <w:lang w:eastAsia="zh-CN"/>
              </w:rPr>
              <w:t>一般工业固体废物</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textAlignment w:val="auto"/>
              <w:rPr>
                <w:rFonts w:hint="default" w:ascii="Times New Roman" w:hAnsi="Times New Roman"/>
              </w:rPr>
            </w:pPr>
            <w:r>
              <w:rPr>
                <w:rFonts w:hint="default" w:ascii="Times New Roman" w:hAnsi="Times New Roman"/>
              </w:rPr>
              <w:t>项目废水处理后产生的</w:t>
            </w:r>
            <w:r>
              <w:rPr>
                <w:rFonts w:hint="eastAsia" w:ascii="Times New Roman" w:hAnsi="Times New Roman"/>
              </w:rPr>
              <w:t>泥渣</w:t>
            </w:r>
            <w:r>
              <w:rPr>
                <w:rFonts w:hint="default" w:ascii="Times New Roman" w:hAnsi="Times New Roman"/>
              </w:rPr>
              <w:t>经压滤机脱水后放于暂存池，污泥暂存池采取防风、防雨、防渗漏等措施。项目使用的</w:t>
            </w:r>
            <w:r>
              <w:rPr>
                <w:rFonts w:hint="eastAsia" w:ascii="Times New Roman" w:hAnsi="Times New Roman"/>
              </w:rPr>
              <w:t>矿渣</w:t>
            </w:r>
            <w:r>
              <w:rPr>
                <w:rFonts w:hint="default" w:ascii="Times New Roman" w:hAnsi="Times New Roman"/>
              </w:rPr>
              <w:t>石料</w:t>
            </w:r>
            <w:r>
              <w:rPr>
                <w:rFonts w:hint="eastAsia" w:ascii="Times New Roman" w:hAnsi="Times New Roman"/>
              </w:rPr>
              <w:t>、污泥</w:t>
            </w:r>
            <w:r>
              <w:rPr>
                <w:rFonts w:hint="default" w:ascii="Times New Roman" w:hAnsi="Times New Roman"/>
              </w:rPr>
              <w:t>主要成分为二氧化硅，含量约为70%-80%，</w:t>
            </w:r>
            <w:r>
              <w:rPr>
                <w:rFonts w:hint="eastAsia" w:ascii="Times New Roman" w:hAnsi="Times New Roman"/>
              </w:rPr>
              <w:t>定期外售用于制砖，项目已与</w:t>
            </w:r>
            <w:r>
              <w:rPr>
                <w:rFonts w:hint="default" w:ascii="Times New Roman" w:hAnsi="Times New Roman"/>
              </w:rPr>
              <w:t>大田县京融建材有限责任公司</w:t>
            </w:r>
            <w:r>
              <w:rPr>
                <w:rFonts w:hint="eastAsia" w:ascii="Times New Roman" w:hAnsi="Times New Roman"/>
              </w:rPr>
              <w:t>签订了污泥处置协议（见附件</w:t>
            </w:r>
            <w:r>
              <w:rPr>
                <w:rFonts w:hint="eastAsia" w:ascii="Times New Roman" w:hAnsi="Times New Roman"/>
                <w:lang w:val="en-US" w:eastAsia="zh-CN"/>
              </w:rPr>
              <w:t>八</w:t>
            </w:r>
            <w:r>
              <w:rPr>
                <w:rFonts w:hint="eastAsia" w:ascii="Times New Roman" w:hAnsi="Times New Roman"/>
              </w:rPr>
              <w:t>），将污泥送该公司作为原料用于制砖</w:t>
            </w:r>
            <w:r>
              <w:rPr>
                <w:rFonts w:hint="default" w:ascii="Times New Roman" w:hAnsi="Times New Roman"/>
              </w:rPr>
              <w:t>。</w:t>
            </w:r>
          </w:p>
          <w:p>
            <w:pPr>
              <w:pStyle w:val="41"/>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textAlignment w:val="auto"/>
              <w:rPr>
                <w:rFonts w:hint="default" w:ascii="Times New Roman" w:hAnsi="Times New Roman"/>
              </w:rPr>
            </w:pPr>
            <w:r>
              <w:rPr>
                <w:rFonts w:hint="default" w:ascii="Times New Roman" w:hAnsi="Times New Roman"/>
              </w:rPr>
              <w:t>大田县京融建材有限责任公司</w:t>
            </w:r>
            <w:r>
              <w:rPr>
                <w:rFonts w:hint="eastAsia" w:ascii="Times New Roman" w:hAnsi="Times New Roman"/>
              </w:rPr>
              <w:t>《</w:t>
            </w:r>
            <w:r>
              <w:rPr>
                <w:rFonts w:hint="default" w:ascii="Times New Roman" w:hAnsi="Times New Roman"/>
              </w:rPr>
              <w:t>建设年产12000万块煤矸石页岩空心砖（折标）技改项目</w:t>
            </w:r>
            <w:r>
              <w:rPr>
                <w:rFonts w:hint="eastAsia" w:ascii="Times New Roman" w:hAnsi="Times New Roman"/>
              </w:rPr>
              <w:t>》环境影响报告表已通过大田县生态环境局审批（</w:t>
            </w:r>
            <w:r>
              <w:rPr>
                <w:rFonts w:hint="default" w:ascii="Times New Roman" w:hAnsi="Times New Roman"/>
              </w:rPr>
              <w:t>田环批字〔</w:t>
            </w:r>
            <w:r>
              <w:rPr>
                <w:rFonts w:hint="eastAsia" w:ascii="Times New Roman" w:hAnsi="Times New Roman"/>
              </w:rPr>
              <w:t>2018</w:t>
            </w:r>
            <w:r>
              <w:rPr>
                <w:rFonts w:hint="default" w:ascii="Times New Roman" w:hAnsi="Times New Roman"/>
              </w:rPr>
              <w:t>〕</w:t>
            </w:r>
            <w:r>
              <w:rPr>
                <w:rFonts w:hint="eastAsia" w:ascii="Times New Roman" w:hAnsi="Times New Roman"/>
              </w:rPr>
              <w:t>09</w:t>
            </w:r>
            <w:r>
              <w:rPr>
                <w:rFonts w:hint="default" w:ascii="Times New Roman" w:hAnsi="Times New Roman"/>
              </w:rPr>
              <w:t>号</w:t>
            </w:r>
            <w:r>
              <w:rPr>
                <w:rFonts w:hint="eastAsia" w:ascii="Times New Roman" w:hAnsi="Times New Roman"/>
              </w:rPr>
              <w:t>），</w:t>
            </w:r>
            <w:r>
              <w:rPr>
                <w:rFonts w:hint="default" w:ascii="Times New Roman" w:hAnsi="Times New Roman"/>
              </w:rPr>
              <w:t>京融建材</w:t>
            </w:r>
            <w:r>
              <w:rPr>
                <w:rFonts w:hint="eastAsia" w:ascii="Times New Roman" w:hAnsi="Times New Roman"/>
              </w:rPr>
              <w:t>主要采购页岩（37800t/a）、煤矸石（70200t/a），氧化钙等作为原辅材料，年产</w:t>
            </w:r>
            <w:r>
              <w:rPr>
                <w:rFonts w:hint="default" w:ascii="Times New Roman" w:hAnsi="Times New Roman"/>
              </w:rPr>
              <w:t>12000万块煤矸石页岩空心砖</w:t>
            </w:r>
            <w:r>
              <w:rPr>
                <w:rFonts w:hint="eastAsia" w:ascii="Times New Roman" w:hAnsi="Times New Roman"/>
              </w:rPr>
              <w:t>。页岩的主要成为为石英、云母、高岭石，与本项目污泥主要成分相近，收购本项目污泥作为原料使用，可改善产品质量；</w:t>
            </w:r>
            <w:r>
              <w:rPr>
                <w:rFonts w:hint="default" w:ascii="Times New Roman" w:hAnsi="Times New Roman"/>
              </w:rPr>
              <w:t>京融建材</w:t>
            </w:r>
            <w:r>
              <w:rPr>
                <w:rFonts w:hint="eastAsia" w:ascii="Times New Roman" w:hAnsi="Times New Roman"/>
              </w:rPr>
              <w:t>需采购页岩37800t/a，可消纳本项目产生的污泥。</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2" w:firstLineChars="200"/>
              <w:textAlignment w:val="auto"/>
              <w:rPr>
                <w:rFonts w:hint="default" w:ascii="Times New Roman" w:hAnsi="Times New Roman"/>
                <w:b/>
                <w:bCs/>
                <w:color w:val="auto"/>
                <w:lang w:eastAsia="zh-CN"/>
              </w:rPr>
            </w:pPr>
            <w:r>
              <w:rPr>
                <w:rFonts w:hint="eastAsia" w:ascii="Times New Roman" w:hAnsi="Times New Roman"/>
                <w:b/>
                <w:bCs/>
                <w:color w:val="auto"/>
                <w:lang w:eastAsia="zh-CN"/>
              </w:rPr>
              <w:t>（</w:t>
            </w:r>
            <w:r>
              <w:rPr>
                <w:rFonts w:hint="eastAsia" w:ascii="Times New Roman" w:hAnsi="Times New Roman"/>
                <w:b/>
                <w:bCs/>
                <w:color w:val="auto"/>
                <w:lang w:val="en-US" w:eastAsia="zh-CN"/>
              </w:rPr>
              <w:t>4</w:t>
            </w:r>
            <w:r>
              <w:rPr>
                <w:rFonts w:hint="eastAsia" w:ascii="Times New Roman" w:hAnsi="Times New Roman"/>
                <w:b/>
                <w:bCs/>
                <w:color w:val="auto"/>
                <w:lang w:eastAsia="zh-CN"/>
              </w:rPr>
              <w:t>）</w:t>
            </w:r>
            <w:r>
              <w:rPr>
                <w:rFonts w:hint="default" w:ascii="Times New Roman" w:hAnsi="Times New Roman"/>
                <w:b/>
                <w:bCs/>
                <w:color w:val="auto"/>
                <w:lang w:eastAsia="zh-CN"/>
              </w:rPr>
              <w:t>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rPr>
            </w:pPr>
            <w:r>
              <w:rPr>
                <w:rFonts w:hint="default" w:ascii="Times New Roman" w:hAnsi="Times New Roman"/>
              </w:rPr>
              <w:t>项目已定点设置垃圾桶，生活垃圾集中收集后由当地环卫部门统一清运。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default" w:ascii="Times New Roman" w:hAnsi="Times New Roman"/>
              </w:rPr>
            </w:pPr>
            <w:r>
              <w:rPr>
                <w:rFonts w:hint="default" w:ascii="Times New Roman" w:hAnsi="Times New Roman"/>
              </w:rPr>
              <w:t>综上所述，固体废物均得到有效处置，不会对周围环境产生很大影响</w:t>
            </w:r>
            <w:r>
              <w:rPr>
                <w:rFonts w:hint="eastAsia" w:ascii="Times New Roman" w:hAnsi="Times New Roman"/>
              </w:rPr>
              <w:t>。</w:t>
            </w:r>
          </w:p>
          <w:p>
            <w:pPr>
              <w:pStyle w:val="8"/>
              <w:numPr>
                <w:ilvl w:val="0"/>
                <w:numId w:val="0"/>
              </w:numPr>
              <w:suppressLineNumbers w:val="0"/>
              <w:spacing w:before="0" w:beforeAutospacing="0" w:after="0" w:afterAutospacing="0" w:line="440" w:lineRule="exact"/>
              <w:ind w:left="0" w:right="0"/>
              <w:rPr>
                <w:rFonts w:hint="default" w:ascii="Times New Roman" w:hAnsi="Times New Roman"/>
                <w:szCs w:val="24"/>
              </w:rPr>
            </w:pPr>
            <w:r>
              <w:rPr>
                <w:rFonts w:hint="default" w:ascii="Times New Roman" w:hAnsi="Times New Roman"/>
                <w:szCs w:val="24"/>
              </w:rPr>
              <w:t>4.2.</w:t>
            </w:r>
            <w:r>
              <w:rPr>
                <w:rFonts w:hint="eastAsia" w:ascii="Times New Roman" w:hAnsi="Times New Roman"/>
                <w:szCs w:val="24"/>
              </w:rPr>
              <w:t>6地下水</w:t>
            </w:r>
          </w:p>
          <w:p>
            <w:pPr>
              <w:keepNext w:val="0"/>
              <w:keepLines w:val="0"/>
              <w:numPr>
                <w:ilvl w:val="0"/>
                <w:numId w:val="12"/>
              </w:numPr>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地下水污染防治原则</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针对本项目可能发生的地下水污染，地下水污染防治措施按照</w:t>
            </w:r>
            <w:r>
              <w:rPr>
                <w:rFonts w:hint="default" w:ascii="Times New Roman" w:hAnsi="Times New Roman" w:cs="宋体"/>
                <w:shd w:val="clear" w:color="auto" w:fill="FFFFFF"/>
                <w:lang w:bidi="ar"/>
              </w:rPr>
              <w:t>“</w:t>
            </w:r>
            <w:r>
              <w:rPr>
                <w:rFonts w:hint="eastAsia" w:ascii="Times New Roman" w:hAnsi="Times New Roman" w:cs="宋体"/>
                <w:shd w:val="clear" w:color="auto" w:fill="FFFFFF"/>
                <w:lang w:bidi="ar"/>
              </w:rPr>
              <w:t>源头控制、末端防治、污染监控、应急响应</w:t>
            </w:r>
            <w:r>
              <w:rPr>
                <w:rFonts w:hint="default" w:ascii="Times New Roman" w:hAnsi="Times New Roman" w:cs="宋体"/>
                <w:shd w:val="clear" w:color="auto" w:fill="FFFFFF"/>
                <w:lang w:bidi="ar"/>
              </w:rPr>
              <w:t>”</w:t>
            </w:r>
            <w:r>
              <w:rPr>
                <w:rFonts w:hint="eastAsia" w:ascii="Times New Roman" w:hAnsi="Times New Roman" w:cs="宋体"/>
                <w:shd w:val="clear" w:color="auto" w:fill="FFFFFF"/>
                <w:lang w:bidi="ar"/>
              </w:rPr>
              <w:t>相结合的原则，从污染物的产生、入渗、扩散、应急响应全阶段进行控制。</w:t>
            </w:r>
          </w:p>
          <w:p>
            <w:pPr>
              <w:keepNext w:val="0"/>
              <w:keepLines w:val="0"/>
              <w:suppressLineNumbers w:val="0"/>
              <w:spacing w:before="0" w:beforeAutospacing="0" w:after="0" w:afterAutospacing="0" w:line="420" w:lineRule="atLeast"/>
              <w:ind w:left="0" w:right="0" w:firstLine="480" w:firstLineChars="200"/>
              <w:rPr>
                <w:rFonts w:hint="default"/>
                <w:shd w:val="clear" w:color="auto" w:fill="FFFFFF"/>
              </w:rPr>
            </w:pPr>
            <w:r>
              <w:rPr>
                <w:rFonts w:hint="eastAsia" w:ascii="Times New Roman" w:hAnsi="Times New Roman" w:cs="宋体"/>
                <w:shd w:val="clear" w:color="auto" w:fill="FFFFFF"/>
                <w:lang w:bidi="ar"/>
              </w:rPr>
              <w:t>①源头控制措施：主要包括在工艺、管道、设备等采取相应措施，防止和降低污染物跑、冒、滴、漏，将污染物泄漏的环境风险事故降到最低程度；管线敷设尽量采用</w:t>
            </w:r>
            <w:r>
              <w:rPr>
                <w:rFonts w:hint="default" w:ascii="Times New Roman" w:hAnsi="Times New Roman"/>
                <w:shd w:val="clear" w:color="auto" w:fill="FFFFFF"/>
                <w:lang w:bidi="ar"/>
              </w:rPr>
              <w:t>“</w:t>
            </w:r>
            <w:r>
              <w:rPr>
                <w:rFonts w:hint="eastAsia" w:ascii="Times New Roman" w:hAnsi="Times New Roman" w:cs="宋体"/>
                <w:shd w:val="clear" w:color="auto" w:fill="FFFFFF"/>
                <w:lang w:bidi="ar"/>
              </w:rPr>
              <w:t>可视化</w:t>
            </w:r>
            <w:r>
              <w:rPr>
                <w:rFonts w:hint="default" w:ascii="Times New Roman" w:hAnsi="Times New Roman"/>
                <w:shd w:val="clear" w:color="auto" w:fill="FFFFFF"/>
                <w:lang w:bidi="ar"/>
              </w:rPr>
              <w:t>”</w:t>
            </w:r>
            <w:r>
              <w:rPr>
                <w:rFonts w:hint="eastAsia" w:ascii="Times New Roman" w:hAnsi="Times New Roman" w:cs="宋体"/>
                <w:shd w:val="clear" w:color="auto" w:fill="FFFFFF"/>
                <w:lang w:bidi="ar"/>
              </w:rPr>
              <w:t>原则，即管道尽可能地上敷设，做到污染物</w:t>
            </w:r>
            <w:r>
              <w:rPr>
                <w:rFonts w:hint="default" w:ascii="Times New Roman" w:hAnsi="Times New Roman"/>
                <w:shd w:val="clear" w:color="auto" w:fill="FFFFFF"/>
                <w:lang w:bidi="ar"/>
              </w:rPr>
              <w:t>“</w:t>
            </w:r>
            <w:r>
              <w:rPr>
                <w:rFonts w:hint="eastAsia" w:ascii="Times New Roman" w:hAnsi="Times New Roman" w:cs="宋体"/>
                <w:shd w:val="clear" w:color="auto" w:fill="FFFFFF"/>
                <w:lang w:bidi="ar"/>
              </w:rPr>
              <w:t>早发现、早处理</w:t>
            </w:r>
            <w:r>
              <w:rPr>
                <w:rFonts w:hint="default" w:ascii="Times New Roman" w:hAnsi="Times New Roman"/>
                <w:shd w:val="clear" w:color="auto" w:fill="FFFFFF"/>
                <w:lang w:bidi="ar"/>
              </w:rPr>
              <w:t>”</w:t>
            </w:r>
            <w:r>
              <w:rPr>
                <w:rFonts w:hint="eastAsia" w:ascii="Times New Roman" w:hAnsi="Times New Roman" w:cs="宋体"/>
                <w:shd w:val="clear" w:color="auto" w:fill="FFFFFF"/>
                <w:lang w:bidi="ar"/>
              </w:rPr>
              <w:t>，减少由于埋地管道泄漏而造成的地下水污染。</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②末端控制措施：主要包括针对污染区地面建设防渗措施和泄漏、渗漏污染物收集措施，即在污染区地面进行防渗处理，防止洒落地面的污染物渗入地下，并把滞留在地面的污染物收集后集中处置；末端控制采取分区防渗措施。</w:t>
            </w:r>
          </w:p>
          <w:p>
            <w:pPr>
              <w:keepNext w:val="0"/>
              <w:keepLines w:val="0"/>
              <w:numPr>
                <w:ilvl w:val="0"/>
                <w:numId w:val="12"/>
              </w:numPr>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bookmarkStart w:id="14" w:name="_Hlk109756817"/>
            <w:r>
              <w:rPr>
                <w:rFonts w:hint="eastAsia" w:ascii="Times New Roman" w:hAnsi="Times New Roman" w:cs="宋体"/>
                <w:shd w:val="clear" w:color="auto" w:fill="FFFFFF"/>
                <w:lang w:bidi="ar"/>
              </w:rPr>
              <w:t>地下水污染防渗分区</w:t>
            </w:r>
            <w:bookmarkEnd w:id="14"/>
          </w:p>
          <w:p>
            <w:pPr>
              <w:keepNext w:val="0"/>
              <w:keepLines w:val="0"/>
              <w:suppressLineNumbers w:val="0"/>
              <w:autoSpaceDE w:val="0"/>
              <w:autoSpaceDN w:val="0"/>
              <w:spacing w:before="0" w:beforeAutospacing="0" w:after="0" w:afterAutospacing="0" w:line="420" w:lineRule="atLeast"/>
              <w:ind w:left="0" w:right="0" w:firstLine="480" w:firstLineChars="200"/>
              <w:rPr>
                <w:rFonts w:hint="default"/>
                <w:shd w:val="clear" w:color="auto" w:fill="FFFFFF"/>
              </w:rPr>
            </w:pPr>
            <w:r>
              <w:rPr>
                <w:rFonts w:hint="eastAsia" w:ascii="Times New Roman" w:hAnsi="Times New Roman" w:cs="宋体"/>
                <w:shd w:val="clear" w:color="auto" w:fill="FFFFFF"/>
                <w:lang w:bidi="ar"/>
              </w:rPr>
              <w:t>根据项目可能泄漏至地面区域的污染物类型、污染物控制的难易程度和厂区的实际情况，将厂区划分为重点防渗区、</w:t>
            </w:r>
            <w:r>
              <w:rPr>
                <w:rFonts w:hint="eastAsia" w:ascii="Times New Roman" w:hAnsi="Times New Roman" w:cs="宋体"/>
                <w:bCs/>
                <w:snapToGrid w:val="0"/>
                <w:kern w:val="0"/>
                <w:shd w:val="clear" w:color="auto" w:fill="FFFFFF"/>
                <w:lang w:bidi="ar"/>
              </w:rPr>
              <w:t>一般防渗区和简单防渗区</w:t>
            </w:r>
            <w:r>
              <w:rPr>
                <w:rFonts w:hint="eastAsia" w:ascii="Times New Roman" w:hAnsi="Times New Roman" w:cs="宋体"/>
                <w:shd w:val="clear" w:color="auto" w:fill="FFFFFF"/>
                <w:lang w:bidi="ar"/>
              </w:rPr>
              <w:t>。</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①重点防渗区</w:t>
            </w:r>
          </w:p>
          <w:p>
            <w:pPr>
              <w:keepNext w:val="0"/>
              <w:keepLines w:val="0"/>
              <w:suppressLineNumbers w:val="0"/>
              <w:autoSpaceDE w:val="0"/>
              <w:autoSpaceDN w:val="0"/>
              <w:spacing w:before="0" w:beforeAutospacing="0" w:after="0" w:afterAutospacing="0" w:line="420" w:lineRule="atLeast"/>
              <w:ind w:left="0" w:right="0" w:firstLine="480" w:firstLineChars="200"/>
              <w:rPr>
                <w:rFonts w:hint="default"/>
                <w:shd w:val="clear" w:color="auto" w:fill="FFFFFF"/>
              </w:rPr>
            </w:pPr>
            <w:r>
              <w:rPr>
                <w:rFonts w:hint="eastAsia" w:ascii="Times New Roman" w:hAnsi="Times New Roman" w:cs="宋体"/>
                <w:shd w:val="clear" w:color="auto" w:fill="FFFFFF"/>
                <w:lang w:bidi="ar"/>
              </w:rPr>
              <w:t>项目重点防渗区主要为危废暂存间。</w:t>
            </w:r>
          </w:p>
          <w:p>
            <w:pPr>
              <w:keepNext w:val="0"/>
              <w:keepLines w:val="0"/>
              <w:suppressLineNumbers w:val="0"/>
              <w:spacing w:before="0" w:beforeAutospacing="0" w:after="0" w:afterAutospacing="0" w:line="420" w:lineRule="atLeast"/>
              <w:ind w:left="0" w:right="0" w:firstLine="480" w:firstLineChars="200"/>
              <w:rPr>
                <w:rFonts w:hint="default"/>
              </w:rPr>
            </w:pPr>
            <w:r>
              <w:rPr>
                <w:rFonts w:hint="eastAsia" w:ascii="Times New Roman" w:hAnsi="Times New Roman" w:cs="宋体"/>
                <w:shd w:val="clear" w:color="auto" w:fill="FFFFFF"/>
                <w:lang w:bidi="ar"/>
              </w:rPr>
              <w:t>防渗技术要求：危废暂存间地面及墙裙采用“防渗混凝土+环氧树脂地坪漆”进行防渗。</w:t>
            </w:r>
            <w:r>
              <w:rPr>
                <w:rFonts w:hint="default"/>
              </w:rPr>
              <w:t>要求</w:t>
            </w:r>
            <w:r>
              <w:rPr>
                <w:rFonts w:hint="eastAsia"/>
              </w:rPr>
              <w:t>重点污染防治区</w:t>
            </w:r>
            <w:r>
              <w:rPr>
                <w:rFonts w:hint="default"/>
              </w:rPr>
              <w:t>防渗层的</w:t>
            </w:r>
            <w:r>
              <w:rPr>
                <w:rFonts w:hint="eastAsia"/>
              </w:rPr>
              <w:t>防渗性能不能低于6m厚渗透系数为</w:t>
            </w:r>
          </w:p>
          <w:p>
            <w:pPr>
              <w:keepNext w:val="0"/>
              <w:keepLines w:val="0"/>
              <w:suppressLineNumbers w:val="0"/>
              <w:spacing w:before="0" w:beforeAutospacing="0" w:after="0" w:afterAutospacing="0" w:line="420" w:lineRule="atLeast"/>
              <w:ind w:left="0" w:right="0"/>
              <w:rPr>
                <w:rFonts w:hint="default" w:ascii="Times New Roman" w:hAnsi="Times New Roman" w:cs="宋体"/>
                <w:shd w:val="clear" w:color="auto" w:fill="FFFFFF"/>
                <w:lang w:bidi="ar"/>
              </w:rPr>
            </w:pPr>
            <w:r>
              <w:rPr>
                <w:rFonts w:hint="default"/>
              </w:rPr>
              <w:t>1.0×10</w:t>
            </w:r>
            <w:r>
              <w:rPr>
                <w:rFonts w:hint="default"/>
                <w:vertAlign w:val="superscript"/>
              </w:rPr>
              <w:t>-</w:t>
            </w:r>
            <w:r>
              <w:rPr>
                <w:rFonts w:hint="eastAsia"/>
                <w:vertAlign w:val="superscript"/>
              </w:rPr>
              <w:t>7</w:t>
            </w:r>
            <w:r>
              <w:rPr>
                <w:rFonts w:hint="default"/>
              </w:rPr>
              <w:t>cm/s</w:t>
            </w:r>
            <w:r>
              <w:rPr>
                <w:rFonts w:hint="eastAsia"/>
              </w:rPr>
              <w:t>的黏土层的防渗性能</w:t>
            </w:r>
            <w:r>
              <w:rPr>
                <w:rFonts w:hint="default"/>
              </w:rPr>
              <w:t>。</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②一般防渗区</w:t>
            </w:r>
          </w:p>
          <w:p>
            <w:pPr>
              <w:keepNext w:val="0"/>
              <w:keepLines w:val="0"/>
              <w:suppressLineNumbers w:val="0"/>
              <w:autoSpaceDE w:val="0"/>
              <w:autoSpaceDN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项目一般防渗区主要为沉淀池、污泥暂存池、清水池、生产区、原料堆场、成品堆场等。</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防渗技术要求：沉淀池、污泥暂存池、清水池等设施在地上建设，池体和池底采用防渗混凝土建设，生产区、堆场地面采取防渗混凝土防渗。</w:t>
            </w:r>
            <w:r>
              <w:rPr>
                <w:rFonts w:hint="default"/>
              </w:rPr>
              <w:t>要求一般污染防治区</w:t>
            </w:r>
            <w:r>
              <w:rPr>
                <w:rFonts w:hint="eastAsia"/>
              </w:rPr>
              <w:t>各种</w:t>
            </w:r>
            <w:r>
              <w:rPr>
                <w:rFonts w:hint="default"/>
              </w:rPr>
              <w:t>防渗层的</w:t>
            </w:r>
            <w:r>
              <w:rPr>
                <w:rFonts w:hint="eastAsia"/>
              </w:rPr>
              <w:t>防渗性能不能低于1.5m厚渗透系数为</w:t>
            </w:r>
            <w:r>
              <w:rPr>
                <w:rFonts w:hint="default"/>
              </w:rPr>
              <w:t>1.0×10</w:t>
            </w:r>
            <w:r>
              <w:rPr>
                <w:rFonts w:hint="default"/>
                <w:vertAlign w:val="superscript"/>
              </w:rPr>
              <w:t>-</w:t>
            </w:r>
            <w:r>
              <w:rPr>
                <w:rFonts w:hint="eastAsia"/>
                <w:vertAlign w:val="superscript"/>
              </w:rPr>
              <w:t>7</w:t>
            </w:r>
            <w:r>
              <w:rPr>
                <w:rFonts w:hint="default"/>
              </w:rPr>
              <w:t>cm/s</w:t>
            </w:r>
            <w:r>
              <w:rPr>
                <w:rFonts w:hint="eastAsia"/>
              </w:rPr>
              <w:t>的黏土层的防渗性能</w:t>
            </w:r>
            <w:r>
              <w:rPr>
                <w:rFonts w:hint="default"/>
              </w:rPr>
              <w:t>。</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③简单防渗区</w:t>
            </w:r>
          </w:p>
          <w:p>
            <w:pPr>
              <w:keepNext w:val="0"/>
              <w:keepLines w:val="0"/>
              <w:suppressLineNumbers w:val="0"/>
              <w:spacing w:before="0" w:beforeAutospacing="0" w:after="0" w:afterAutospacing="0" w:line="420" w:lineRule="atLeast"/>
              <w:ind w:left="0" w:right="0" w:firstLine="480" w:firstLineChars="200"/>
              <w:rPr>
                <w:rFonts w:hint="default" w:ascii="Times New Roman" w:hAnsi="Times New Roman" w:cs="宋体"/>
                <w:shd w:val="clear" w:color="auto" w:fill="FFFFFF"/>
                <w:lang w:bidi="ar"/>
              </w:rPr>
            </w:pPr>
            <w:r>
              <w:rPr>
                <w:rFonts w:hint="eastAsia" w:ascii="Times New Roman" w:hAnsi="Times New Roman" w:cs="宋体"/>
                <w:shd w:val="clear" w:color="auto" w:fill="FFFFFF"/>
                <w:lang w:bidi="ar"/>
              </w:rPr>
              <w:t>项目简单防渗区主要为运输路面等其他区域。</w:t>
            </w:r>
          </w:p>
          <w:p>
            <w:pPr>
              <w:keepNext w:val="0"/>
              <w:keepLines w:val="0"/>
              <w:suppressLineNumbers w:val="0"/>
              <w:spacing w:before="0" w:beforeAutospacing="0" w:after="0" w:afterAutospacing="0" w:line="420" w:lineRule="atLeast"/>
              <w:ind w:left="0" w:right="0" w:firstLine="480" w:firstLineChars="200"/>
              <w:rPr>
                <w:rFonts w:hint="default"/>
              </w:rPr>
            </w:pPr>
            <w:r>
              <w:rPr>
                <w:rFonts w:hint="eastAsia" w:ascii="Times New Roman" w:hAnsi="Times New Roman" w:cs="宋体"/>
                <w:shd w:val="clear" w:color="auto" w:fill="FFFFFF"/>
                <w:lang w:bidi="ar"/>
              </w:rPr>
              <w:t>防渗技术要求：采用一般地面硬化的方式进行防渗。</w:t>
            </w:r>
          </w:p>
          <w:p>
            <w:pPr>
              <w:pStyle w:val="8"/>
              <w:numPr>
                <w:ilvl w:val="0"/>
                <w:numId w:val="0"/>
              </w:numPr>
              <w:suppressLineNumbers w:val="0"/>
              <w:spacing w:before="0" w:beforeAutospacing="0" w:after="0" w:afterAutospacing="0" w:line="440" w:lineRule="exact"/>
              <w:ind w:left="0" w:right="0"/>
              <w:rPr>
                <w:rFonts w:hint="default" w:ascii="Times New Roman" w:hAnsi="Times New Roman"/>
                <w:szCs w:val="24"/>
              </w:rPr>
            </w:pPr>
            <w:r>
              <w:rPr>
                <w:rFonts w:hint="default" w:ascii="Times New Roman" w:hAnsi="Times New Roman"/>
                <w:szCs w:val="24"/>
              </w:rPr>
              <w:t>4.2.</w:t>
            </w:r>
            <w:r>
              <w:rPr>
                <w:rFonts w:hint="eastAsia" w:ascii="Times New Roman" w:hAnsi="Times New Roman"/>
                <w:szCs w:val="24"/>
              </w:rPr>
              <w:t>7</w:t>
            </w:r>
            <w:r>
              <w:rPr>
                <w:rFonts w:hint="default" w:ascii="Times New Roman" w:hAnsi="Times New Roman"/>
                <w:szCs w:val="24"/>
              </w:rPr>
              <w:t>生态</w:t>
            </w:r>
          </w:p>
          <w:p>
            <w:pPr>
              <w:pStyle w:val="3"/>
              <w:keepNext w:val="0"/>
              <w:keepLines w:val="0"/>
              <w:suppressLineNumbers w:val="0"/>
              <w:spacing w:beforeAutospacing="0" w:afterAutospacing="0" w:line="460" w:lineRule="exact"/>
              <w:ind w:left="0" w:firstLine="480" w:firstLineChars="200"/>
              <w:rPr>
                <w:rFonts w:hint="default"/>
              </w:rPr>
            </w:pPr>
            <w:r>
              <w:rPr>
                <w:rFonts w:hint="default" w:ascii="Times New Roman" w:hAnsi="Times New Roman"/>
                <w:kern w:val="2"/>
                <w:szCs w:val="24"/>
              </w:rPr>
              <w:t>本项目租用大田县前坪乡下地村相关场地，经现场调查，用地周边主要为山地，无珍稀濒危物种、自然保护区、风景名胜区等生态敏感目标，不属于生态敏感区，对生态环境造成影响很小。</w:t>
            </w:r>
          </w:p>
          <w:p>
            <w:pPr>
              <w:pStyle w:val="8"/>
              <w:numPr>
                <w:ilvl w:val="0"/>
                <w:numId w:val="0"/>
              </w:numPr>
              <w:suppressLineNumbers w:val="0"/>
              <w:spacing w:before="0" w:beforeAutospacing="0" w:after="0" w:afterAutospacing="0" w:line="240" w:lineRule="auto"/>
              <w:ind w:left="0" w:right="0"/>
              <w:rPr>
                <w:rFonts w:hint="default" w:ascii="Times New Roman" w:hAnsi="Times New Roman"/>
                <w:szCs w:val="24"/>
              </w:rPr>
            </w:pPr>
            <w:r>
              <w:rPr>
                <w:rFonts w:hint="default" w:ascii="Times New Roman" w:hAnsi="Times New Roman"/>
                <w:szCs w:val="24"/>
              </w:rPr>
              <w:t>4.2.</w:t>
            </w:r>
            <w:r>
              <w:rPr>
                <w:rFonts w:hint="eastAsia" w:ascii="Times New Roman" w:hAnsi="Times New Roman"/>
                <w:szCs w:val="24"/>
              </w:rPr>
              <w:t>7</w:t>
            </w:r>
            <w:r>
              <w:rPr>
                <w:rFonts w:hint="default" w:ascii="Times New Roman" w:hAnsi="Times New Roman"/>
                <w:szCs w:val="24"/>
              </w:rPr>
              <w:t>环境风险</w:t>
            </w:r>
          </w:p>
          <w:p>
            <w:pPr>
              <w:pStyle w:val="3"/>
              <w:keepNext w:val="0"/>
              <w:keepLines w:val="0"/>
              <w:suppressLineNumbers w:val="0"/>
              <w:spacing w:beforeAutospacing="0" w:afterAutospacing="0" w:line="460" w:lineRule="exact"/>
              <w:ind w:left="0" w:right="-120" w:firstLine="480" w:firstLineChars="200"/>
              <w:rPr>
                <w:rFonts w:hint="eastAsia" w:ascii="Times New Roman" w:hAnsi="Times New Roman"/>
                <w:kern w:val="2"/>
                <w:szCs w:val="24"/>
              </w:rPr>
            </w:pPr>
            <w:r>
              <w:rPr>
                <w:rFonts w:hint="default" w:ascii="Times New Roman" w:hAnsi="Times New Roman"/>
                <w:kern w:val="2"/>
                <w:szCs w:val="24"/>
              </w:rPr>
              <w:t>根据环境风险识别与分析，项目</w:t>
            </w:r>
            <w:r>
              <w:rPr>
                <w:rFonts w:hint="eastAsia" w:ascii="Times New Roman" w:hAnsi="Times New Roman"/>
                <w:kern w:val="2"/>
                <w:szCs w:val="24"/>
              </w:rPr>
              <w:t>涉及的环境风险物质为废机油，储存于危废暂存间内，最大暂存量为0</w:t>
            </w:r>
            <w:r>
              <w:rPr>
                <w:rFonts w:hint="default" w:ascii="Times New Roman" w:hAnsi="Times New Roman"/>
                <w:kern w:val="2"/>
                <w:szCs w:val="24"/>
              </w:rPr>
              <w:t>.02</w:t>
            </w:r>
            <w:r>
              <w:rPr>
                <w:rFonts w:hint="eastAsia" w:ascii="Times New Roman" w:hAnsi="Times New Roman"/>
                <w:kern w:val="2"/>
                <w:szCs w:val="24"/>
              </w:rPr>
              <w:t>t，经计算，Q值为8×</w:t>
            </w:r>
            <w:r>
              <w:rPr>
                <w:rFonts w:hint="default" w:ascii="Times New Roman" w:hAnsi="Times New Roman"/>
                <w:kern w:val="2"/>
                <w:szCs w:val="24"/>
              </w:rPr>
              <w:t>10</w:t>
            </w:r>
            <w:r>
              <w:rPr>
                <w:rFonts w:hint="default" w:ascii="Times New Roman" w:hAnsi="Times New Roman"/>
                <w:kern w:val="2"/>
                <w:szCs w:val="24"/>
                <w:vertAlign w:val="superscript"/>
              </w:rPr>
              <w:t>-6</w:t>
            </w:r>
            <w:r>
              <w:rPr>
                <w:rFonts w:hint="eastAsia" w:ascii="Times New Roman" w:hAnsi="Times New Roman"/>
                <w:kern w:val="2"/>
                <w:szCs w:val="24"/>
              </w:rPr>
              <w:t>＜1，</w:t>
            </w:r>
            <w:r>
              <w:rPr>
                <w:rFonts w:hint="default" w:ascii="Times New Roman" w:hAnsi="Times New Roman"/>
                <w:kern w:val="2"/>
                <w:szCs w:val="24"/>
              </w:rPr>
              <w:t>运营过程的主要环境风险事故为废机油泄漏事故，通过采取以下环境风险防范措施，项目环境风险可控，环境风险防范措施有效</w:t>
            </w:r>
            <w:r>
              <w:rPr>
                <w:rFonts w:hint="eastAsia" w:ascii="Times New Roman" w:hAnsi="Times New Roman"/>
                <w:kern w:val="2"/>
                <w:szCs w:val="24"/>
              </w:rPr>
              <w:t>。Q值</w:t>
            </w:r>
            <w:r>
              <w:rPr>
                <w:rFonts w:hint="eastAsia" w:ascii="Times New Roman" w:hAnsi="Times New Roman"/>
                <w:color w:val="auto"/>
                <w:kern w:val="2"/>
                <w:szCs w:val="24"/>
              </w:rPr>
              <w:t>计算见表4.2-</w:t>
            </w:r>
            <w:r>
              <w:rPr>
                <w:rFonts w:hint="eastAsia" w:ascii="Times New Roman" w:hAnsi="Times New Roman"/>
                <w:color w:val="auto"/>
                <w:kern w:val="2"/>
                <w:szCs w:val="24"/>
                <w:lang w:val="en-US" w:eastAsia="zh-CN"/>
              </w:rPr>
              <w:t>12</w:t>
            </w:r>
            <w:r>
              <w:rPr>
                <w:rFonts w:hint="eastAsia" w:ascii="Times New Roman" w:hAnsi="Times New Roman"/>
                <w:color w:val="auto"/>
                <w:kern w:val="2"/>
                <w:szCs w:val="24"/>
              </w:rPr>
              <w:t>，环境风险简单分析内容表见4.2-</w:t>
            </w:r>
            <w:r>
              <w:rPr>
                <w:rFonts w:hint="eastAsia" w:ascii="Times New Roman" w:hAnsi="Times New Roman"/>
                <w:color w:val="auto"/>
                <w:kern w:val="2"/>
                <w:szCs w:val="24"/>
                <w:lang w:val="en-US" w:eastAsia="zh-CN"/>
              </w:rPr>
              <w:t>13</w:t>
            </w:r>
            <w:r>
              <w:rPr>
                <w:rFonts w:hint="eastAsia" w:ascii="Times New Roman" w:hAnsi="Times New Roman"/>
                <w:color w:val="auto"/>
                <w:kern w:val="2"/>
                <w:szCs w:val="24"/>
              </w:rPr>
              <w:t>。</w:t>
            </w:r>
          </w:p>
          <w:p>
            <w:pPr>
              <w:keepNext w:val="0"/>
              <w:keepLines w:val="0"/>
              <w:widowControl/>
              <w:suppressLineNumbers w:val="0"/>
              <w:spacing w:before="0" w:beforeAutospacing="0" w:after="0" w:afterAutospacing="0"/>
              <w:ind w:left="0" w:right="0" w:firstLine="422"/>
              <w:jc w:val="center"/>
              <w:rPr>
                <w:rFonts w:hint="default" w:eastAsia="黑体"/>
              </w:rPr>
            </w:pPr>
            <w:r>
              <w:rPr>
                <w:rFonts w:hint="default" w:ascii="Times New Roman" w:hAnsi="Times New Roman" w:eastAsia="黑体"/>
                <w:b/>
                <w:bCs/>
                <w:kern w:val="0"/>
                <w:sz w:val="21"/>
                <w:szCs w:val="21"/>
              </w:rPr>
              <w:t>表4.2-</w:t>
            </w:r>
            <w:r>
              <w:rPr>
                <w:rFonts w:hint="eastAsia" w:ascii="Times New Roman" w:hAnsi="Times New Roman" w:eastAsia="黑体"/>
                <w:b/>
                <w:bCs/>
                <w:kern w:val="0"/>
                <w:sz w:val="21"/>
                <w:szCs w:val="21"/>
              </w:rPr>
              <w:t>12环境风险物质及临界量</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2592"/>
              <w:gridCol w:w="2295"/>
              <w:gridCol w:w="2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11"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名称</w:t>
                  </w:r>
                </w:p>
              </w:tc>
              <w:tc>
                <w:tcPr>
                  <w:tcW w:w="152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最大存储(qi)t</w:t>
                  </w:r>
                </w:p>
              </w:tc>
              <w:tc>
                <w:tcPr>
                  <w:tcW w:w="135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临界量(Qi)t</w:t>
                  </w:r>
                </w:p>
              </w:tc>
              <w:tc>
                <w:tcPr>
                  <w:tcW w:w="120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Q=</w:t>
                  </w:r>
                  <w:r>
                    <w:rPr>
                      <w:rFonts w:hint="default" w:ascii="Times New Roman" w:hAnsi="Times New Roman"/>
                      <w:sz w:val="21"/>
                      <w:szCs w:val="21"/>
                    </w:rPr>
                    <w:t>qi</w:t>
                  </w:r>
                  <w:r>
                    <w:rPr>
                      <w:rFonts w:hint="eastAsia" w:ascii="Times New Roman" w:hAnsi="Times New Roman"/>
                      <w:sz w:val="21"/>
                      <w:szCs w:val="21"/>
                    </w:rPr>
                    <w:t>/Qi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废机油</w:t>
                  </w:r>
                </w:p>
              </w:tc>
              <w:tc>
                <w:tcPr>
                  <w:tcW w:w="1529"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0.</w:t>
                  </w:r>
                  <w:r>
                    <w:rPr>
                      <w:rFonts w:hint="eastAsia" w:ascii="Times New Roman" w:hAnsi="Times New Roman"/>
                      <w:sz w:val="21"/>
                      <w:szCs w:val="21"/>
                    </w:rPr>
                    <w:t>02</w:t>
                  </w:r>
                </w:p>
              </w:tc>
              <w:tc>
                <w:tcPr>
                  <w:tcW w:w="135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2500</w:t>
                  </w:r>
                </w:p>
              </w:tc>
              <w:tc>
                <w:tcPr>
                  <w:tcW w:w="1204" w:type="pct"/>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8×</w:t>
                  </w:r>
                  <w:r>
                    <w:rPr>
                      <w:rFonts w:hint="default" w:ascii="Times New Roman" w:hAnsi="Times New Roman"/>
                      <w:sz w:val="21"/>
                      <w:szCs w:val="21"/>
                    </w:rPr>
                    <w:t>10</w:t>
                  </w:r>
                  <w:r>
                    <w:rPr>
                      <w:rFonts w:hint="default" w:ascii="Times New Roman" w:hAnsi="Times New Roman"/>
                      <w:sz w:val="21"/>
                      <w:szCs w:val="21"/>
                      <w:vertAlign w:val="superscript"/>
                    </w:rPr>
                    <w:t>-</w:t>
                  </w:r>
                  <w:r>
                    <w:rPr>
                      <w:rFonts w:hint="eastAsia" w:ascii="Times New Roman" w:hAnsi="Times New Roman"/>
                      <w:sz w:val="21"/>
                      <w:szCs w:val="21"/>
                      <w:vertAlign w:val="superscript"/>
                    </w:rPr>
                    <w:t>6</w:t>
                  </w:r>
                </w:p>
              </w:tc>
            </w:tr>
          </w:tbl>
          <w:p>
            <w:pPr>
              <w:keepNext w:val="0"/>
              <w:keepLines w:val="0"/>
              <w:widowControl/>
              <w:suppressLineNumbers w:val="0"/>
              <w:spacing w:before="0" w:beforeAutospacing="0" w:after="0" w:afterAutospacing="0"/>
              <w:ind w:left="0" w:right="0"/>
              <w:jc w:val="center"/>
              <w:rPr>
                <w:rFonts w:hint="default" w:ascii="Times New Roman" w:hAnsi="Times New Roman" w:eastAsia="黑体"/>
                <w:b/>
                <w:bCs/>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b/>
                <w:bCs/>
                <w:kern w:val="0"/>
                <w:sz w:val="21"/>
                <w:szCs w:val="21"/>
              </w:rPr>
            </w:pPr>
          </w:p>
          <w:p>
            <w:pPr>
              <w:pStyle w:val="3"/>
              <w:keepNext w:val="0"/>
              <w:keepLines w:val="0"/>
              <w:suppressLineNumbers w:val="0"/>
              <w:spacing w:beforeAutospacing="0" w:afterAutospacing="0"/>
              <w:ind w:left="0"/>
              <w:rPr>
                <w:rFonts w:hint="default" w:ascii="Times New Roman" w:hAnsi="Times New Roman" w:eastAsia="黑体"/>
                <w:b/>
                <w:bCs/>
                <w:kern w:val="0"/>
                <w:sz w:val="21"/>
                <w:szCs w:val="21"/>
              </w:rPr>
            </w:pPr>
          </w:p>
          <w:p>
            <w:pPr>
              <w:keepNext w:val="0"/>
              <w:keepLines w:val="0"/>
              <w:suppressLineNumbers w:val="0"/>
              <w:spacing w:before="0" w:beforeAutospacing="0" w:after="0" w:afterAutospacing="0"/>
              <w:ind w:left="0" w:right="0"/>
              <w:rPr>
                <w:rFonts w:hint="default"/>
              </w:rPr>
            </w:pPr>
          </w:p>
          <w:p>
            <w:pPr>
              <w:keepNext w:val="0"/>
              <w:keepLines w:val="0"/>
              <w:widowControl/>
              <w:suppressLineNumbers w:val="0"/>
              <w:spacing w:before="0" w:beforeAutospacing="0" w:after="0" w:afterAutospacing="0"/>
              <w:ind w:left="0" w:right="0"/>
              <w:jc w:val="center"/>
              <w:rPr>
                <w:rFonts w:hint="default" w:ascii="Times New Roman" w:hAnsi="Times New Roman" w:eastAsia="黑体"/>
                <w:b/>
                <w:bCs/>
                <w:color w:val="auto"/>
                <w:kern w:val="0"/>
                <w:sz w:val="21"/>
                <w:szCs w:val="21"/>
              </w:rPr>
            </w:pPr>
            <w:r>
              <w:rPr>
                <w:rFonts w:hint="default" w:ascii="Times New Roman" w:hAnsi="Times New Roman" w:eastAsia="黑体"/>
                <w:b/>
                <w:bCs/>
                <w:color w:val="auto"/>
                <w:kern w:val="0"/>
                <w:sz w:val="21"/>
                <w:szCs w:val="21"/>
              </w:rPr>
              <w:t>表4.2-</w:t>
            </w:r>
            <w:r>
              <w:rPr>
                <w:rFonts w:hint="eastAsia" w:ascii="Times New Roman" w:hAnsi="Times New Roman" w:eastAsia="黑体"/>
                <w:b/>
                <w:bCs/>
                <w:color w:val="auto"/>
                <w:kern w:val="0"/>
                <w:sz w:val="21"/>
                <w:szCs w:val="21"/>
              </w:rPr>
              <w:t>13</w:t>
            </w:r>
            <w:r>
              <w:rPr>
                <w:rFonts w:hint="default" w:ascii="Times New Roman" w:hAnsi="Times New Roman" w:eastAsia="黑体"/>
                <w:b/>
                <w:bCs/>
                <w:color w:val="auto"/>
                <w:kern w:val="0"/>
                <w:sz w:val="21"/>
                <w:szCs w:val="21"/>
              </w:rPr>
              <w:t xml:space="preserve"> 环境风险简单分析内容表</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924"/>
              <w:gridCol w:w="2644"/>
              <w:gridCol w:w="761"/>
              <w:gridCol w:w="2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default" w:ascii="Times New Roman" w:hAnsi="Times New Roman"/>
                      <w:sz w:val="21"/>
                      <w:szCs w:val="21"/>
                    </w:rPr>
                    <w:t>建设项目名称</w:t>
                  </w:r>
                </w:p>
              </w:tc>
              <w:tc>
                <w:tcPr>
                  <w:tcW w:w="4048" w:type="pct"/>
                  <w:gridSpan w:val="4"/>
                  <w:tcBorders>
                    <w:tl2br w:val="nil"/>
                    <w:tr2bl w:val="nil"/>
                  </w:tcBorders>
                  <w:vAlign w:val="center"/>
                </w:tcPr>
                <w:p>
                  <w:pPr>
                    <w:keepNext w:val="0"/>
                    <w:keepLines w:val="0"/>
                    <w:suppressLineNumbers w:val="0"/>
                    <w:spacing w:before="0" w:beforeAutospacing="0" w:after="0" w:afterAutospacing="0"/>
                    <w:ind w:left="0" w:leftChars="0" w:right="0" w:rightChars="0" w:firstLine="420" w:firstLineChars="200"/>
                    <w:jc w:val="center"/>
                    <w:rPr>
                      <w:rFonts w:hint="default"/>
                      <w:vertAlign w:val="baseline"/>
                    </w:rPr>
                  </w:pPr>
                  <w:r>
                    <w:rPr>
                      <w:rFonts w:hint="default" w:ascii="Times New Roman" w:hAnsi="Times New Roman"/>
                      <w:sz w:val="21"/>
                      <w:szCs w:val="21"/>
                    </w:rPr>
                    <w:t>耀辉矿渣破碎设备提升技改项目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default" w:ascii="Times New Roman" w:hAnsi="Times New Roman"/>
                      <w:sz w:val="21"/>
                      <w:szCs w:val="21"/>
                    </w:rPr>
                    <w:t>建设地点</w:t>
                  </w:r>
                </w:p>
              </w:tc>
              <w:tc>
                <w:tcPr>
                  <w:tcW w:w="4048" w:type="pct"/>
                  <w:gridSpan w:val="4"/>
                  <w:tcBorders>
                    <w:tl2br w:val="nil"/>
                    <w:tr2bl w:val="nil"/>
                  </w:tcBorders>
                  <w:vAlign w:val="center"/>
                </w:tcPr>
                <w:p>
                  <w:pPr>
                    <w:keepNext w:val="0"/>
                    <w:keepLines w:val="0"/>
                    <w:suppressLineNumbers w:val="0"/>
                    <w:spacing w:before="0" w:beforeAutospacing="0" w:after="0" w:afterAutospacing="0"/>
                    <w:ind w:left="0" w:leftChars="0" w:right="0" w:rightChars="0" w:firstLine="420" w:firstLineChars="200"/>
                    <w:jc w:val="center"/>
                    <w:rPr>
                      <w:rFonts w:hint="default"/>
                      <w:vertAlign w:val="baseline"/>
                    </w:rPr>
                  </w:pPr>
                  <w:r>
                    <w:rPr>
                      <w:rFonts w:hint="default" w:ascii="Times New Roman" w:hAnsi="Times New Roman"/>
                      <w:sz w:val="21"/>
                      <w:szCs w:val="21"/>
                    </w:rPr>
                    <w:fldChar w:fldCharType="begin"/>
                  </w:r>
                  <w:r>
                    <w:rPr>
                      <w:rFonts w:hint="default" w:ascii="Times New Roman" w:hAnsi="Times New Roman"/>
                      <w:sz w:val="21"/>
                      <w:szCs w:val="21"/>
                    </w:rPr>
                    <w:instrText xml:space="preserve"> REF 建设地点 \h  \* MERGEFORMAT </w:instrText>
                  </w:r>
                  <w:r>
                    <w:rPr>
                      <w:rFonts w:hint="default" w:ascii="Times New Roman" w:hAnsi="Times New Roman"/>
                      <w:sz w:val="21"/>
                      <w:szCs w:val="21"/>
                    </w:rPr>
                    <w:fldChar w:fldCharType="separate"/>
                  </w:r>
                  <w:r>
                    <w:rPr>
                      <w:rFonts w:hint="default" w:ascii="Times New Roman" w:hAnsi="Times New Roman"/>
                      <w:sz w:val="21"/>
                      <w:szCs w:val="21"/>
                    </w:rPr>
                    <w:t>大田县前坪乡</w:t>
                  </w:r>
                  <w:r>
                    <w:rPr>
                      <w:rFonts w:hint="default" w:ascii="Times New Roman" w:hAnsi="Times New Roman"/>
                      <w:sz w:val="21"/>
                      <w:szCs w:val="21"/>
                    </w:rPr>
                    <w:fldChar w:fldCharType="end"/>
                  </w:r>
                  <w:r>
                    <w:rPr>
                      <w:rFonts w:hint="default" w:ascii="Times New Roman" w:hAnsi="Times New Roman"/>
                      <w:sz w:val="21"/>
                      <w:szCs w:val="21"/>
                    </w:rPr>
                    <w:t>下地村石克盂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default" w:ascii="Times New Roman" w:hAnsi="Times New Roman"/>
                      <w:sz w:val="21"/>
                      <w:szCs w:val="21"/>
                    </w:rPr>
                    <w:t>地理坐标</w:t>
                  </w:r>
                </w:p>
              </w:tc>
              <w:tc>
                <w:tcPr>
                  <w:tcW w:w="545" w:type="pct"/>
                  <w:tcBorders>
                    <w:tl2br w:val="nil"/>
                    <w:tr2bl w:val="nil"/>
                  </w:tcBorders>
                  <w:vAlign w:val="center"/>
                </w:tcPr>
                <w:p>
                  <w:pPr>
                    <w:keepNext w:val="0"/>
                    <w:keepLines w:val="0"/>
                    <w:suppressLineNumbers w:val="0"/>
                    <w:spacing w:before="0" w:beforeAutospacing="0" w:after="0" w:afterAutospacing="0"/>
                    <w:ind w:left="0" w:leftChars="0" w:right="0" w:rightChars="0"/>
                    <w:rPr>
                      <w:rFonts w:hint="default"/>
                      <w:vertAlign w:val="baseline"/>
                    </w:rPr>
                  </w:pPr>
                  <w:r>
                    <w:rPr>
                      <w:rFonts w:hint="default" w:ascii="Times New Roman" w:hAnsi="Times New Roman"/>
                      <w:sz w:val="21"/>
                      <w:szCs w:val="21"/>
                    </w:rPr>
                    <w:t>经度</w:t>
                  </w:r>
                </w:p>
              </w:tc>
              <w:tc>
                <w:tcPr>
                  <w:tcW w:w="1560" w:type="pct"/>
                  <w:tcBorders>
                    <w:tl2br w:val="nil"/>
                    <w:tr2bl w:val="nil"/>
                  </w:tcBorders>
                  <w:vAlign w:val="center"/>
                </w:tcPr>
                <w:p>
                  <w:pPr>
                    <w:keepNext w:val="0"/>
                    <w:keepLines w:val="0"/>
                    <w:suppressLineNumbers w:val="0"/>
                    <w:spacing w:before="0" w:beforeAutospacing="0" w:after="0" w:afterAutospacing="0"/>
                    <w:ind w:left="0" w:leftChars="0" w:right="0" w:rightChars="0"/>
                    <w:rPr>
                      <w:rFonts w:hint="default"/>
                      <w:vertAlign w:val="baseline"/>
                    </w:rPr>
                  </w:pPr>
                  <w:r>
                    <w:rPr>
                      <w:rFonts w:hint="default" w:ascii="Times New Roman" w:hAnsi="Times New Roman"/>
                      <w:sz w:val="21"/>
                      <w:szCs w:val="21"/>
                    </w:rPr>
                    <w:t>117度50分38.867秒</w:t>
                  </w:r>
                </w:p>
              </w:tc>
              <w:tc>
                <w:tcPr>
                  <w:tcW w:w="449" w:type="pct"/>
                  <w:tcBorders>
                    <w:tl2br w:val="nil"/>
                    <w:tr2bl w:val="nil"/>
                  </w:tcBorders>
                  <w:vAlign w:val="center"/>
                </w:tcPr>
                <w:p>
                  <w:pPr>
                    <w:keepNext w:val="0"/>
                    <w:keepLines w:val="0"/>
                    <w:suppressLineNumbers w:val="0"/>
                    <w:spacing w:before="0" w:beforeAutospacing="0" w:after="0" w:afterAutospacing="0"/>
                    <w:ind w:left="0" w:leftChars="0" w:right="0" w:rightChars="0"/>
                    <w:rPr>
                      <w:rFonts w:hint="default"/>
                      <w:vertAlign w:val="baseline"/>
                    </w:rPr>
                  </w:pPr>
                  <w:r>
                    <w:rPr>
                      <w:rFonts w:hint="default" w:ascii="Times New Roman" w:hAnsi="Times New Roman"/>
                      <w:sz w:val="21"/>
                      <w:szCs w:val="21"/>
                    </w:rPr>
                    <w:t>纬度</w:t>
                  </w:r>
                </w:p>
              </w:tc>
              <w:tc>
                <w:tcPr>
                  <w:tcW w:w="1493" w:type="pct"/>
                  <w:tcBorders>
                    <w:tl2br w:val="nil"/>
                    <w:tr2bl w:val="nil"/>
                  </w:tcBorders>
                  <w:vAlign w:val="center"/>
                </w:tcPr>
                <w:p>
                  <w:pPr>
                    <w:keepNext w:val="0"/>
                    <w:keepLines w:val="0"/>
                    <w:suppressLineNumbers w:val="0"/>
                    <w:spacing w:before="0" w:beforeAutospacing="0" w:after="0" w:afterAutospacing="0"/>
                    <w:ind w:left="0" w:leftChars="0" w:right="0" w:rightChars="0"/>
                    <w:rPr>
                      <w:rFonts w:hint="default"/>
                      <w:vertAlign w:val="baseline"/>
                    </w:rPr>
                  </w:pPr>
                  <w:r>
                    <w:rPr>
                      <w:rFonts w:hint="default" w:ascii="Times New Roman" w:hAnsi="Times New Roman"/>
                      <w:sz w:val="21"/>
                      <w:szCs w:val="21"/>
                    </w:rPr>
                    <w:t>25度47分55.922秒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sz w:val="21"/>
                      <w:szCs w:val="21"/>
                    </w:rPr>
                  </w:pPr>
                  <w:r>
                    <w:rPr>
                      <w:rFonts w:hint="default" w:ascii="Times New Roman" w:hAnsi="Times New Roman"/>
                      <w:sz w:val="21"/>
                      <w:szCs w:val="21"/>
                    </w:rPr>
                    <w:t>主要危险物质</w:t>
                  </w:r>
                </w:p>
                <w:p>
                  <w:pPr>
                    <w:keepNext w:val="0"/>
                    <w:keepLines w:val="0"/>
                    <w:suppressLineNumbers w:val="0"/>
                    <w:spacing w:before="0" w:beforeAutospacing="0" w:after="0" w:afterAutospacing="0"/>
                    <w:ind w:left="0" w:leftChars="0" w:right="0" w:rightChars="0"/>
                    <w:jc w:val="center"/>
                    <w:rPr>
                      <w:rFonts w:hint="default"/>
                      <w:vertAlign w:val="baseline"/>
                    </w:rPr>
                  </w:pPr>
                  <w:r>
                    <w:rPr>
                      <w:rFonts w:hint="default" w:ascii="Times New Roman" w:hAnsi="Times New Roman"/>
                      <w:sz w:val="21"/>
                      <w:szCs w:val="21"/>
                    </w:rPr>
                    <w:t>及分布</w:t>
                  </w:r>
                </w:p>
              </w:tc>
              <w:tc>
                <w:tcPr>
                  <w:tcW w:w="4048" w:type="pct"/>
                  <w:gridSpan w:val="4"/>
                  <w:tcBorders>
                    <w:tl2br w:val="nil"/>
                    <w:tr2bl w:val="nil"/>
                  </w:tcBorders>
                  <w:vAlign w:val="center"/>
                </w:tcPr>
                <w:p>
                  <w:pPr>
                    <w:keepNext w:val="0"/>
                    <w:keepLines w:val="0"/>
                    <w:suppressLineNumbers w:val="0"/>
                    <w:spacing w:before="0" w:beforeAutospacing="0" w:after="0" w:afterAutospacing="0"/>
                    <w:ind w:left="0" w:leftChars="0" w:right="0" w:rightChars="0" w:firstLine="420" w:firstLineChars="200"/>
                    <w:jc w:val="center"/>
                    <w:rPr>
                      <w:rFonts w:hint="default"/>
                      <w:vertAlign w:val="baseline"/>
                    </w:rPr>
                  </w:pPr>
                  <w:r>
                    <w:rPr>
                      <w:rFonts w:hint="default" w:ascii="Times New Roman" w:hAnsi="Times New Roman"/>
                      <w:sz w:val="21"/>
                      <w:szCs w:val="21"/>
                    </w:rPr>
                    <w:t>项目涉及的风险物质为废机油，主要位于危废暂存间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default" w:ascii="Times New Roman" w:hAnsi="Times New Roman"/>
                      <w:sz w:val="21"/>
                      <w:szCs w:val="21"/>
                    </w:rPr>
                    <w:t>环境影响途径及危害后果</w:t>
                  </w:r>
                </w:p>
              </w:tc>
              <w:tc>
                <w:tcPr>
                  <w:tcW w:w="4048" w:type="pct"/>
                  <w:gridSpan w:val="4"/>
                  <w:tcBorders>
                    <w:tl2br w:val="nil"/>
                    <w:tr2bl w:val="nil"/>
                  </w:tcBorders>
                  <w:vAlign w:val="center"/>
                </w:tcPr>
                <w:p>
                  <w:pPr>
                    <w:keepNext w:val="0"/>
                    <w:keepLines w:val="0"/>
                    <w:suppressLineNumbers w:val="0"/>
                    <w:spacing w:before="0" w:beforeAutospacing="0" w:after="0" w:afterAutospacing="0"/>
                    <w:ind w:left="0" w:right="0" w:firstLine="420" w:firstLineChars="200"/>
                    <w:jc w:val="left"/>
                    <w:rPr>
                      <w:rFonts w:hint="default" w:ascii="Times New Roman" w:hAnsi="Times New Roman"/>
                      <w:sz w:val="21"/>
                      <w:szCs w:val="21"/>
                    </w:rPr>
                  </w:pPr>
                  <w:r>
                    <w:rPr>
                      <w:rFonts w:hint="default" w:ascii="Times New Roman" w:hAnsi="Times New Roman"/>
                      <w:sz w:val="21"/>
                      <w:szCs w:val="21"/>
                    </w:rPr>
                    <w:t>废机油泄漏：项目危废间地面已涂刷防腐防渗漆，废机油采用桶装，门口设置围坎，一旦发生渗漏，可被及时发现，少量的泄漏液体可被截留危废暂存间内，不会漫流至外环境。</w:t>
                  </w:r>
                </w:p>
                <w:p>
                  <w:pPr>
                    <w:keepNext w:val="0"/>
                    <w:keepLines w:val="0"/>
                    <w:suppressLineNumbers w:val="0"/>
                    <w:spacing w:before="0" w:beforeAutospacing="0" w:after="0" w:afterAutospacing="0"/>
                    <w:ind w:left="0" w:leftChars="0" w:right="0" w:rightChars="0" w:firstLine="420" w:firstLineChars="200"/>
                    <w:jc w:val="left"/>
                    <w:rPr>
                      <w:rFonts w:hint="default"/>
                      <w:vertAlign w:val="baseline"/>
                    </w:rPr>
                  </w:pPr>
                  <w:r>
                    <w:rPr>
                      <w:rFonts w:hint="default" w:ascii="Times New Roman" w:hAnsi="Times New Roman"/>
                      <w:sz w:val="21"/>
                      <w:szCs w:val="21"/>
                    </w:rPr>
                    <w:t>本项目废机油的产生量少，产生量为0.02t/a，废机油不属于易燃物质，危废间平时处于关闭状态，同时每天安排专人巡检，不易遇明火。同时在危废间附近设置泡沫灭火器，一旦发生火灾，发现人员可第一时间利用附近的泡沫灭火器灭火。故可不考虑火灾事故引发的消防事故废水排放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tcBorders>
                    <w:tl2br w:val="nil"/>
                    <w:tr2bl w:val="nil"/>
                  </w:tcBorders>
                  <w:vAlign w:val="center"/>
                </w:tcPr>
                <w:p>
                  <w:pPr>
                    <w:keepNext w:val="0"/>
                    <w:keepLines w:val="0"/>
                    <w:suppressLineNumbers w:val="0"/>
                    <w:spacing w:before="0" w:beforeAutospacing="0" w:after="0" w:afterAutospacing="0"/>
                    <w:ind w:left="0" w:right="0" w:rightChars="0"/>
                    <w:jc w:val="center"/>
                    <w:rPr>
                      <w:rFonts w:hint="default" w:ascii="Times New Roman" w:hAnsi="Times New Roman"/>
                      <w:sz w:val="21"/>
                      <w:szCs w:val="21"/>
                    </w:rPr>
                  </w:pPr>
                  <w:r>
                    <w:rPr>
                      <w:rFonts w:hint="default" w:ascii="Times New Roman" w:hAnsi="Times New Roman"/>
                      <w:sz w:val="21"/>
                      <w:szCs w:val="21"/>
                    </w:rPr>
                    <w:t>风险防范</w:t>
                  </w:r>
                </w:p>
                <w:p>
                  <w:pPr>
                    <w:keepNext w:val="0"/>
                    <w:keepLines w:val="0"/>
                    <w:suppressLineNumbers w:val="0"/>
                    <w:spacing w:before="0" w:beforeAutospacing="0" w:after="0" w:afterAutospacing="0"/>
                    <w:ind w:left="0" w:right="0" w:rightChars="0"/>
                    <w:jc w:val="center"/>
                    <w:rPr>
                      <w:rFonts w:hint="default"/>
                      <w:vertAlign w:val="baseline"/>
                    </w:rPr>
                  </w:pPr>
                  <w:r>
                    <w:rPr>
                      <w:rFonts w:hint="default" w:ascii="Times New Roman" w:hAnsi="Times New Roman"/>
                      <w:sz w:val="21"/>
                      <w:szCs w:val="21"/>
                    </w:rPr>
                    <w:t>措施要求</w:t>
                  </w:r>
                </w:p>
              </w:tc>
              <w:tc>
                <w:tcPr>
                  <w:tcW w:w="4048" w:type="pct"/>
                  <w:gridSpan w:val="4"/>
                  <w:tcBorders>
                    <w:tl2br w:val="nil"/>
                    <w:tr2bl w:val="nil"/>
                  </w:tcBorders>
                  <w:vAlign w:val="center"/>
                </w:tcPr>
                <w:p>
                  <w:pPr>
                    <w:keepNext w:val="0"/>
                    <w:keepLines w:val="0"/>
                    <w:suppressLineNumbers w:val="0"/>
                    <w:spacing w:before="0" w:beforeAutospacing="0" w:after="0" w:afterAutospacing="0"/>
                    <w:ind w:left="0" w:leftChars="0" w:right="0" w:rightChars="0" w:firstLine="420" w:firstLineChars="200"/>
                    <w:jc w:val="left"/>
                    <w:rPr>
                      <w:rFonts w:hint="default"/>
                      <w:vertAlign w:val="baseline"/>
                    </w:rPr>
                  </w:pPr>
                  <w:r>
                    <w:rPr>
                      <w:rFonts w:hint="eastAsia" w:ascii="Times New Roman" w:hAnsi="Times New Roman"/>
                      <w:sz w:val="21"/>
                      <w:szCs w:val="21"/>
                    </w:rPr>
                    <w:t>采用“防渗混凝土+环氧树脂地坪漆”防渗，</w:t>
                  </w:r>
                  <w:r>
                    <w:rPr>
                      <w:rFonts w:hint="default" w:ascii="Times New Roman" w:hAnsi="Times New Roman"/>
                      <w:sz w:val="21"/>
                      <w:szCs w:val="21"/>
                    </w:rPr>
                    <w:t>门口设置围坎。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default" w:ascii="Times New Roman" w:hAnsi="Times New Roman"/>
                      <w:sz w:val="21"/>
                      <w:szCs w:val="21"/>
                    </w:rPr>
                    <w:t>填表说明</w:t>
                  </w:r>
                </w:p>
              </w:tc>
              <w:tc>
                <w:tcPr>
                  <w:tcW w:w="4048" w:type="pct"/>
                  <w:gridSpan w:val="4"/>
                  <w:tcBorders>
                    <w:tl2br w:val="nil"/>
                    <w:tr2bl w:val="nil"/>
                  </w:tcBorders>
                  <w:vAlign w:val="center"/>
                </w:tcPr>
                <w:p>
                  <w:pPr>
                    <w:keepNext w:val="0"/>
                    <w:keepLines w:val="0"/>
                    <w:suppressLineNumbers w:val="0"/>
                    <w:spacing w:before="0" w:beforeAutospacing="0" w:after="0" w:afterAutospacing="0"/>
                    <w:ind w:left="0" w:leftChars="0" w:right="0" w:rightChars="0" w:firstLine="420" w:firstLineChars="200"/>
                    <w:jc w:val="left"/>
                    <w:rPr>
                      <w:rFonts w:hint="default"/>
                      <w:vertAlign w:val="baseline"/>
                    </w:rPr>
                  </w:pPr>
                  <w:r>
                    <w:rPr>
                      <w:rFonts w:hint="default" w:ascii="Times New Roman" w:hAnsi="Times New Roman"/>
                      <w:sz w:val="21"/>
                      <w:szCs w:val="21"/>
                    </w:rPr>
                    <w:t>本项目危险物质数量与临界量比值Q＜1，环境风险潜势划分为Ⅰ级，根据环境风险评价工作等级划分依据，本项目环境风险评价工作等级为简单分析。通过对项目风险物质、环境影响途径、环境危害后果、风险防范措施等方面的分析，在严格落实各项风险防范措施后，本项目环境风险可防可控。</w:t>
                  </w:r>
                </w:p>
              </w:tc>
            </w:tr>
          </w:tbl>
          <w:p>
            <w:pPr>
              <w:pStyle w:val="7"/>
              <w:suppressLineNumbers w:val="0"/>
              <w:spacing w:before="140" w:beforeAutospacing="0" w:after="140" w:afterAutospacing="0" w:line="440" w:lineRule="exact"/>
              <w:ind w:left="0" w:right="0"/>
              <w:rPr>
                <w:rFonts w:hint="default" w:ascii="Times New Roman" w:hAnsi="Times New Roman"/>
                <w:sz w:val="28"/>
                <w:szCs w:val="28"/>
              </w:rPr>
            </w:pPr>
            <w:r>
              <w:rPr>
                <w:rFonts w:hint="default" w:ascii="Times New Roman" w:hAnsi="Times New Roman"/>
                <w:sz w:val="28"/>
                <w:szCs w:val="28"/>
              </w:rPr>
              <w:t>4.3</w:t>
            </w:r>
            <w:r>
              <w:rPr>
                <w:rFonts w:hint="eastAsia" w:ascii="Times New Roman" w:hAnsi="Times New Roman"/>
                <w:sz w:val="28"/>
                <w:szCs w:val="28"/>
              </w:rPr>
              <w:t>项目退役期环境管理</w:t>
            </w:r>
          </w:p>
          <w:p>
            <w:pPr>
              <w:pStyle w:val="83"/>
              <w:keepNext w:val="0"/>
              <w:keepLines w:val="0"/>
              <w:suppressLineNumbers w:val="0"/>
              <w:spacing w:before="0" w:beforeAutospacing="0" w:after="0" w:afterAutospacing="0" w:line="420" w:lineRule="atLeast"/>
              <w:ind w:left="0" w:right="0" w:firstLine="480"/>
              <w:rPr>
                <w:rFonts w:hint="default" w:ascii="Times New Roman" w:hAnsi="Tahoma"/>
              </w:rPr>
            </w:pPr>
            <w:r>
              <w:rPr>
                <w:rFonts w:hint="eastAsia" w:ascii="Times New Roman" w:hAnsi="Tahoma"/>
              </w:rPr>
              <w:t>本项目的服务期限为20年，当项目服务期满后该项目退役时：</w:t>
            </w:r>
          </w:p>
          <w:p>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atLeast"/>
              <w:ind w:left="0" w:right="0" w:firstLine="480"/>
              <w:textAlignment w:val="auto"/>
              <w:rPr>
                <w:rFonts w:hint="default" w:ascii="Times New Roman" w:hAnsi="Tahoma"/>
              </w:rPr>
            </w:pPr>
            <w:r>
              <w:rPr>
                <w:rFonts w:hint="eastAsia" w:ascii="Times New Roman" w:hAnsi="Tahoma"/>
              </w:rPr>
              <w:t>（1）若相关设备尚不属于行业淘汰范围的，且尚符合当时国家产业政策和地方政策的，可出售给相应企业；属于行业淘汰范围、不符合当时国家产业政策和地方政策中的，即应予以报废，按废品出售给回收单位。</w:t>
            </w:r>
          </w:p>
          <w:p>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atLeast"/>
              <w:ind w:left="0" w:right="0" w:firstLine="480"/>
              <w:textAlignment w:val="auto"/>
              <w:rPr>
                <w:rFonts w:hint="default" w:ascii="Times New Roman" w:hAnsi="Tahoma"/>
              </w:rPr>
            </w:pPr>
            <w:r>
              <w:rPr>
                <w:rFonts w:hint="eastAsia" w:ascii="Times New Roman" w:hAnsi="Tahoma"/>
              </w:rPr>
              <w:t>（2）生产过程中产生的废水、固废等污染物在项目退役时必须严格按照相关要求进行处理完毕，不得造成二次污染。</w:t>
            </w:r>
          </w:p>
          <w:p>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atLeast"/>
              <w:ind w:left="0" w:right="0" w:firstLine="480"/>
              <w:textAlignment w:val="auto"/>
              <w:rPr>
                <w:rFonts w:hint="default" w:ascii="Times New Roman" w:hAnsi="Times New Roman"/>
                <w:sz w:val="28"/>
                <w:szCs w:val="28"/>
              </w:rPr>
            </w:pPr>
            <w:r>
              <w:rPr>
                <w:rFonts w:hint="eastAsia" w:ascii="Times New Roman" w:hAnsi="Tahoma"/>
              </w:rPr>
              <w:t>（3）退役后，厂区应恢复原状或厂房适当清扫后归还业主另作他用。</w:t>
            </w:r>
          </w:p>
          <w:p>
            <w:pPr>
              <w:pStyle w:val="7"/>
              <w:suppressLineNumbers w:val="0"/>
              <w:spacing w:before="140" w:beforeAutospacing="0" w:after="140" w:afterAutospacing="0" w:line="440" w:lineRule="exact"/>
              <w:ind w:left="0" w:right="0"/>
              <w:rPr>
                <w:rFonts w:hint="default" w:ascii="Times New Roman" w:hAnsi="Times New Roman"/>
                <w:sz w:val="28"/>
                <w:szCs w:val="28"/>
              </w:rPr>
            </w:pPr>
            <w:r>
              <w:rPr>
                <w:rFonts w:hint="default" w:ascii="Times New Roman" w:hAnsi="Times New Roman"/>
                <w:sz w:val="28"/>
                <w:szCs w:val="28"/>
              </w:rPr>
              <w:t>4.</w:t>
            </w:r>
            <w:r>
              <w:rPr>
                <w:rFonts w:hint="eastAsia" w:ascii="Times New Roman" w:hAnsi="Times New Roman"/>
                <w:sz w:val="28"/>
                <w:szCs w:val="28"/>
              </w:rPr>
              <w:t>4</w:t>
            </w:r>
            <w:r>
              <w:rPr>
                <w:rFonts w:hint="default" w:ascii="Times New Roman" w:hAnsi="Times New Roman"/>
                <w:sz w:val="28"/>
                <w:szCs w:val="28"/>
              </w:rPr>
              <w:t>迁建前后“三本账”分析</w:t>
            </w:r>
          </w:p>
          <w:p>
            <w:pPr>
              <w:pStyle w:val="8"/>
              <w:numPr>
                <w:ilvl w:val="0"/>
                <w:numId w:val="0"/>
              </w:numPr>
              <w:suppressLineNumbers w:val="0"/>
              <w:spacing w:before="0" w:beforeAutospacing="0" w:after="0" w:afterAutospacing="0" w:line="240" w:lineRule="auto"/>
              <w:ind w:left="0" w:right="0"/>
              <w:rPr>
                <w:rFonts w:hint="default" w:ascii="Times New Roman" w:hAnsi="Times New Roman"/>
                <w:szCs w:val="24"/>
              </w:rPr>
            </w:pPr>
            <w:r>
              <w:rPr>
                <w:rFonts w:hint="eastAsia" w:ascii="Times New Roman" w:hAnsi="Times New Roman"/>
                <w:szCs w:val="24"/>
              </w:rPr>
              <w:t>4.4.1 迁建前排污量核定</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highlight w:val="none"/>
              </w:rPr>
            </w:pPr>
            <w:r>
              <w:rPr>
                <w:rFonts w:hint="eastAsia" w:ascii="Times New Roman" w:hAnsi="Times New Roman"/>
                <w:bCs/>
                <w:szCs w:val="32"/>
                <w:highlight w:val="none"/>
              </w:rPr>
              <w:t>（1）废气</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szCs w:val="32"/>
              </w:rPr>
            </w:pPr>
            <w:r>
              <w:rPr>
                <w:rFonts w:hint="eastAsia" w:ascii="Times New Roman" w:hAnsi="Times New Roman"/>
                <w:bCs/>
                <w:color w:val="auto"/>
                <w:szCs w:val="32"/>
                <w:lang w:val="en-US" w:eastAsia="zh-CN"/>
              </w:rPr>
              <w:t>根据企业验收期间的废气监测数据，验收期间的颗粒物无组织最大排放量为</w:t>
            </w:r>
            <w:r>
              <w:rPr>
                <w:rFonts w:hint="default"/>
                <w:color w:val="auto"/>
              </w:rPr>
              <w:t>0.857mg/m</w:t>
            </w:r>
            <w:r>
              <w:rPr>
                <w:rFonts w:hint="default"/>
                <w:color w:val="auto"/>
                <w:vertAlign w:val="superscript"/>
              </w:rPr>
              <w:t>3</w:t>
            </w:r>
            <w:r>
              <w:rPr>
                <w:rFonts w:hint="eastAsia"/>
                <w:color w:val="auto"/>
                <w:vertAlign w:val="baseline"/>
                <w:lang w:eastAsia="zh-CN"/>
              </w:rPr>
              <w:t>，</w:t>
            </w:r>
            <w:r>
              <w:rPr>
                <w:rFonts w:hint="eastAsia" w:ascii="Times New Roman" w:hAnsi="Times New Roman" w:eastAsia="宋体" w:cs="Times New Roman"/>
                <w:bCs/>
                <w:color w:val="auto"/>
                <w:szCs w:val="32"/>
                <w:lang w:val="en-US" w:eastAsia="zh-CN"/>
              </w:rPr>
              <w:t>可达到</w:t>
            </w:r>
            <w:r>
              <w:rPr>
                <w:rFonts w:hint="default" w:ascii="Times New Roman" w:hAnsi="Times New Roman" w:eastAsia="宋体" w:cs="Times New Roman"/>
                <w:bCs/>
                <w:color w:val="auto"/>
                <w:szCs w:val="32"/>
                <w:lang w:val="en-US" w:eastAsia="zh-CN"/>
              </w:rPr>
              <w:t>《大气污染物综合排放标准》（GB16297-1996）表2无组织</w:t>
            </w:r>
            <w:r>
              <w:rPr>
                <w:rFonts w:hint="eastAsia" w:ascii="Times New Roman" w:hAnsi="Times New Roman" w:eastAsia="宋体" w:cs="Times New Roman"/>
                <w:bCs/>
                <w:color w:val="auto"/>
                <w:szCs w:val="32"/>
                <w:lang w:val="en-US" w:eastAsia="zh-CN"/>
              </w:rPr>
              <w:t>排放</w:t>
            </w:r>
            <w:r>
              <w:rPr>
                <w:rFonts w:hint="default" w:ascii="Times New Roman" w:hAnsi="Times New Roman" w:eastAsia="宋体" w:cs="Times New Roman"/>
                <w:bCs/>
                <w:color w:val="auto"/>
                <w:szCs w:val="32"/>
                <w:lang w:val="en-US" w:eastAsia="zh-CN"/>
              </w:rPr>
              <w:t>标准</w:t>
            </w:r>
            <w:r>
              <w:rPr>
                <w:rFonts w:hint="eastAsia" w:ascii="Times New Roman" w:hAnsi="Times New Roman" w:eastAsia="宋体" w:cs="Times New Roman"/>
                <w:bCs/>
                <w:color w:val="auto"/>
                <w:szCs w:val="32"/>
                <w:lang w:val="en-US" w:eastAsia="zh-CN"/>
              </w:rPr>
              <w:t>。</w:t>
            </w:r>
            <w:r>
              <w:rPr>
                <w:rFonts w:hint="eastAsia"/>
                <w:color w:val="auto"/>
                <w:vertAlign w:val="baseline"/>
                <w:lang w:val="en-US" w:eastAsia="zh-CN"/>
              </w:rPr>
              <w:t>验收期间未对废气源强进行核算。</w:t>
            </w:r>
            <w:r>
              <w:rPr>
                <w:rFonts w:hint="eastAsia" w:ascii="Times New Roman" w:hAnsi="Times New Roman"/>
                <w:bCs/>
                <w:color w:val="auto"/>
                <w:szCs w:val="32"/>
                <w:lang w:val="en-US" w:eastAsia="zh-CN"/>
              </w:rPr>
              <w:t>根据原环评文件，项</w:t>
            </w:r>
            <w:r>
              <w:rPr>
                <w:rFonts w:hint="eastAsia" w:ascii="Times New Roman" w:hAnsi="Times New Roman"/>
                <w:bCs/>
                <w:szCs w:val="32"/>
                <w:lang w:val="en-US" w:eastAsia="zh-CN"/>
              </w:rPr>
              <w:t>目</w:t>
            </w:r>
            <w:r>
              <w:rPr>
                <w:rFonts w:hint="eastAsia" w:ascii="Times New Roman" w:hAnsi="Times New Roman"/>
                <w:bCs/>
                <w:szCs w:val="32"/>
              </w:rPr>
              <w:t>迁建前废气来源主要包括：①堆场粉尘（装卸扬尘、风蚀扬尘）；②破碎、筛分系统粉尘；③车辆运输行驶扬尘。</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szCs w:val="32"/>
              </w:rPr>
            </w:pPr>
            <w:r>
              <w:rPr>
                <w:rFonts w:hint="eastAsia" w:ascii="Times New Roman" w:hAnsi="Times New Roman"/>
                <w:bCs/>
                <w:szCs w:val="32"/>
              </w:rPr>
              <w:t>①堆场粉尘</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color w:val="auto"/>
                <w:szCs w:val="32"/>
                <w:lang w:val="en-US" w:eastAsia="zh-CN"/>
              </w:rPr>
            </w:pPr>
            <w:r>
              <w:rPr>
                <w:rFonts w:hint="eastAsia" w:ascii="Times New Roman" w:hAnsi="Times New Roman"/>
                <w:bCs/>
                <w:szCs w:val="32"/>
                <w:lang w:val="en-US" w:eastAsia="zh-CN"/>
              </w:rPr>
              <w:t>原环评采用</w:t>
            </w:r>
            <w:r>
              <w:rPr>
                <w:rFonts w:hint="eastAsia" w:ascii="Times New Roman" w:hAnsi="Times New Roman"/>
                <w:bCs/>
                <w:szCs w:val="32"/>
              </w:rPr>
              <w:t>西安冶金建筑学院干堆计算公式</w:t>
            </w:r>
            <w:r>
              <w:rPr>
                <w:rFonts w:hint="eastAsia" w:ascii="Times New Roman" w:hAnsi="Times New Roman"/>
                <w:bCs/>
                <w:szCs w:val="32"/>
                <w:lang w:val="en-US" w:eastAsia="zh-CN"/>
              </w:rPr>
              <w:t>和</w:t>
            </w:r>
            <w:r>
              <w:rPr>
                <w:rFonts w:hint="eastAsia" w:ascii="Times New Roman" w:hAnsi="Times New Roman"/>
                <w:bCs/>
                <w:szCs w:val="32"/>
              </w:rPr>
              <w:t>《秦皇岛沙石料装卸中对起尘机理扩散规律的研究》</w:t>
            </w:r>
            <w:r>
              <w:rPr>
                <w:rFonts w:hint="eastAsia" w:ascii="Times New Roman" w:hAnsi="Times New Roman"/>
                <w:bCs/>
                <w:szCs w:val="32"/>
                <w:lang w:val="en-US" w:eastAsia="zh-CN"/>
              </w:rPr>
              <w:t>分别核算堆场风蚀扬尘、装卸扬尘排放源强，堆场风蚀扬尘、装卸扬尘排放源强核算结果分别为0.0006t/a和0.0003t/a。根据项目迁建前实际生产运行情况，堆场物料装卸过程中会产生扬尘，实际扬尘产生量要比原环评核算值大。因此，本环评采用</w:t>
            </w:r>
            <w:r>
              <w:rPr>
                <w:rFonts w:hint="eastAsia" w:ascii="Times New Roman" w:hAnsi="Times New Roman"/>
                <w:bCs/>
                <w:color w:val="auto"/>
                <w:szCs w:val="32"/>
              </w:rPr>
              <w:t>现行发布的技术指南、方法等对迁建前</w:t>
            </w:r>
            <w:r>
              <w:rPr>
                <w:rFonts w:hint="eastAsia" w:ascii="Times New Roman" w:hAnsi="Times New Roman"/>
                <w:bCs/>
                <w:color w:val="auto"/>
                <w:szCs w:val="32"/>
                <w:lang w:val="en-US" w:eastAsia="zh-CN"/>
              </w:rPr>
              <w:t>堆场扬尘排放</w:t>
            </w:r>
            <w:r>
              <w:rPr>
                <w:rFonts w:hint="eastAsia" w:ascii="Times New Roman" w:hAnsi="Times New Roman"/>
                <w:bCs/>
                <w:color w:val="auto"/>
                <w:szCs w:val="32"/>
              </w:rPr>
              <w:t>源强进行重新核定</w:t>
            </w:r>
            <w:r>
              <w:rPr>
                <w:rFonts w:hint="eastAsia" w:ascii="Times New Roman" w:hAnsi="Times New Roman"/>
                <w:bCs/>
                <w:color w:val="auto"/>
                <w:szCs w:val="32"/>
                <w:lang w:eastAsia="zh-CN"/>
              </w:rPr>
              <w:t>。</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color w:val="auto"/>
                <w:szCs w:val="32"/>
              </w:rPr>
            </w:pPr>
            <w:r>
              <w:rPr>
                <w:rFonts w:hint="eastAsia" w:ascii="Times New Roman" w:hAnsi="Times New Roman"/>
                <w:bCs/>
                <w:color w:val="auto"/>
                <w:szCs w:val="32"/>
              </w:rPr>
              <w:t>②破碎、筛</w:t>
            </w:r>
            <w:r>
              <w:rPr>
                <w:rFonts w:hint="eastAsia" w:ascii="Times New Roman" w:hAnsi="Times New Roman"/>
                <w:bCs/>
                <w:color w:val="auto"/>
                <w:szCs w:val="32"/>
                <w:lang w:val="en-US" w:eastAsia="zh-CN"/>
              </w:rPr>
              <w:t>分系统</w:t>
            </w:r>
            <w:r>
              <w:rPr>
                <w:rFonts w:hint="eastAsia" w:ascii="Times New Roman" w:hAnsi="Times New Roman"/>
                <w:bCs/>
                <w:color w:val="auto"/>
                <w:szCs w:val="32"/>
              </w:rPr>
              <w:t>粉尘</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color w:val="auto"/>
                <w:szCs w:val="32"/>
                <w:lang w:val="en-US" w:eastAsia="zh-CN"/>
              </w:rPr>
            </w:pPr>
            <w:r>
              <w:rPr>
                <w:rFonts w:hint="eastAsia" w:ascii="Times New Roman" w:hAnsi="Times New Roman"/>
                <w:bCs/>
                <w:color w:val="auto"/>
                <w:szCs w:val="32"/>
                <w:lang w:val="en-US" w:eastAsia="zh-CN"/>
              </w:rPr>
              <w:t>原环评文件破碎、筛分粉尘的粉尘产尘系数取物料量的</w:t>
            </w:r>
            <w:r>
              <w:rPr>
                <w:rFonts w:hint="eastAsia" w:ascii="Times New Roman" w:hAnsi="Times New Roman"/>
                <w:bCs/>
                <w:color w:val="auto"/>
                <w:szCs w:val="32"/>
              </w:rPr>
              <w:t>0.0005%</w:t>
            </w:r>
            <w:r>
              <w:rPr>
                <w:rFonts w:hint="eastAsia" w:ascii="Times New Roman" w:hAnsi="Times New Roman"/>
                <w:bCs/>
                <w:color w:val="auto"/>
                <w:szCs w:val="32"/>
                <w:lang w:eastAsia="zh-CN"/>
              </w:rPr>
              <w:t>，</w:t>
            </w:r>
            <w:r>
              <w:rPr>
                <w:rFonts w:hint="eastAsia" w:ascii="Times New Roman" w:hAnsi="Times New Roman"/>
                <w:bCs/>
                <w:color w:val="auto"/>
                <w:szCs w:val="32"/>
                <w:lang w:val="en-US" w:eastAsia="zh-CN"/>
              </w:rPr>
              <w:t>依据不充分。本环评类比</w:t>
            </w:r>
            <w:r>
              <w:rPr>
                <w:rFonts w:hint="eastAsia" w:ascii="Times New Roman" w:hAnsi="Times New Roman"/>
                <w:bCs/>
                <w:color w:val="auto"/>
                <w:szCs w:val="32"/>
              </w:rPr>
              <w:t>《逸散性工业粉尘控制技术》</w:t>
            </w:r>
            <w:r>
              <w:rPr>
                <w:rFonts w:hint="eastAsia" w:ascii="Times New Roman" w:hAnsi="Times New Roman"/>
                <w:bCs/>
                <w:color w:val="auto"/>
                <w:szCs w:val="32"/>
                <w:lang w:val="en-US" w:eastAsia="zh-CN"/>
              </w:rPr>
              <w:t>中砂与砾石的</w:t>
            </w:r>
            <w:r>
              <w:rPr>
                <w:rFonts w:hint="eastAsia" w:ascii="Times New Roman" w:hAnsi="Times New Roman"/>
                <w:bCs/>
                <w:color w:val="auto"/>
                <w:szCs w:val="32"/>
              </w:rPr>
              <w:t>破碎和筛选</w:t>
            </w:r>
            <w:r>
              <w:rPr>
                <w:rFonts w:hint="eastAsia" w:ascii="Times New Roman" w:hAnsi="Times New Roman"/>
                <w:bCs/>
                <w:color w:val="auto"/>
                <w:szCs w:val="32"/>
                <w:lang w:val="en-US" w:eastAsia="zh-CN"/>
              </w:rPr>
              <w:t>粉尘</w:t>
            </w:r>
            <w:r>
              <w:rPr>
                <w:rFonts w:hint="eastAsia" w:ascii="Times New Roman" w:hAnsi="Times New Roman"/>
                <w:bCs/>
                <w:color w:val="auto"/>
                <w:szCs w:val="32"/>
              </w:rPr>
              <w:t>排放系数</w:t>
            </w:r>
            <w:r>
              <w:rPr>
                <w:rFonts w:hint="eastAsia" w:ascii="Times New Roman" w:hAnsi="Times New Roman"/>
                <w:bCs/>
                <w:color w:val="auto"/>
                <w:szCs w:val="32"/>
                <w:lang w:eastAsia="zh-CN"/>
              </w:rPr>
              <w:t>，</w:t>
            </w:r>
            <w:r>
              <w:rPr>
                <w:rFonts w:hint="eastAsia" w:ascii="Times New Roman" w:hAnsi="Times New Roman"/>
                <w:bCs/>
                <w:color w:val="auto"/>
                <w:szCs w:val="32"/>
                <w:lang w:val="en-US" w:eastAsia="zh-CN"/>
              </w:rPr>
              <w:t>重新核算项目迁建前破碎、筛分系统粉尘排放源强。</w:t>
            </w:r>
          </w:p>
          <w:p>
            <w:pPr>
              <w:keepNext w:val="0"/>
              <w:keepLines w:val="0"/>
              <w:suppressLineNumbers w:val="0"/>
              <w:spacing w:before="0" w:beforeAutospacing="0" w:after="0" w:afterAutospacing="0" w:line="460" w:lineRule="atLeast"/>
              <w:ind w:left="0" w:right="0" w:firstLine="480" w:firstLineChars="200"/>
              <w:rPr>
                <w:rFonts w:hint="default"/>
                <w:lang w:val="en-US" w:eastAsia="zh-CN"/>
              </w:rPr>
            </w:pPr>
            <w:r>
              <w:rPr>
                <w:rFonts w:hint="eastAsia" w:ascii="Times New Roman" w:hAnsi="Times New Roman"/>
                <w:bCs/>
                <w:szCs w:val="32"/>
              </w:rPr>
              <w:t>③车辆运输行驶扬尘</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color w:val="auto"/>
                <w:szCs w:val="32"/>
                <w:lang w:val="en-US" w:eastAsia="zh-CN"/>
              </w:rPr>
            </w:pPr>
            <w:r>
              <w:rPr>
                <w:rFonts w:hint="eastAsia"/>
                <w:color w:val="auto"/>
                <w:sz w:val="24"/>
                <w:lang w:val="en-US" w:eastAsia="zh-CN"/>
              </w:rPr>
              <w:t>原环评计算车辆运输行驶扬尘时，运输量为20万吨，仅考虑原料运输产生扬尘，未考虑成品运输产生扬尘，导致车辆运输行驶扬尘偏小</w:t>
            </w:r>
            <w:r>
              <w:rPr>
                <w:rFonts w:hint="eastAsia" w:ascii="Times New Roman" w:hAnsi="Times New Roman"/>
                <w:bCs/>
                <w:color w:val="auto"/>
                <w:szCs w:val="32"/>
                <w:lang w:val="en-US" w:eastAsia="zh-CN"/>
              </w:rPr>
              <w:t>。本环评根据原料、成品运输量重新核算运输扬尘排放源强。</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color w:val="auto"/>
                <w:szCs w:val="32"/>
                <w:lang w:val="en-US" w:eastAsia="zh-CN"/>
              </w:rPr>
            </w:pPr>
            <w:r>
              <w:rPr>
                <w:rFonts w:hint="eastAsia" w:ascii="Times New Roman" w:hAnsi="Times New Roman"/>
                <w:bCs/>
                <w:color w:val="auto"/>
                <w:szCs w:val="32"/>
                <w:lang w:val="en-US" w:eastAsia="zh-CN"/>
              </w:rPr>
              <w:t>原环评（迁建前）废气污染源强核算结果及本次环评对项目迁建前废气源强重新核算的方法具体见下表：</w:t>
            </w:r>
          </w:p>
          <w:p>
            <w:pPr>
              <w:keepNext w:val="0"/>
              <w:keepLines w:val="0"/>
              <w:widowControl/>
              <w:suppressLineNumbers w:val="0"/>
              <w:spacing w:before="0" w:beforeAutospacing="0" w:after="0" w:afterAutospacing="0" w:line="440" w:lineRule="exact"/>
              <w:ind w:left="0" w:right="0"/>
              <w:jc w:val="center"/>
              <w:rPr>
                <w:rFonts w:hint="default" w:eastAsia="黑体"/>
              </w:rPr>
            </w:pPr>
            <w:r>
              <w:rPr>
                <w:rFonts w:hint="default" w:ascii="Times New Roman" w:hAnsi="Times New Roman" w:eastAsia="黑体"/>
                <w:b/>
                <w:bCs/>
                <w:kern w:val="0"/>
                <w:sz w:val="21"/>
                <w:szCs w:val="21"/>
              </w:rPr>
              <w:t>表4.</w:t>
            </w:r>
            <w:r>
              <w:rPr>
                <w:rFonts w:hint="eastAsia" w:ascii="Times New Roman" w:hAnsi="Times New Roman" w:eastAsia="黑体"/>
                <w:b/>
                <w:bCs/>
                <w:kern w:val="0"/>
                <w:sz w:val="21"/>
                <w:szCs w:val="21"/>
              </w:rPr>
              <w:t>4</w:t>
            </w:r>
            <w:r>
              <w:rPr>
                <w:rFonts w:hint="eastAsia" w:ascii="Times New Roman" w:hAnsi="Times New Roman" w:eastAsia="黑体"/>
                <w:b/>
                <w:bCs/>
                <w:kern w:val="0"/>
                <w:sz w:val="21"/>
                <w:szCs w:val="21"/>
                <w:lang w:val="en-US" w:eastAsia="zh-CN"/>
              </w:rPr>
              <w:t>-1</w:t>
            </w:r>
            <w:r>
              <w:rPr>
                <w:rFonts w:hint="eastAsia" w:ascii="Times New Roman" w:hAnsi="Times New Roman" w:eastAsia="黑体"/>
                <w:b/>
                <w:bCs/>
                <w:kern w:val="0"/>
                <w:sz w:val="21"/>
                <w:szCs w:val="21"/>
              </w:rPr>
              <w:t>原环评废气源强核算</w:t>
            </w:r>
            <w:r>
              <w:rPr>
                <w:rFonts w:hint="eastAsia" w:ascii="Times New Roman" w:hAnsi="Times New Roman" w:eastAsia="黑体"/>
                <w:b/>
                <w:bCs/>
                <w:kern w:val="0"/>
                <w:sz w:val="21"/>
                <w:szCs w:val="21"/>
                <w:lang w:val="en-US" w:eastAsia="zh-CN"/>
              </w:rPr>
              <w:t>及本次环评重新核算方法</w:t>
            </w:r>
            <w:r>
              <w:rPr>
                <w:rFonts w:hint="eastAsia" w:ascii="Times New Roman" w:hAnsi="Times New Roman" w:eastAsia="黑体"/>
                <w:b/>
                <w:bCs/>
                <w:kern w:val="0"/>
                <w:sz w:val="21"/>
                <w:szCs w:val="21"/>
              </w:rPr>
              <w:t xml:space="preserve">一览表 </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641"/>
              <w:gridCol w:w="3836"/>
              <w:gridCol w:w="33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2"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default" w:ascii="Times New Roman" w:hAnsi="Times New Roman"/>
                      <w:sz w:val="18"/>
                      <w:szCs w:val="18"/>
                    </w:rPr>
                  </w:pPr>
                  <w:r>
                    <w:rPr>
                      <w:rFonts w:hint="eastAsia" w:ascii="Times New Roman" w:hAnsi="Times New Roman"/>
                      <w:sz w:val="18"/>
                      <w:szCs w:val="18"/>
                    </w:rPr>
                    <w:t>源项</w:t>
                  </w:r>
                </w:p>
              </w:tc>
              <w:tc>
                <w:tcPr>
                  <w:tcW w:w="226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default" w:eastAsia="宋体"/>
                      <w:sz w:val="18"/>
                      <w:szCs w:val="18"/>
                      <w:lang w:val="en-US" w:eastAsia="zh-CN"/>
                    </w:rPr>
                  </w:pPr>
                  <w:r>
                    <w:rPr>
                      <w:rFonts w:hint="eastAsia"/>
                      <w:sz w:val="18"/>
                      <w:szCs w:val="18"/>
                    </w:rPr>
                    <w:t>原环评</w:t>
                  </w:r>
                  <w:r>
                    <w:rPr>
                      <w:rFonts w:hint="eastAsia"/>
                      <w:sz w:val="18"/>
                      <w:szCs w:val="18"/>
                      <w:lang w:val="en-US" w:eastAsia="zh-CN"/>
                    </w:rPr>
                    <w:t>核算结果（</w:t>
                  </w:r>
                  <w:r>
                    <w:rPr>
                      <w:rFonts w:hint="eastAsia"/>
                      <w:sz w:val="18"/>
                      <w:szCs w:val="18"/>
                    </w:rPr>
                    <w:t>迁建前</w:t>
                  </w:r>
                  <w:r>
                    <w:rPr>
                      <w:rFonts w:hint="eastAsia"/>
                      <w:sz w:val="18"/>
                      <w:szCs w:val="18"/>
                      <w:lang w:val="en-US" w:eastAsia="zh-CN"/>
                    </w:rPr>
                    <w:t>）</w:t>
                  </w:r>
                </w:p>
              </w:tc>
              <w:tc>
                <w:tcPr>
                  <w:tcW w:w="198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本次环评对项目迁建前废气源强重新核算</w:t>
                  </w:r>
                  <w:r>
                    <w:rPr>
                      <w:rFonts w:hint="eastAsia"/>
                      <w:sz w:val="18"/>
                      <w:szCs w:val="18"/>
                      <w:lang w:val="en-US" w:eastAsia="zh-CN"/>
                    </w:rPr>
                    <w:t>的方法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Times New Roman" w:hAnsi="Times New Roman" w:eastAsia="宋体"/>
                      <w:sz w:val="18"/>
                      <w:szCs w:val="18"/>
                      <w:lang w:eastAsia="zh-CN"/>
                    </w:rPr>
                  </w:pPr>
                  <w:r>
                    <w:rPr>
                      <w:rFonts w:hint="eastAsia" w:ascii="Times New Roman" w:hAnsi="Times New Roman"/>
                      <w:sz w:val="18"/>
                      <w:szCs w:val="18"/>
                      <w:lang w:val="en-US" w:eastAsia="zh-CN"/>
                    </w:rPr>
                    <w:t>堆场扬尘</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风蚀扬尘</w:t>
                  </w:r>
                </w:p>
              </w:tc>
              <w:tc>
                <w:tcPr>
                  <w:tcW w:w="2263" w:type="pct"/>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88" w:lineRule="auto"/>
                    <w:ind w:left="0" w:right="0" w:firstLine="0" w:firstLineChars="0"/>
                    <w:jc w:val="left"/>
                    <w:textAlignment w:val="auto"/>
                    <w:rPr>
                      <w:rFonts w:hint="default" w:eastAsia="宋体"/>
                      <w:sz w:val="18"/>
                      <w:szCs w:val="18"/>
                      <w:lang w:val="en-US" w:eastAsia="zh-CN"/>
                    </w:rPr>
                  </w:pPr>
                  <w:r>
                    <w:rPr>
                      <w:rFonts w:hint="eastAsia"/>
                      <w:sz w:val="18"/>
                      <w:szCs w:val="18"/>
                    </w:rPr>
                    <w:t>采用西安冶金建筑学院干堆计算公式：</w:t>
                  </w:r>
                  <w:r>
                    <w:rPr>
                      <w:rFonts w:hint="default"/>
                      <w:sz w:val="18"/>
                      <w:szCs w:val="18"/>
                    </w:rPr>
                    <w:t>Q=4.23×10</w:t>
                  </w:r>
                  <w:r>
                    <w:rPr>
                      <w:rFonts w:hint="eastAsia"/>
                      <w:sz w:val="18"/>
                      <w:szCs w:val="18"/>
                      <w:vertAlign w:val="superscript"/>
                    </w:rPr>
                    <w:t>-</w:t>
                  </w:r>
                  <w:r>
                    <w:rPr>
                      <w:rFonts w:hint="default"/>
                      <w:sz w:val="18"/>
                      <w:szCs w:val="18"/>
                      <w:vertAlign w:val="superscript"/>
                    </w:rPr>
                    <w:t>4</w:t>
                  </w:r>
                  <w:r>
                    <w:rPr>
                      <w:rFonts w:hint="default"/>
                      <w:sz w:val="18"/>
                      <w:szCs w:val="18"/>
                    </w:rPr>
                    <w:t>×V</w:t>
                  </w:r>
                  <w:r>
                    <w:rPr>
                      <w:rFonts w:hint="default"/>
                      <w:sz w:val="18"/>
                      <w:szCs w:val="18"/>
                      <w:vertAlign w:val="superscript"/>
                    </w:rPr>
                    <w:t>4.9</w:t>
                  </w:r>
                  <w:r>
                    <w:rPr>
                      <w:rFonts w:hint="default"/>
                      <w:sz w:val="18"/>
                      <w:szCs w:val="18"/>
                    </w:rPr>
                    <w:t>×S</w:t>
                  </w:r>
                  <w:r>
                    <w:rPr>
                      <w:rFonts w:hint="eastAsia"/>
                      <w:sz w:val="18"/>
                      <w:szCs w:val="18"/>
                      <w:lang w:val="en-US" w:eastAsia="zh-CN"/>
                    </w:rPr>
                    <w:t>计算，扬尘排放量为</w:t>
                  </w:r>
                  <w:r>
                    <w:rPr>
                      <w:rFonts w:hint="eastAsia" w:ascii="Times New Roman" w:hAnsi="Times New Roman"/>
                      <w:sz w:val="18"/>
                      <w:szCs w:val="18"/>
                    </w:rPr>
                    <w:t>0.0006</w:t>
                  </w:r>
                  <w:r>
                    <w:rPr>
                      <w:rFonts w:hint="eastAsia"/>
                      <w:sz w:val="18"/>
                      <w:szCs w:val="18"/>
                      <w:lang w:val="en-US" w:eastAsia="zh-CN"/>
                    </w:rPr>
                    <w:t>t/a</w:t>
                  </w:r>
                </w:p>
              </w:tc>
              <w:tc>
                <w:tcPr>
                  <w:tcW w:w="1983"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default" w:ascii="Times New Roman" w:hAnsi="Times New Roman"/>
                      <w:sz w:val="18"/>
                      <w:szCs w:val="18"/>
                    </w:rPr>
                  </w:pPr>
                  <w:r>
                    <w:rPr>
                      <w:rFonts w:hint="eastAsia" w:ascii="Times New Roman" w:hAnsi="Times New Roman"/>
                      <w:sz w:val="18"/>
                      <w:szCs w:val="18"/>
                    </w:rPr>
                    <w:t>采用《扬尘颗粒物排放清单编制技术指南（试行）》计算：</w:t>
                  </w:r>
                  <w:r>
                    <w:rPr>
                      <w:rFonts w:hint="default"/>
                      <w:sz w:val="18"/>
                      <w:szCs w:val="18"/>
                    </w:rPr>
                    <w:drawing>
                      <wp:inline distT="0" distB="0" distL="114300" distR="114300">
                        <wp:extent cx="1945005" cy="344170"/>
                        <wp:effectExtent l="0" t="0" r="17145" b="1778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5"/>
                                <a:stretch>
                                  <a:fillRect/>
                                </a:stretch>
                              </pic:blipFill>
                              <pic:spPr>
                                <a:xfrm>
                                  <a:off x="0" y="0"/>
                                  <a:ext cx="1945005" cy="34417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default" w:ascii="Times New Roman" w:hAnsi="Times New Roman"/>
                      <w:sz w:val="18"/>
                      <w:szCs w:val="18"/>
                    </w:rPr>
                  </w:pP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装卸扬尘</w:t>
                  </w:r>
                </w:p>
              </w:tc>
              <w:tc>
                <w:tcPr>
                  <w:tcW w:w="2263" w:type="pct"/>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88" w:lineRule="auto"/>
                    <w:ind w:left="0" w:right="0" w:firstLine="0" w:firstLineChars="0"/>
                    <w:jc w:val="left"/>
                    <w:textAlignment w:val="auto"/>
                    <w:rPr>
                      <w:rFonts w:hint="default" w:eastAsia="宋体"/>
                      <w:sz w:val="18"/>
                      <w:szCs w:val="18"/>
                      <w:lang w:val="en-US" w:eastAsia="zh-CN"/>
                    </w:rPr>
                  </w:pPr>
                  <w:r>
                    <w:rPr>
                      <w:rFonts w:hint="eastAsia"/>
                      <w:sz w:val="18"/>
                      <w:szCs w:val="18"/>
                    </w:rPr>
                    <w:t>根据《秦皇岛沙石料装卸中对起尘机理扩散规律的研究》装卸起尘公式</w:t>
                  </w:r>
                  <w:r>
                    <w:rPr>
                      <w:rFonts w:hint="eastAsia"/>
                      <w:sz w:val="18"/>
                      <w:szCs w:val="18"/>
                      <w:lang w:eastAsia="zh-CN"/>
                    </w:rPr>
                    <w:t>（</w:t>
                  </w:r>
                  <w:r>
                    <w:rPr>
                      <w:rFonts w:hint="default"/>
                      <w:color w:val="000000"/>
                      <w:sz w:val="18"/>
                      <w:szCs w:val="18"/>
                    </w:rPr>
                    <w:t>Q</w:t>
                  </w:r>
                  <w:r>
                    <w:rPr>
                      <w:rFonts w:hint="default"/>
                      <w:color w:val="000000"/>
                      <w:sz w:val="18"/>
                      <w:szCs w:val="18"/>
                      <w:vertAlign w:val="subscript"/>
                    </w:rPr>
                    <w:t>1</w:t>
                  </w:r>
                  <w:r>
                    <w:rPr>
                      <w:rFonts w:hint="default"/>
                      <w:color w:val="000000"/>
                      <w:sz w:val="18"/>
                      <w:szCs w:val="18"/>
                    </w:rPr>
                    <w:t>=113.33U</w:t>
                  </w:r>
                  <w:r>
                    <w:rPr>
                      <w:rFonts w:hint="default"/>
                      <w:color w:val="000000"/>
                      <w:sz w:val="18"/>
                      <w:szCs w:val="18"/>
                      <w:vertAlign w:val="superscript"/>
                    </w:rPr>
                    <w:t>1.6</w:t>
                  </w:r>
                  <w:r>
                    <w:rPr>
                      <w:rFonts w:hint="default"/>
                      <w:color w:val="000000"/>
                      <w:sz w:val="18"/>
                      <w:szCs w:val="18"/>
                    </w:rPr>
                    <w:t>H</w:t>
                  </w:r>
                  <w:r>
                    <w:rPr>
                      <w:rFonts w:hint="default"/>
                      <w:color w:val="000000"/>
                      <w:sz w:val="18"/>
                      <w:szCs w:val="18"/>
                      <w:vertAlign w:val="superscript"/>
                    </w:rPr>
                    <w:t>1.23</w:t>
                  </w:r>
                  <w:r>
                    <w:rPr>
                      <w:rFonts w:hint="default"/>
                      <w:color w:val="000000"/>
                      <w:sz w:val="18"/>
                      <w:szCs w:val="18"/>
                    </w:rPr>
                    <w:t>e</w:t>
                  </w:r>
                  <w:r>
                    <w:rPr>
                      <w:rFonts w:hint="default"/>
                      <w:color w:val="000000"/>
                      <w:sz w:val="18"/>
                      <w:szCs w:val="18"/>
                      <w:vertAlign w:val="superscript"/>
                    </w:rPr>
                    <w:t>-0.28w</w:t>
                  </w:r>
                  <w:r>
                    <w:rPr>
                      <w:rFonts w:hint="eastAsia"/>
                      <w:sz w:val="18"/>
                      <w:szCs w:val="18"/>
                      <w:lang w:eastAsia="zh-CN"/>
                    </w:rPr>
                    <w:t>）</w:t>
                  </w:r>
                  <w:r>
                    <w:rPr>
                      <w:rFonts w:hint="eastAsia"/>
                      <w:sz w:val="18"/>
                      <w:szCs w:val="18"/>
                    </w:rPr>
                    <w:t>计算</w:t>
                  </w:r>
                  <w:r>
                    <w:rPr>
                      <w:rFonts w:hint="eastAsia"/>
                      <w:sz w:val="18"/>
                      <w:szCs w:val="18"/>
                      <w:lang w:eastAsia="zh-CN"/>
                    </w:rPr>
                    <w:t>，</w:t>
                  </w:r>
                  <w:r>
                    <w:rPr>
                      <w:rFonts w:hint="eastAsia"/>
                      <w:sz w:val="18"/>
                      <w:szCs w:val="18"/>
                      <w:lang w:val="en-US" w:eastAsia="zh-CN"/>
                    </w:rPr>
                    <w:t>扬尘排放量为</w:t>
                  </w:r>
                  <w:r>
                    <w:rPr>
                      <w:rFonts w:hint="eastAsia" w:ascii="Times New Roman" w:hAnsi="Times New Roman"/>
                      <w:sz w:val="18"/>
                      <w:szCs w:val="18"/>
                    </w:rPr>
                    <w:t>0.0003</w:t>
                  </w:r>
                  <w:r>
                    <w:rPr>
                      <w:rFonts w:hint="eastAsia"/>
                      <w:sz w:val="18"/>
                      <w:szCs w:val="18"/>
                      <w:lang w:val="en-US" w:eastAsia="zh-CN"/>
                    </w:rPr>
                    <w:t>t/a</w:t>
                  </w:r>
                </w:p>
              </w:tc>
              <w:tc>
                <w:tcPr>
                  <w:tcW w:w="1983" w:type="pct"/>
                  <w:vMerge w:val="continue"/>
                  <w:tcBorders>
                    <w:tl2br w:val="nil"/>
                    <w:tr2bl w:val="nil"/>
                  </w:tcBorders>
                  <w:vAlign w:val="center"/>
                </w:tcPr>
                <w:p>
                  <w:pPr>
                    <w:pStyle w:val="17"/>
                    <w:keepNext w:val="0"/>
                    <w:keepLines w:val="0"/>
                    <w:pageBreakBefore w:val="0"/>
                    <w:widowControl w:val="0"/>
                    <w:suppressLineNumbers w:val="0"/>
                    <w:kinsoku/>
                    <w:wordWrap/>
                    <w:overflowPunct/>
                    <w:topLinePunct w:val="0"/>
                    <w:autoSpaceDE/>
                    <w:autoSpaceDN/>
                    <w:bidi w:val="0"/>
                    <w:adjustRightInd/>
                    <w:spacing w:before="0" w:beforeAutospacing="0" w:afterAutospacing="0" w:line="288" w:lineRule="auto"/>
                    <w:ind w:left="0" w:leftChars="0" w:right="0"/>
                    <w:jc w:val="left"/>
                    <w:textAlignment w:val="auto"/>
                    <w:rPr>
                      <w:rFonts w:hint="default"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default" w:ascii="Times New Roman" w:hAnsi="Times New Roman"/>
                      <w:sz w:val="18"/>
                      <w:szCs w:val="18"/>
                    </w:rPr>
                  </w:pPr>
                  <w:r>
                    <w:rPr>
                      <w:rFonts w:hint="eastAsia" w:ascii="Times New Roman" w:hAnsi="Times New Roman"/>
                      <w:sz w:val="18"/>
                      <w:szCs w:val="18"/>
                    </w:rPr>
                    <w:t>破碎、筛分系统粉尘</w:t>
                  </w:r>
                </w:p>
              </w:tc>
              <w:tc>
                <w:tcPr>
                  <w:tcW w:w="226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default" w:ascii="Times New Roman" w:hAnsi="Times New Roman" w:eastAsia="宋体"/>
                      <w:sz w:val="18"/>
                      <w:szCs w:val="18"/>
                      <w:lang w:val="en-US" w:eastAsia="zh-CN"/>
                    </w:rPr>
                  </w:pPr>
                  <w:r>
                    <w:rPr>
                      <w:rFonts w:hint="eastAsia"/>
                      <w:sz w:val="18"/>
                      <w:szCs w:val="18"/>
                    </w:rPr>
                    <w:t>类比同类产品破碎工序粉尘产生系数0.0005%</w:t>
                  </w:r>
                  <w:r>
                    <w:rPr>
                      <w:rFonts w:hint="eastAsia"/>
                      <w:sz w:val="18"/>
                      <w:szCs w:val="18"/>
                      <w:lang w:eastAsia="zh-CN"/>
                    </w:rPr>
                    <w:t>，</w:t>
                  </w:r>
                  <w:r>
                    <w:rPr>
                      <w:rFonts w:hint="eastAsia"/>
                      <w:sz w:val="18"/>
                      <w:szCs w:val="18"/>
                      <w:lang w:val="en-US" w:eastAsia="zh-CN"/>
                    </w:rPr>
                    <w:t>粉尘排放量为</w:t>
                  </w:r>
                  <w:r>
                    <w:rPr>
                      <w:rFonts w:hint="eastAsia" w:ascii="Times New Roman" w:hAnsi="Times New Roman"/>
                      <w:sz w:val="18"/>
                      <w:szCs w:val="18"/>
                    </w:rPr>
                    <w:t>0.15</w:t>
                  </w:r>
                  <w:r>
                    <w:rPr>
                      <w:rFonts w:hint="eastAsia"/>
                      <w:sz w:val="18"/>
                      <w:szCs w:val="18"/>
                      <w:lang w:val="en-US" w:eastAsia="zh-CN"/>
                    </w:rPr>
                    <w:t>t/a</w:t>
                  </w:r>
                </w:p>
              </w:tc>
              <w:tc>
                <w:tcPr>
                  <w:tcW w:w="198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default" w:ascii="Times New Roman" w:hAnsi="Times New Roman"/>
                      <w:sz w:val="18"/>
                      <w:szCs w:val="18"/>
                    </w:rPr>
                  </w:pPr>
                  <w:r>
                    <w:rPr>
                      <w:rFonts w:hint="eastAsia" w:ascii="Times New Roman" w:hAnsi="Times New Roman"/>
                      <w:sz w:val="18"/>
                      <w:szCs w:val="18"/>
                    </w:rPr>
                    <w:t>根据《逸散性工业粉尘控制技术》，</w:t>
                  </w:r>
                  <w:r>
                    <w:rPr>
                      <w:rFonts w:hint="default" w:ascii="Times New Roman" w:hAnsi="Times New Roman"/>
                      <w:sz w:val="18"/>
                      <w:szCs w:val="18"/>
                    </w:rPr>
                    <w:t>表</w:t>
                  </w:r>
                  <w:r>
                    <w:rPr>
                      <w:rFonts w:hint="default" w:ascii="Times New Roman" w:hAnsi="Times New Roman"/>
                      <w:sz w:val="18"/>
                      <w:szCs w:val="18"/>
                      <w:highlight w:val="none"/>
                    </w:rPr>
                    <w:t>18-1</w:t>
                  </w:r>
                  <w:r>
                    <w:rPr>
                      <w:rFonts w:hint="eastAsia" w:ascii="Times New Roman" w:hAnsi="Times New Roman"/>
                      <w:sz w:val="18"/>
                      <w:szCs w:val="18"/>
                      <w:highlight w:val="none"/>
                      <w:lang w:val="en-US" w:eastAsia="zh-CN"/>
                    </w:rPr>
                    <w:t>砂与砾石</w:t>
                  </w:r>
                  <w:r>
                    <w:rPr>
                      <w:rFonts w:hint="default" w:ascii="Times New Roman" w:hAnsi="Times New Roman"/>
                      <w:sz w:val="18"/>
                      <w:szCs w:val="18"/>
                      <w:highlight w:val="none"/>
                    </w:rPr>
                    <w:t>破</w:t>
                  </w:r>
                  <w:r>
                    <w:rPr>
                      <w:rFonts w:hint="default" w:ascii="Times New Roman" w:hAnsi="Times New Roman"/>
                      <w:sz w:val="18"/>
                      <w:szCs w:val="18"/>
                    </w:rPr>
                    <w:t>碎和筛选</w:t>
                  </w:r>
                  <w:r>
                    <w:rPr>
                      <w:rFonts w:hint="eastAsia" w:ascii="Times New Roman" w:hAnsi="Times New Roman"/>
                      <w:sz w:val="18"/>
                      <w:szCs w:val="18"/>
                    </w:rPr>
                    <w:t>排放系数计算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default" w:ascii="Times New Roman" w:hAnsi="Times New Roman"/>
                      <w:sz w:val="18"/>
                      <w:szCs w:val="18"/>
                    </w:rPr>
                  </w:pPr>
                  <w:r>
                    <w:rPr>
                      <w:rFonts w:hint="eastAsia" w:ascii="Times New Roman" w:hAnsi="Times New Roman"/>
                      <w:sz w:val="18"/>
                      <w:szCs w:val="18"/>
                    </w:rPr>
                    <w:t>车辆运输行驶扬尘</w:t>
                  </w:r>
                </w:p>
              </w:tc>
              <w:tc>
                <w:tcPr>
                  <w:tcW w:w="226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default" w:eastAsia="宋体"/>
                      <w:color w:val="auto"/>
                      <w:sz w:val="18"/>
                      <w:szCs w:val="18"/>
                      <w:lang w:val="en-US" w:eastAsia="zh-CN"/>
                    </w:rPr>
                  </w:pPr>
                  <w:r>
                    <w:rPr>
                      <w:rFonts w:hint="eastAsia"/>
                      <w:color w:val="auto"/>
                      <w:sz w:val="18"/>
                      <w:szCs w:val="18"/>
                      <w:lang w:val="en-US" w:eastAsia="zh-CN"/>
                    </w:rPr>
                    <w:t>采用</w:t>
                  </w:r>
                  <w:r>
                    <w:rPr>
                      <w:rFonts w:hint="default"/>
                      <w:color w:val="auto"/>
                      <w:sz w:val="18"/>
                      <w:szCs w:val="18"/>
                    </w:rPr>
                    <w:drawing>
                      <wp:inline distT="0" distB="0" distL="0" distR="0">
                        <wp:extent cx="1496695" cy="296545"/>
                        <wp:effectExtent l="0" t="0" r="8255" b="762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b="51111"/>
                                <a:stretch>
                                  <a:fillRect/>
                                </a:stretch>
                              </pic:blipFill>
                              <pic:spPr>
                                <a:xfrm>
                                  <a:off x="0" y="0"/>
                                  <a:ext cx="1496695" cy="296545"/>
                                </a:xfrm>
                                <a:prstGeom prst="rect">
                                  <a:avLst/>
                                </a:prstGeom>
                                <a:noFill/>
                                <a:ln>
                                  <a:noFill/>
                                </a:ln>
                              </pic:spPr>
                            </pic:pic>
                          </a:graphicData>
                        </a:graphic>
                      </wp:inline>
                    </w:drawing>
                  </w:r>
                  <w:r>
                    <w:rPr>
                      <w:rFonts w:hint="eastAsia"/>
                      <w:color w:val="auto"/>
                      <w:sz w:val="18"/>
                      <w:szCs w:val="18"/>
                      <w:lang w:val="en-US" w:eastAsia="zh-CN"/>
                    </w:rPr>
                    <w:t>公式计算</w:t>
                  </w:r>
                  <w:r>
                    <w:rPr>
                      <w:rFonts w:hint="eastAsia"/>
                      <w:color w:val="auto"/>
                      <w:sz w:val="18"/>
                      <w:szCs w:val="18"/>
                      <w:lang w:eastAsia="zh-CN"/>
                    </w:rPr>
                    <w:t>，</w:t>
                  </w:r>
                  <w:r>
                    <w:rPr>
                      <w:rFonts w:hint="eastAsia"/>
                      <w:color w:val="auto"/>
                      <w:sz w:val="18"/>
                      <w:szCs w:val="18"/>
                      <w:lang w:val="en-US" w:eastAsia="zh-CN"/>
                    </w:rPr>
                    <w:t>扬尘排放量为</w:t>
                  </w:r>
                  <w:r>
                    <w:rPr>
                      <w:rFonts w:hint="eastAsia"/>
                      <w:color w:val="auto"/>
                      <w:sz w:val="18"/>
                      <w:szCs w:val="18"/>
                    </w:rPr>
                    <w:t>0.0208</w:t>
                  </w:r>
                  <w:r>
                    <w:rPr>
                      <w:rFonts w:hint="eastAsia"/>
                      <w:color w:val="auto"/>
                      <w:sz w:val="18"/>
                      <w:szCs w:val="18"/>
                      <w:lang w:val="en-US" w:eastAsia="zh-CN"/>
                    </w:rPr>
                    <w:t>t/a</w:t>
                  </w:r>
                </w:p>
              </w:tc>
              <w:tc>
                <w:tcPr>
                  <w:tcW w:w="198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default" w:ascii="Times New Roman" w:hAnsi="Times New Roman"/>
                      <w:color w:val="auto"/>
                      <w:sz w:val="18"/>
                      <w:szCs w:val="18"/>
                    </w:rPr>
                  </w:pPr>
                  <w:r>
                    <w:rPr>
                      <w:rFonts w:hint="eastAsia"/>
                      <w:color w:val="auto"/>
                      <w:sz w:val="18"/>
                      <w:szCs w:val="18"/>
                      <w:lang w:val="en-US" w:eastAsia="zh-CN"/>
                    </w:rPr>
                    <w:t>采用</w:t>
                  </w:r>
                  <w:r>
                    <w:rPr>
                      <w:rFonts w:hint="default"/>
                      <w:color w:val="auto"/>
                      <w:sz w:val="18"/>
                      <w:szCs w:val="18"/>
                    </w:rPr>
                    <w:drawing>
                      <wp:inline distT="0" distB="0" distL="0" distR="0">
                        <wp:extent cx="1496695" cy="296545"/>
                        <wp:effectExtent l="0" t="0" r="8255"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b="51111"/>
                                <a:stretch>
                                  <a:fillRect/>
                                </a:stretch>
                              </pic:blipFill>
                              <pic:spPr>
                                <a:xfrm>
                                  <a:off x="0" y="0"/>
                                  <a:ext cx="1496695" cy="296545"/>
                                </a:xfrm>
                                <a:prstGeom prst="rect">
                                  <a:avLst/>
                                </a:prstGeom>
                              </pic:spPr>
                            </pic:pic>
                          </a:graphicData>
                        </a:graphic>
                      </wp:inline>
                    </w:drawing>
                  </w:r>
                  <w:r>
                    <w:rPr>
                      <w:rFonts w:hint="eastAsia"/>
                      <w:color w:val="auto"/>
                      <w:sz w:val="18"/>
                      <w:szCs w:val="18"/>
                      <w:lang w:val="en-US" w:eastAsia="zh-CN"/>
                    </w:rPr>
                    <w:t>公式计算</w:t>
                  </w:r>
                </w:p>
              </w:tc>
            </w:tr>
          </w:tbl>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lang w:val="en-US" w:eastAsia="zh-CN"/>
              </w:rPr>
              <w:t>本次环评根据原环评废气污染源及采取的抑尘措施，对</w:t>
            </w:r>
            <w:r>
              <w:rPr>
                <w:rFonts w:hint="eastAsia" w:ascii="Times New Roman" w:hAnsi="Times New Roman"/>
                <w:bCs/>
                <w:szCs w:val="32"/>
              </w:rPr>
              <w:t>迁建前粉尘排放</w:t>
            </w:r>
            <w:r>
              <w:rPr>
                <w:rFonts w:hint="eastAsia" w:ascii="Times New Roman" w:hAnsi="Times New Roman"/>
                <w:bCs/>
                <w:szCs w:val="32"/>
                <w:lang w:val="en-US" w:eastAsia="zh-CN"/>
              </w:rPr>
              <w:t>源强重新</w:t>
            </w:r>
            <w:r>
              <w:rPr>
                <w:rFonts w:hint="eastAsia" w:ascii="Times New Roman" w:hAnsi="Times New Roman"/>
                <w:bCs/>
                <w:szCs w:val="32"/>
              </w:rPr>
              <w:t>核算如下：</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①堆场粉尘：</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1）装卸扬尘：</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szCs w:val="32"/>
              </w:rPr>
            </w:pPr>
            <w:r>
              <w:rPr>
                <w:rFonts w:hint="eastAsia" w:ascii="Times New Roman" w:hAnsi="Times New Roman"/>
                <w:bCs/>
                <w:szCs w:val="32"/>
              </w:rPr>
              <w:t>原环评原料、产品装卸过程抑尘措施为：利用水管对原料堆场进行表面洒水。</w:t>
            </w:r>
            <w:r>
              <w:rPr>
                <w:rFonts w:hint="eastAsia" w:ascii="Times New Roman" w:hAnsi="Times New Roman"/>
                <w:bCs/>
                <w:szCs w:val="32"/>
                <w:lang w:val="en-US" w:eastAsia="zh-CN"/>
              </w:rPr>
              <w:t>碎石、细</w:t>
            </w:r>
            <w:r>
              <w:rPr>
                <w:rFonts w:hint="eastAsia" w:ascii="Times New Roman" w:hAnsi="Times New Roman"/>
                <w:bCs/>
                <w:szCs w:val="32"/>
                <w:highlight w:val="none"/>
                <w:lang w:val="en-US" w:eastAsia="zh-CN"/>
              </w:rPr>
              <w:t>砂</w:t>
            </w:r>
            <w:r>
              <w:rPr>
                <w:rFonts w:hint="eastAsia" w:ascii="Times New Roman" w:hAnsi="Times New Roman"/>
                <w:bCs/>
                <w:szCs w:val="32"/>
                <w:highlight w:val="none"/>
              </w:rPr>
              <w:t>产品含水率</w:t>
            </w:r>
            <w:r>
              <w:rPr>
                <w:rFonts w:hint="eastAsia" w:ascii="Times New Roman" w:hAnsi="Times New Roman"/>
                <w:bCs/>
                <w:szCs w:val="32"/>
                <w:highlight w:val="none"/>
                <w:lang w:val="en-US" w:eastAsia="zh-CN"/>
              </w:rPr>
              <w:t>为20%</w:t>
            </w:r>
            <w:r>
              <w:rPr>
                <w:rFonts w:hint="eastAsia" w:ascii="Times New Roman" w:hAnsi="Times New Roman"/>
                <w:bCs/>
                <w:color w:val="auto"/>
                <w:szCs w:val="32"/>
                <w:highlight w:val="none"/>
              </w:rPr>
              <w:t>。</w:t>
            </w:r>
            <w:r>
              <w:rPr>
                <w:rFonts w:hint="eastAsia" w:ascii="Times New Roman" w:hAnsi="Times New Roman"/>
                <w:bCs/>
                <w:szCs w:val="32"/>
                <w:highlight w:val="none"/>
              </w:rPr>
              <w:t>经</w:t>
            </w:r>
            <w:r>
              <w:rPr>
                <w:rFonts w:hint="eastAsia" w:ascii="Times New Roman" w:hAnsi="Times New Roman"/>
                <w:bCs/>
                <w:szCs w:val="32"/>
              </w:rPr>
              <w:t>计算，堆场装卸扬尘量如下：</w:t>
            </w:r>
          </w:p>
          <w:p>
            <w:pPr>
              <w:pStyle w:val="33"/>
              <w:keepNext w:val="0"/>
              <w:keepLines w:val="0"/>
              <w:suppressLineNumbers w:val="0"/>
              <w:spacing w:before="0" w:beforeLines="0" w:beforeAutospacing="0" w:after="0" w:afterAutospacing="0" w:line="440" w:lineRule="exact"/>
              <w:ind w:left="0" w:right="0" w:firstLine="420"/>
              <w:rPr>
                <w:rFonts w:hint="default" w:ascii="Times New Roman" w:hAnsi="Times New Roman"/>
              </w:rPr>
            </w:pPr>
            <w:r>
              <w:rPr>
                <w:rFonts w:hint="default" w:ascii="Times New Roman" w:hAnsi="Times New Roman"/>
                <w:b/>
                <w:bCs/>
                <w:sz w:val="21"/>
                <w:szCs w:val="21"/>
              </w:rPr>
              <w:t>表4.</w:t>
            </w:r>
            <w:r>
              <w:rPr>
                <w:rFonts w:hint="eastAsia" w:ascii="Times New Roman" w:hAnsi="Times New Roman"/>
                <w:b/>
                <w:bCs/>
                <w:sz w:val="21"/>
                <w:szCs w:val="21"/>
              </w:rPr>
              <w:t>4</w:t>
            </w:r>
            <w:r>
              <w:rPr>
                <w:rFonts w:hint="default" w:ascii="Times New Roman" w:hAnsi="Times New Roman"/>
                <w:b/>
                <w:bCs/>
                <w:sz w:val="21"/>
                <w:szCs w:val="21"/>
              </w:rPr>
              <w:t>-</w:t>
            </w:r>
            <w:r>
              <w:rPr>
                <w:rFonts w:hint="eastAsia" w:ascii="Times New Roman" w:hAnsi="Times New Roman"/>
                <w:b/>
                <w:bCs/>
                <w:sz w:val="21"/>
                <w:szCs w:val="21"/>
                <w:lang w:val="en-US" w:eastAsia="zh-CN"/>
              </w:rPr>
              <w:t>2</w:t>
            </w:r>
            <w:r>
              <w:rPr>
                <w:rFonts w:hint="default" w:ascii="Times New Roman" w:hAnsi="Times New Roman"/>
                <w:b/>
                <w:bCs/>
                <w:sz w:val="21"/>
                <w:szCs w:val="21"/>
              </w:rPr>
              <w:t xml:space="preserve"> </w:t>
            </w:r>
            <w:r>
              <w:rPr>
                <w:rFonts w:hint="eastAsia" w:ascii="Times New Roman" w:hAnsi="Times New Roman"/>
                <w:b/>
                <w:bCs/>
                <w:sz w:val="21"/>
                <w:szCs w:val="21"/>
              </w:rPr>
              <w:t>堆场</w:t>
            </w:r>
            <w:r>
              <w:rPr>
                <w:rFonts w:hint="eastAsia" w:ascii="Times New Roman" w:hAnsi="Times New Roman"/>
                <w:b/>
                <w:bCs/>
                <w:sz w:val="21"/>
                <w:szCs w:val="21"/>
                <w:lang w:val="en-US" w:eastAsia="zh-CN"/>
              </w:rPr>
              <w:t>装卸</w:t>
            </w:r>
            <w:r>
              <w:rPr>
                <w:rFonts w:hint="eastAsia" w:ascii="Times New Roman" w:hAnsi="Times New Roman"/>
                <w:b/>
                <w:bCs/>
                <w:sz w:val="21"/>
                <w:szCs w:val="21"/>
              </w:rPr>
              <w:t>扬尘计算结果</w:t>
            </w:r>
            <w:r>
              <w:rPr>
                <w:rFonts w:hint="default" w:ascii="Times New Roman" w:hAnsi="Times New Roman"/>
                <w:b/>
                <w:bCs/>
                <w:sz w:val="21"/>
                <w:szCs w:val="21"/>
              </w:rPr>
              <w:t>汇总</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183"/>
              <w:gridCol w:w="1349"/>
              <w:gridCol w:w="1417"/>
              <w:gridCol w:w="1459"/>
              <w:gridCol w:w="1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尘源</w:t>
                  </w:r>
                </w:p>
              </w:tc>
              <w:tc>
                <w:tcPr>
                  <w:tcW w:w="698"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物料</w:t>
                  </w:r>
                </w:p>
              </w:tc>
              <w:tc>
                <w:tcPr>
                  <w:tcW w:w="79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含水率</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8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抑尘措施</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w:t>
                  </w:r>
                </w:p>
              </w:tc>
              <w:tc>
                <w:tcPr>
                  <w:tcW w:w="86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装卸物料量</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（万t/a）</w:t>
                  </w:r>
                </w:p>
              </w:tc>
              <w:tc>
                <w:tcPr>
                  <w:tcW w:w="9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装卸扬尘</w:t>
                  </w:r>
                  <w:r>
                    <w:rPr>
                      <w:rFonts w:hint="eastAsia" w:ascii="Times New Roman" w:hAnsi="Times New Roman"/>
                      <w:color w:val="000000" w:themeColor="text1"/>
                      <w:sz w:val="21"/>
                      <w:szCs w:val="21"/>
                      <w:lang w:val="en-US" w:eastAsia="zh-CN"/>
                      <w14:textFill>
                        <w14:solidFill>
                          <w14:schemeClr w14:val="tx1"/>
                        </w14:solidFill>
                      </w14:textFill>
                    </w:rPr>
                    <w:t>排放量</w:t>
                  </w:r>
                  <w:r>
                    <w:rPr>
                      <w:rFonts w:hint="eastAsia" w:ascii="Times New Roman" w:hAnsi="Times New Roman"/>
                      <w:color w:val="000000" w:themeColor="text1"/>
                      <w:sz w:val="21"/>
                      <w:szCs w:val="21"/>
                      <w14:textFill>
                        <w14:solidFill>
                          <w14:schemeClr w14:val="tx1"/>
                        </w14:solidFill>
                      </w14:textFill>
                    </w:rPr>
                    <w:t>（t</w:t>
                  </w:r>
                  <w:r>
                    <w:rPr>
                      <w:rFonts w:hint="eastAsia" w:ascii="Times New Roman" w:hAnsi="Times New Roman"/>
                      <w:color w:val="000000" w:themeColor="text1"/>
                      <w:sz w:val="21"/>
                      <w:szCs w:val="21"/>
                      <w:lang w:val="en-US" w:eastAsia="zh-CN"/>
                      <w14:textFill>
                        <w14:solidFill>
                          <w14:schemeClr w14:val="tx1"/>
                        </w14:solidFill>
                      </w14:textFill>
                    </w:rPr>
                    <w:t>/a</w:t>
                  </w:r>
                  <w:r>
                    <w:rPr>
                      <w:rFonts w:hint="eastAsia" w:ascii="Times New Roman" w:hAnsi="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原料堆场</w:t>
                  </w:r>
                </w:p>
              </w:tc>
              <w:tc>
                <w:tcPr>
                  <w:tcW w:w="698"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矿渣石料</w:t>
                  </w:r>
                </w:p>
              </w:tc>
              <w:tc>
                <w:tcPr>
                  <w:tcW w:w="79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20</w:t>
                  </w:r>
                </w:p>
              </w:tc>
              <w:tc>
                <w:tcPr>
                  <w:tcW w:w="8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洒水（70%）</w:t>
                  </w:r>
                </w:p>
              </w:tc>
              <w:tc>
                <w:tcPr>
                  <w:tcW w:w="86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w:t>
                  </w:r>
                </w:p>
              </w:tc>
              <w:tc>
                <w:tcPr>
                  <w:tcW w:w="9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成品堆场1</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（碎石堆场）</w:t>
                  </w:r>
                </w:p>
              </w:tc>
              <w:tc>
                <w:tcPr>
                  <w:tcW w:w="698"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碎石</w:t>
                  </w:r>
                </w:p>
              </w:tc>
              <w:tc>
                <w:tcPr>
                  <w:tcW w:w="79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20</w:t>
                  </w:r>
                </w:p>
              </w:tc>
              <w:tc>
                <w:tcPr>
                  <w:tcW w:w="8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无</w:t>
                  </w:r>
                </w:p>
              </w:tc>
              <w:tc>
                <w:tcPr>
                  <w:tcW w:w="86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9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成品堆场2</w:t>
                  </w:r>
                </w:p>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（细砂堆场）</w:t>
                  </w:r>
                </w:p>
              </w:tc>
              <w:tc>
                <w:tcPr>
                  <w:tcW w:w="698"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细砂</w:t>
                  </w:r>
                </w:p>
              </w:tc>
              <w:tc>
                <w:tcPr>
                  <w:tcW w:w="79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20</w:t>
                  </w:r>
                </w:p>
              </w:tc>
              <w:tc>
                <w:tcPr>
                  <w:tcW w:w="83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无</w:t>
                  </w:r>
                </w:p>
              </w:tc>
              <w:tc>
                <w:tcPr>
                  <w:tcW w:w="86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9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86" w:type="pct"/>
                  <w:gridSpan w:val="4"/>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color w:val="auto"/>
                      <w:sz w:val="21"/>
                      <w:szCs w:val="21"/>
                      <w:highlight w:val="none"/>
                      <w:lang w:val="en-US" w:eastAsia="zh-CN"/>
                    </w:rPr>
                    <w:t>合计</w:t>
                  </w:r>
                </w:p>
              </w:tc>
              <w:tc>
                <w:tcPr>
                  <w:tcW w:w="86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40</w:t>
                  </w:r>
                </w:p>
              </w:tc>
              <w:tc>
                <w:tcPr>
                  <w:tcW w:w="9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4.68</w:t>
                  </w:r>
                </w:p>
              </w:tc>
            </w:tr>
          </w:tbl>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2）风蚀扬尘</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堆场采取喷水抑尘、原料为大块物料、产品含水率高，</w:t>
            </w:r>
            <w:r>
              <w:rPr>
                <w:rFonts w:hint="eastAsia" w:ascii="Times New Roman" w:hAnsi="Times New Roman"/>
                <w:bCs/>
                <w:szCs w:val="32"/>
                <w:lang w:val="en-US" w:eastAsia="zh-CN"/>
              </w:rPr>
              <w:t>经计算，</w:t>
            </w:r>
            <w:r>
              <w:rPr>
                <w:rFonts w:hint="eastAsia" w:ascii="Times New Roman" w:hAnsi="Times New Roman"/>
                <w:bCs/>
                <w:szCs w:val="32"/>
              </w:rPr>
              <w:t>基本无风蚀扬尘。</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lang w:val="en-US" w:eastAsia="zh-CN"/>
              </w:rPr>
              <w:t>经重新核算</w:t>
            </w:r>
            <w:r>
              <w:rPr>
                <w:rFonts w:hint="eastAsia" w:ascii="Times New Roman" w:hAnsi="Times New Roman"/>
                <w:bCs/>
                <w:szCs w:val="32"/>
              </w:rPr>
              <w:t>，</w:t>
            </w:r>
            <w:r>
              <w:rPr>
                <w:rFonts w:hint="eastAsia" w:ascii="Times New Roman" w:hAnsi="Times New Roman"/>
                <w:bCs/>
                <w:szCs w:val="32"/>
                <w:lang w:val="en-US" w:eastAsia="zh-CN"/>
              </w:rPr>
              <w:t>迁建前</w:t>
            </w:r>
            <w:r>
              <w:rPr>
                <w:rFonts w:hint="eastAsia" w:ascii="Times New Roman" w:hAnsi="Times New Roman"/>
                <w:bCs/>
                <w:szCs w:val="32"/>
              </w:rPr>
              <w:t>堆场扬尘产生量合计为</w:t>
            </w:r>
            <w:r>
              <w:rPr>
                <w:rFonts w:hint="eastAsia" w:ascii="Times New Roman" w:hAnsi="Times New Roman"/>
                <w:bCs/>
                <w:szCs w:val="32"/>
                <w:lang w:val="en-US" w:eastAsia="zh-CN"/>
              </w:rPr>
              <w:t>4.68</w:t>
            </w:r>
            <w:r>
              <w:rPr>
                <w:rFonts w:hint="eastAsia" w:ascii="Times New Roman" w:hAnsi="Times New Roman"/>
                <w:bCs/>
                <w:szCs w:val="32"/>
              </w:rPr>
              <w:t>t/a。</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②破碎、筛分系统粉尘：</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迁建前矿渣石料经过粗破、圆锥破、振动分筛后送入制砂机，破碎、筛分过程采取水喷淋抑尘，</w:t>
            </w:r>
            <w:r>
              <w:rPr>
                <w:rFonts w:hint="eastAsia" w:ascii="Times New Roman" w:hAnsi="Times New Roman"/>
                <w:bCs/>
                <w:szCs w:val="32"/>
                <w:lang w:val="en-US" w:eastAsia="zh-CN"/>
              </w:rPr>
              <w:t>迁建前</w:t>
            </w:r>
            <w:r>
              <w:rPr>
                <w:rFonts w:hint="eastAsia" w:ascii="Times New Roman" w:hAnsi="Times New Roman"/>
                <w:bCs/>
                <w:szCs w:val="32"/>
              </w:rPr>
              <w:t>破碎、筛选系统粉尘</w:t>
            </w:r>
            <w:r>
              <w:rPr>
                <w:rFonts w:hint="eastAsia" w:ascii="Times New Roman" w:hAnsi="Times New Roman"/>
                <w:bCs/>
                <w:szCs w:val="32"/>
                <w:lang w:val="en-US" w:eastAsia="zh-CN"/>
              </w:rPr>
              <w:t>排放源强采用排污系数法计算，系数取值参照</w:t>
            </w:r>
            <w:r>
              <w:rPr>
                <w:rFonts w:hint="default" w:ascii="Times New Roman" w:hAnsi="Times New Roman"/>
              </w:rPr>
              <w:t>《逸散性工业粉尘控制技术》</w:t>
            </w:r>
            <w:r>
              <w:rPr>
                <w:rFonts w:hint="eastAsia" w:ascii="Times New Roman" w:hAnsi="Times New Roman"/>
                <w:lang w:val="en-US" w:eastAsia="zh-CN"/>
              </w:rPr>
              <w:t>表18-1取值。</w:t>
            </w:r>
            <w:r>
              <w:rPr>
                <w:rFonts w:hint="eastAsia" w:ascii="Times New Roman" w:hAnsi="Times New Roman"/>
                <w:bCs/>
                <w:szCs w:val="32"/>
                <w:lang w:val="en-US" w:eastAsia="zh-CN"/>
              </w:rPr>
              <w:t>重新核算</w:t>
            </w:r>
            <w:r>
              <w:rPr>
                <w:rFonts w:hint="eastAsia" w:ascii="Times New Roman" w:hAnsi="Times New Roman"/>
                <w:bCs/>
                <w:szCs w:val="32"/>
              </w:rPr>
              <w:t>结果见下表。</w:t>
            </w:r>
          </w:p>
          <w:p>
            <w:pPr>
              <w:pStyle w:val="33"/>
              <w:keepNext w:val="0"/>
              <w:keepLines w:val="0"/>
              <w:suppressLineNumbers w:val="0"/>
              <w:spacing w:before="120" w:beforeAutospacing="0" w:after="0" w:afterAutospacing="0" w:line="440" w:lineRule="exact"/>
              <w:ind w:left="0" w:right="0" w:firstLine="422"/>
              <w:rPr>
                <w:rFonts w:hint="default"/>
                <w:color w:val="auto"/>
              </w:rPr>
            </w:pPr>
            <w:r>
              <w:rPr>
                <w:rFonts w:hint="default" w:ascii="Times New Roman" w:hAnsi="Times New Roman"/>
                <w:b/>
                <w:bCs/>
                <w:color w:val="auto"/>
                <w:sz w:val="21"/>
                <w:szCs w:val="21"/>
              </w:rPr>
              <w:t>表4.</w:t>
            </w:r>
            <w:r>
              <w:rPr>
                <w:rFonts w:hint="eastAsia" w:ascii="Times New Roman" w:hAnsi="Times New Roman"/>
                <w:b/>
                <w:bCs/>
                <w:color w:val="auto"/>
                <w:sz w:val="21"/>
                <w:szCs w:val="21"/>
              </w:rPr>
              <w:t>4</w:t>
            </w:r>
            <w:r>
              <w:rPr>
                <w:rFonts w:hint="default" w:ascii="Times New Roman" w:hAnsi="Times New Roman"/>
                <w:b/>
                <w:bCs/>
                <w:color w:val="auto"/>
                <w:sz w:val="21"/>
                <w:szCs w:val="21"/>
              </w:rPr>
              <w:t>-</w:t>
            </w:r>
            <w:r>
              <w:rPr>
                <w:rFonts w:hint="eastAsia" w:ascii="Times New Roman" w:hAnsi="Times New Roman"/>
                <w:b/>
                <w:bCs/>
                <w:color w:val="auto"/>
                <w:sz w:val="21"/>
                <w:szCs w:val="21"/>
                <w:lang w:val="en-US" w:eastAsia="zh-CN"/>
              </w:rPr>
              <w:t>3</w:t>
            </w:r>
            <w:r>
              <w:rPr>
                <w:rFonts w:hint="default" w:ascii="Times New Roman" w:hAnsi="Times New Roman"/>
                <w:b/>
                <w:bCs/>
                <w:color w:val="auto"/>
                <w:sz w:val="21"/>
                <w:szCs w:val="21"/>
              </w:rPr>
              <w:t xml:space="preserve"> </w:t>
            </w:r>
            <w:r>
              <w:rPr>
                <w:rFonts w:hint="eastAsia" w:ascii="Times New Roman" w:hAnsi="Times New Roman"/>
                <w:b/>
                <w:bCs/>
                <w:color w:val="auto"/>
                <w:sz w:val="21"/>
                <w:szCs w:val="21"/>
              </w:rPr>
              <w:t>破碎、筛分粉尘</w:t>
            </w:r>
            <w:r>
              <w:rPr>
                <w:rFonts w:hint="eastAsia" w:ascii="Times New Roman" w:hAnsi="Times New Roman"/>
                <w:b/>
                <w:bCs/>
                <w:color w:val="auto"/>
                <w:sz w:val="21"/>
                <w:szCs w:val="21"/>
                <w:lang w:val="en-US" w:eastAsia="zh-CN"/>
              </w:rPr>
              <w:t>排放源强重新核算</w:t>
            </w:r>
            <w:r>
              <w:rPr>
                <w:rFonts w:hint="eastAsia" w:ascii="Times New Roman" w:hAnsi="Times New Roman"/>
                <w:b/>
                <w:bCs/>
                <w:color w:val="auto"/>
                <w:sz w:val="21"/>
                <w:szCs w:val="21"/>
              </w:rPr>
              <w:t>结果</w:t>
            </w:r>
            <w:r>
              <w:rPr>
                <w:rFonts w:hint="default" w:ascii="Times New Roman" w:hAnsi="Times New Roman"/>
                <w:b/>
                <w:bCs/>
                <w:color w:val="auto"/>
                <w:sz w:val="21"/>
                <w:szCs w:val="21"/>
              </w:rPr>
              <w:t>汇总</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704"/>
              <w:gridCol w:w="1872"/>
              <w:gridCol w:w="1892"/>
              <w:gridCol w:w="1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产尘工序</w:t>
                  </w:r>
                </w:p>
              </w:tc>
              <w:tc>
                <w:tcPr>
                  <w:tcW w:w="10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lang w:val="en-US" w:eastAsia="zh-CN"/>
                    </w:rPr>
                    <w:t>产尘</w:t>
                  </w:r>
                  <w:r>
                    <w:rPr>
                      <w:rFonts w:hint="eastAsia" w:ascii="Times New Roman" w:hAnsi="Times New Roman"/>
                      <w:sz w:val="21"/>
                      <w:szCs w:val="21"/>
                    </w:rPr>
                    <w:t>系数（kg/t）</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破碎、筛分物料量（万t/a）</w:t>
                  </w:r>
                </w:p>
              </w:tc>
              <w:tc>
                <w:tcPr>
                  <w:tcW w:w="111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抑尘措施（效率）</w:t>
                  </w:r>
                </w:p>
              </w:tc>
              <w:tc>
                <w:tcPr>
                  <w:tcW w:w="100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破碎、筛分粉尘</w:t>
                  </w:r>
                  <w:r>
                    <w:rPr>
                      <w:rFonts w:hint="eastAsia" w:ascii="Times New Roman" w:hAnsi="Times New Roman"/>
                      <w:color w:val="auto"/>
                      <w:sz w:val="21"/>
                      <w:szCs w:val="21"/>
                      <w:highlight w:val="none"/>
                      <w:lang w:val="en-US" w:eastAsia="zh-CN"/>
                    </w:rPr>
                    <w:t>排放量</w:t>
                  </w:r>
                  <w:r>
                    <w:rPr>
                      <w:rFonts w:hint="eastAsia" w:ascii="Times New Roman" w:hAnsi="Times New Roman"/>
                      <w:color w:val="auto"/>
                      <w:sz w:val="21"/>
                      <w:szCs w:val="21"/>
                      <w:highlight w:val="none"/>
                    </w:rPr>
                    <w:t xml:space="preserve"> （t</w:t>
                  </w:r>
                  <w:r>
                    <w:rPr>
                      <w:rFonts w:hint="eastAsia" w:ascii="Times New Roman" w:hAnsi="Times New Roman"/>
                      <w:color w:val="auto"/>
                      <w:sz w:val="21"/>
                      <w:szCs w:val="21"/>
                      <w:highlight w:val="none"/>
                      <w:lang w:val="en-US" w:eastAsia="zh-CN"/>
                    </w:rPr>
                    <w:t>/a</w:t>
                  </w:r>
                  <w:r>
                    <w:rPr>
                      <w:rFonts w:hint="eastAsia" w:ascii="Times New Roman" w:hAnsi="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粗破</w:t>
                  </w:r>
                </w:p>
              </w:tc>
              <w:tc>
                <w:tcPr>
                  <w:tcW w:w="10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0.025</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20</w:t>
                  </w:r>
                </w:p>
              </w:tc>
              <w:tc>
                <w:tcPr>
                  <w:tcW w:w="111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水喷淋（70%）</w:t>
                  </w:r>
                </w:p>
              </w:tc>
              <w:tc>
                <w:tcPr>
                  <w:tcW w:w="100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圆锥破</w:t>
                  </w:r>
                </w:p>
              </w:tc>
              <w:tc>
                <w:tcPr>
                  <w:tcW w:w="10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0.025</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20</w:t>
                  </w:r>
                </w:p>
              </w:tc>
              <w:tc>
                <w:tcPr>
                  <w:tcW w:w="111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水喷淋（70%）</w:t>
                  </w:r>
                </w:p>
              </w:tc>
              <w:tc>
                <w:tcPr>
                  <w:tcW w:w="100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振动分筛</w:t>
                  </w:r>
                </w:p>
              </w:tc>
              <w:tc>
                <w:tcPr>
                  <w:tcW w:w="1005"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0.025</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20</w:t>
                  </w:r>
                </w:p>
              </w:tc>
              <w:tc>
                <w:tcPr>
                  <w:tcW w:w="1116"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水喷淋（70%）</w:t>
                  </w:r>
                </w:p>
              </w:tc>
              <w:tc>
                <w:tcPr>
                  <w:tcW w:w="100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1.5</w:t>
                  </w:r>
                </w:p>
              </w:tc>
            </w:tr>
          </w:tbl>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经</w:t>
            </w:r>
            <w:r>
              <w:rPr>
                <w:rFonts w:hint="eastAsia" w:ascii="Times New Roman" w:hAnsi="Times New Roman"/>
                <w:bCs/>
                <w:szCs w:val="32"/>
                <w:lang w:val="en-US" w:eastAsia="zh-CN"/>
              </w:rPr>
              <w:t>重新核算</w:t>
            </w:r>
            <w:r>
              <w:rPr>
                <w:rFonts w:hint="eastAsia" w:ascii="Times New Roman" w:hAnsi="Times New Roman"/>
                <w:bCs/>
                <w:szCs w:val="32"/>
              </w:rPr>
              <w:t>，</w:t>
            </w:r>
            <w:r>
              <w:rPr>
                <w:rFonts w:hint="eastAsia" w:ascii="Times New Roman" w:hAnsi="Times New Roman"/>
                <w:bCs/>
                <w:szCs w:val="32"/>
                <w:lang w:val="en-US" w:eastAsia="zh-CN"/>
              </w:rPr>
              <w:t>迁建前</w:t>
            </w:r>
            <w:r>
              <w:rPr>
                <w:rFonts w:hint="eastAsia" w:ascii="Times New Roman" w:hAnsi="Times New Roman"/>
                <w:bCs/>
                <w:szCs w:val="32"/>
              </w:rPr>
              <w:t>破碎、筛分的粉尘排放量为4.5t/a。</w:t>
            </w:r>
          </w:p>
          <w:p>
            <w:pPr>
              <w:keepNext w:val="0"/>
              <w:keepLines w:val="0"/>
              <w:suppressLineNumbers w:val="0"/>
              <w:tabs>
                <w:tab w:val="left" w:pos="3257"/>
              </w:tabs>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③车辆运输行驶扬尘</w:t>
            </w:r>
            <w:r>
              <w:rPr>
                <w:rFonts w:hint="eastAsia" w:ascii="Times New Roman" w:hAnsi="Times New Roman"/>
                <w:bCs/>
                <w:szCs w:val="32"/>
              </w:rPr>
              <w:tab/>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szCs w:val="32"/>
              </w:rPr>
            </w:pPr>
            <w:r>
              <w:rPr>
                <w:rFonts w:hint="eastAsia" w:ascii="Times New Roman" w:hAnsi="Times New Roman"/>
                <w:bCs/>
                <w:szCs w:val="32"/>
              </w:rPr>
              <w:t>原料从厂区外运输至原料堆场、产品从成品堆场外运会产生运输扬尘，运输采取水喷淋抑尘，车辆运输扬尘</w:t>
            </w:r>
            <w:r>
              <w:rPr>
                <w:rFonts w:hint="eastAsia" w:ascii="Times New Roman" w:hAnsi="Times New Roman"/>
                <w:bCs/>
                <w:szCs w:val="32"/>
                <w:lang w:val="en-US" w:eastAsia="zh-CN"/>
              </w:rPr>
              <w:t>排放量重新核算</w:t>
            </w:r>
            <w:r>
              <w:rPr>
                <w:rFonts w:hint="eastAsia" w:ascii="Times New Roman" w:hAnsi="Times New Roman"/>
                <w:bCs/>
                <w:szCs w:val="32"/>
              </w:rPr>
              <w:t>结果见下表。</w:t>
            </w:r>
          </w:p>
          <w:p>
            <w:pPr>
              <w:pStyle w:val="33"/>
              <w:keepNext w:val="0"/>
              <w:keepLines w:val="0"/>
              <w:suppressLineNumbers w:val="0"/>
              <w:spacing w:before="120" w:beforeAutospacing="0" w:after="0" w:afterAutospacing="0" w:line="440" w:lineRule="exact"/>
              <w:ind w:left="0" w:right="0" w:firstLine="422"/>
              <w:rPr>
                <w:rFonts w:hint="default" w:ascii="Times New Roman" w:hAnsi="Times New Roman"/>
                <w:b/>
                <w:bCs/>
                <w:sz w:val="21"/>
                <w:szCs w:val="21"/>
              </w:rPr>
            </w:pPr>
            <w:r>
              <w:rPr>
                <w:rFonts w:hint="default" w:ascii="Times New Roman" w:hAnsi="Times New Roman"/>
                <w:b/>
                <w:bCs/>
                <w:sz w:val="21"/>
                <w:szCs w:val="21"/>
              </w:rPr>
              <w:t>表4.</w:t>
            </w:r>
            <w:r>
              <w:rPr>
                <w:rFonts w:hint="eastAsia" w:ascii="Times New Roman" w:hAnsi="Times New Roman"/>
                <w:b/>
                <w:bCs/>
                <w:sz w:val="21"/>
                <w:szCs w:val="21"/>
              </w:rPr>
              <w:t>4</w:t>
            </w:r>
            <w:r>
              <w:rPr>
                <w:rFonts w:hint="default" w:ascii="Times New Roman" w:hAnsi="Times New Roman"/>
                <w:b/>
                <w:bCs/>
                <w:sz w:val="21"/>
                <w:szCs w:val="21"/>
              </w:rPr>
              <w:t>-</w:t>
            </w:r>
            <w:r>
              <w:rPr>
                <w:rFonts w:hint="eastAsia" w:ascii="Times New Roman" w:hAnsi="Times New Roman"/>
                <w:b/>
                <w:bCs/>
                <w:sz w:val="21"/>
                <w:szCs w:val="21"/>
                <w:lang w:val="en-US" w:eastAsia="zh-CN"/>
              </w:rPr>
              <w:t>4</w:t>
            </w:r>
            <w:r>
              <w:rPr>
                <w:rFonts w:hint="default" w:ascii="Times New Roman" w:hAnsi="Times New Roman"/>
                <w:b/>
                <w:bCs/>
                <w:sz w:val="21"/>
                <w:szCs w:val="21"/>
              </w:rPr>
              <w:t xml:space="preserve"> </w:t>
            </w:r>
            <w:r>
              <w:rPr>
                <w:rFonts w:hint="eastAsia" w:ascii="Times New Roman" w:hAnsi="Times New Roman"/>
                <w:b/>
                <w:bCs/>
                <w:sz w:val="21"/>
                <w:szCs w:val="21"/>
                <w:lang w:val="en-US" w:eastAsia="zh-CN"/>
              </w:rPr>
              <w:t>迁建前</w:t>
            </w:r>
            <w:r>
              <w:rPr>
                <w:rFonts w:hint="eastAsia" w:ascii="Times New Roman" w:hAnsi="Times New Roman"/>
                <w:b/>
                <w:bCs/>
                <w:sz w:val="21"/>
                <w:szCs w:val="21"/>
              </w:rPr>
              <w:t>车辆运输扬尘</w:t>
            </w:r>
            <w:r>
              <w:rPr>
                <w:rFonts w:hint="eastAsia" w:ascii="Times New Roman" w:hAnsi="Times New Roman"/>
                <w:b/>
                <w:bCs/>
                <w:sz w:val="21"/>
                <w:szCs w:val="21"/>
                <w:lang w:val="en-US" w:eastAsia="zh-CN"/>
              </w:rPr>
              <w:t>重新核算</w:t>
            </w:r>
            <w:r>
              <w:rPr>
                <w:rFonts w:hint="eastAsia" w:ascii="Times New Roman" w:hAnsi="Times New Roman"/>
                <w:b/>
                <w:bCs/>
                <w:sz w:val="21"/>
                <w:szCs w:val="21"/>
              </w:rPr>
              <w:t>结果</w:t>
            </w:r>
            <w:r>
              <w:rPr>
                <w:rFonts w:hint="default" w:ascii="Times New Roman" w:hAnsi="Times New Roman"/>
                <w:b/>
                <w:bCs/>
                <w:sz w:val="21"/>
                <w:szCs w:val="21"/>
              </w:rPr>
              <w:t>汇总</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1951"/>
              <w:gridCol w:w="2251"/>
              <w:gridCol w:w="2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物料</w:t>
                  </w:r>
                </w:p>
              </w:tc>
              <w:tc>
                <w:tcPr>
                  <w:tcW w:w="11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物料量（万t/a）</w:t>
                  </w:r>
                </w:p>
              </w:tc>
              <w:tc>
                <w:tcPr>
                  <w:tcW w:w="132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抑尘措施（效率）</w:t>
                  </w:r>
                </w:p>
              </w:tc>
              <w:tc>
                <w:tcPr>
                  <w:tcW w:w="1253"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运输粉尘（t）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矿渣石料（原料）</w:t>
                  </w:r>
                </w:p>
              </w:tc>
              <w:tc>
                <w:tcPr>
                  <w:tcW w:w="11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20</w:t>
                  </w:r>
                </w:p>
              </w:tc>
              <w:tc>
                <w:tcPr>
                  <w:tcW w:w="132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水喷淋（70%）</w:t>
                  </w:r>
                </w:p>
              </w:tc>
              <w:tc>
                <w:tcPr>
                  <w:tcW w:w="1253"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碎石、细砂（产品）</w:t>
                  </w:r>
                </w:p>
              </w:tc>
              <w:tc>
                <w:tcPr>
                  <w:tcW w:w="115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20</w:t>
                  </w:r>
                </w:p>
              </w:tc>
              <w:tc>
                <w:tcPr>
                  <w:tcW w:w="1327"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水喷淋（70%）</w:t>
                  </w:r>
                </w:p>
              </w:tc>
              <w:tc>
                <w:tcPr>
                  <w:tcW w:w="1253"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highlight w:val="none"/>
                    </w:rPr>
                  </w:pPr>
                  <w:r>
                    <w:rPr>
                      <w:rFonts w:hint="eastAsia" w:ascii="Times New Roman" w:hAnsi="Times New Roman"/>
                      <w:sz w:val="21"/>
                      <w:szCs w:val="21"/>
                      <w:highlight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6" w:type="pct"/>
                  <w:gridSpan w:val="3"/>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合计</w:t>
                  </w:r>
                </w:p>
              </w:tc>
              <w:tc>
                <w:tcPr>
                  <w:tcW w:w="1253"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0.06</w:t>
                  </w:r>
                </w:p>
              </w:tc>
            </w:tr>
          </w:tbl>
          <w:p>
            <w:pPr>
              <w:keepNext w:val="0"/>
              <w:keepLines w:val="0"/>
              <w:suppressLineNumbers w:val="0"/>
              <w:spacing w:before="0" w:beforeAutospacing="0" w:after="0" w:afterAutospacing="0" w:line="460" w:lineRule="atLeast"/>
              <w:ind w:left="0" w:right="0" w:firstLine="480" w:firstLineChars="200"/>
              <w:rPr>
                <w:rFonts w:hint="default"/>
              </w:rPr>
            </w:pPr>
            <w:r>
              <w:rPr>
                <w:rFonts w:hint="eastAsia" w:ascii="Times New Roman" w:hAnsi="Times New Roman"/>
                <w:bCs/>
                <w:szCs w:val="32"/>
              </w:rPr>
              <w:t>经计算，原料、产品运输过程中粉尘排放量为0.06t/a。</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④小结</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综上</w:t>
            </w:r>
            <w:r>
              <w:rPr>
                <w:rFonts w:hint="eastAsia" w:ascii="Times New Roman" w:hAnsi="Times New Roman"/>
                <w:bCs/>
                <w:szCs w:val="32"/>
                <w:lang w:val="en-US" w:eastAsia="zh-CN"/>
              </w:rPr>
              <w:t>所述</w:t>
            </w:r>
            <w:r>
              <w:rPr>
                <w:rFonts w:hint="eastAsia" w:ascii="Times New Roman" w:hAnsi="Times New Roman"/>
                <w:bCs/>
                <w:szCs w:val="32"/>
              </w:rPr>
              <w:t>，</w:t>
            </w:r>
            <w:r>
              <w:rPr>
                <w:rFonts w:hint="eastAsia" w:ascii="Times New Roman" w:hAnsi="Times New Roman"/>
                <w:bCs/>
                <w:szCs w:val="32"/>
                <w:lang w:val="en-US" w:eastAsia="zh-CN"/>
              </w:rPr>
              <w:t>经重新核算后，</w:t>
            </w:r>
            <w:r>
              <w:rPr>
                <w:rFonts w:hint="eastAsia" w:ascii="Times New Roman" w:hAnsi="Times New Roman"/>
                <w:bCs/>
                <w:szCs w:val="32"/>
              </w:rPr>
              <w:t>项目迁建前粉尘排放量合计为</w:t>
            </w:r>
            <w:r>
              <w:rPr>
                <w:rFonts w:hint="eastAsia" w:ascii="Times New Roman" w:hAnsi="Times New Roman"/>
                <w:bCs/>
                <w:szCs w:val="32"/>
                <w:lang w:val="en-US" w:eastAsia="zh-CN"/>
              </w:rPr>
              <w:t>9.24</w:t>
            </w:r>
            <w:r>
              <w:rPr>
                <w:rFonts w:hint="eastAsia" w:ascii="Times New Roman" w:hAnsi="Times New Roman"/>
                <w:bCs/>
                <w:szCs w:val="32"/>
              </w:rPr>
              <w:t>/a。</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（2）废水</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eastAsia="宋体"/>
                <w:bCs/>
                <w:color w:val="auto"/>
                <w:szCs w:val="32"/>
                <w:lang w:val="en-US" w:eastAsia="zh-CN"/>
              </w:rPr>
            </w:pPr>
            <w:r>
              <w:rPr>
                <w:rFonts w:hint="eastAsia" w:ascii="Times New Roman" w:hAnsi="Times New Roman"/>
                <w:bCs/>
                <w:color w:val="auto"/>
                <w:szCs w:val="32"/>
              </w:rPr>
              <w:t>根据</w:t>
            </w:r>
            <w:r>
              <w:rPr>
                <w:rFonts w:hint="eastAsia" w:ascii="Times New Roman" w:hAnsi="Times New Roman"/>
                <w:bCs/>
                <w:color w:val="auto"/>
                <w:szCs w:val="32"/>
                <w:lang w:val="en-US" w:eastAsia="zh-CN"/>
              </w:rPr>
              <w:t>验收</w:t>
            </w:r>
            <w:r>
              <w:rPr>
                <w:rFonts w:hint="eastAsia" w:ascii="Times New Roman" w:hAnsi="Times New Roman"/>
                <w:bCs/>
                <w:color w:val="auto"/>
                <w:szCs w:val="32"/>
              </w:rPr>
              <w:t>，</w:t>
            </w:r>
            <w:r>
              <w:rPr>
                <w:rFonts w:hint="eastAsia" w:ascii="Times New Roman" w:hAnsi="Times New Roman"/>
                <w:bCs/>
                <w:color w:val="auto"/>
                <w:szCs w:val="32"/>
                <w:lang w:val="en-US" w:eastAsia="zh-CN"/>
              </w:rPr>
              <w:t>废水排放情况如下：</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①生产废水</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生产废水经处理后全部回用不外排。</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②生活污水</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根据</w:t>
            </w:r>
            <w:r>
              <w:rPr>
                <w:rFonts w:hint="eastAsia" w:ascii="Times New Roman" w:hAnsi="Times New Roman"/>
                <w:bCs/>
                <w:szCs w:val="32"/>
                <w:lang w:val="en-US" w:eastAsia="zh-CN"/>
              </w:rPr>
              <w:t>验收</w:t>
            </w:r>
            <w:r>
              <w:rPr>
                <w:rFonts w:hint="eastAsia" w:ascii="Times New Roman" w:hAnsi="Times New Roman"/>
                <w:bCs/>
                <w:szCs w:val="32"/>
              </w:rPr>
              <w:t>，员工人数为</w:t>
            </w:r>
            <w:r>
              <w:rPr>
                <w:rFonts w:hint="eastAsia" w:ascii="Times New Roman" w:hAnsi="Times New Roman"/>
                <w:bCs/>
                <w:szCs w:val="32"/>
                <w:lang w:val="en-US" w:eastAsia="zh-CN"/>
              </w:rPr>
              <w:t>12</w:t>
            </w:r>
            <w:r>
              <w:rPr>
                <w:rFonts w:hint="eastAsia" w:ascii="Times New Roman" w:hAnsi="Times New Roman"/>
                <w:bCs/>
                <w:szCs w:val="32"/>
              </w:rPr>
              <w:t>人，均住厂。生活污水</w:t>
            </w:r>
            <w:r>
              <w:rPr>
                <w:rFonts w:hint="eastAsia" w:ascii="Times New Roman" w:hAnsi="Times New Roman"/>
                <w:bCs/>
                <w:szCs w:val="32"/>
                <w:lang w:val="en-US" w:eastAsia="zh-CN"/>
              </w:rPr>
              <w:t>产</w:t>
            </w:r>
            <w:r>
              <w:rPr>
                <w:rFonts w:hint="eastAsia" w:ascii="Times New Roman" w:hAnsi="Times New Roman"/>
                <w:bCs/>
                <w:szCs w:val="32"/>
                <w:highlight w:val="none"/>
                <w:lang w:val="en-US" w:eastAsia="zh-CN"/>
              </w:rPr>
              <w:t>生量</w:t>
            </w:r>
            <w:r>
              <w:rPr>
                <w:rFonts w:hint="eastAsia" w:ascii="Times New Roman" w:hAnsi="Times New Roman"/>
                <w:bCs/>
                <w:szCs w:val="32"/>
                <w:highlight w:val="none"/>
              </w:rPr>
              <w:t>约为</w:t>
            </w:r>
            <w:r>
              <w:rPr>
                <w:rFonts w:hint="eastAsia" w:ascii="Times New Roman" w:hAnsi="Times New Roman"/>
                <w:bCs/>
                <w:szCs w:val="32"/>
                <w:highlight w:val="none"/>
                <w:lang w:val="en-US" w:eastAsia="zh-CN"/>
              </w:rPr>
              <w:t>460</w:t>
            </w:r>
            <w:r>
              <w:rPr>
                <w:rFonts w:hint="eastAsia" w:ascii="Times New Roman" w:hAnsi="Times New Roman"/>
                <w:bCs/>
                <w:szCs w:val="32"/>
                <w:highlight w:val="none"/>
              </w:rPr>
              <w:t>m</w:t>
            </w:r>
            <w:r>
              <w:rPr>
                <w:rFonts w:hint="eastAsia" w:ascii="Times New Roman" w:hAnsi="Times New Roman"/>
                <w:bCs/>
                <w:szCs w:val="32"/>
                <w:highlight w:val="none"/>
                <w:vertAlign w:val="superscript"/>
              </w:rPr>
              <w:t>3</w:t>
            </w:r>
            <w:r>
              <w:rPr>
                <w:rFonts w:hint="eastAsia" w:ascii="Times New Roman" w:hAnsi="Times New Roman"/>
                <w:bCs/>
                <w:szCs w:val="32"/>
                <w:highlight w:val="none"/>
              </w:rPr>
              <w:t>/a</w:t>
            </w:r>
            <w:r>
              <w:rPr>
                <w:rFonts w:hint="eastAsia" w:ascii="Times New Roman" w:hAnsi="Times New Roman"/>
                <w:bCs/>
                <w:szCs w:val="32"/>
                <w:highlight w:val="none"/>
                <w:lang w:eastAsia="zh-CN"/>
              </w:rPr>
              <w:t>，</w:t>
            </w:r>
            <w:r>
              <w:rPr>
                <w:rFonts w:hint="eastAsia" w:ascii="Times New Roman" w:hAnsi="Times New Roman"/>
                <w:bCs/>
                <w:szCs w:val="32"/>
                <w:lang w:val="en-US" w:eastAsia="zh-CN"/>
              </w:rPr>
              <w:t>经处理后用于周边山林地灌溉</w:t>
            </w:r>
            <w:r>
              <w:rPr>
                <w:rFonts w:hint="eastAsia" w:ascii="Times New Roman" w:hAnsi="Times New Roman"/>
                <w:bCs/>
                <w:szCs w:val="32"/>
              </w:rPr>
              <w:t>。</w:t>
            </w:r>
          </w:p>
          <w:p>
            <w:pPr>
              <w:keepNext w:val="0"/>
              <w:keepLines w:val="0"/>
              <w:suppressLineNumbers w:val="0"/>
              <w:spacing w:before="0" w:beforeAutospacing="0" w:after="0" w:afterAutospacing="0" w:line="460" w:lineRule="atLeast"/>
              <w:ind w:left="0" w:right="0" w:firstLine="480" w:firstLineChars="200"/>
              <w:rPr>
                <w:rFonts w:hint="default" w:ascii="Times New Roman" w:hAnsi="Times New Roman"/>
                <w:bCs/>
                <w:szCs w:val="32"/>
              </w:rPr>
            </w:pPr>
            <w:r>
              <w:rPr>
                <w:rFonts w:hint="eastAsia" w:ascii="Times New Roman" w:hAnsi="Times New Roman"/>
                <w:bCs/>
                <w:szCs w:val="32"/>
              </w:rPr>
              <w:t>（3）固废</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color w:val="auto"/>
                <w:szCs w:val="32"/>
              </w:rPr>
            </w:pPr>
            <w:r>
              <w:rPr>
                <w:rFonts w:hint="eastAsia" w:ascii="Times New Roman" w:hAnsi="Times New Roman"/>
                <w:bCs/>
                <w:color w:val="auto"/>
                <w:szCs w:val="32"/>
              </w:rPr>
              <w:t>根据</w:t>
            </w:r>
            <w:r>
              <w:rPr>
                <w:rFonts w:hint="eastAsia" w:ascii="Times New Roman" w:hAnsi="Times New Roman"/>
                <w:bCs/>
                <w:color w:val="auto"/>
                <w:szCs w:val="32"/>
                <w:lang w:val="en-US" w:eastAsia="zh-CN"/>
              </w:rPr>
              <w:t>验收</w:t>
            </w:r>
            <w:r>
              <w:rPr>
                <w:rFonts w:hint="eastAsia" w:ascii="Times New Roman" w:hAnsi="Times New Roman"/>
                <w:bCs/>
                <w:color w:val="auto"/>
                <w:szCs w:val="32"/>
              </w:rPr>
              <w:t>，迁建前的固废产生量</w:t>
            </w:r>
            <w:r>
              <w:rPr>
                <w:rFonts w:hint="eastAsia" w:ascii="Times New Roman" w:hAnsi="Times New Roman"/>
                <w:bCs/>
                <w:color w:val="auto"/>
                <w:szCs w:val="32"/>
                <w:lang w:val="en-US" w:eastAsia="zh-CN"/>
              </w:rPr>
              <w:t>及处置措施</w:t>
            </w:r>
            <w:r>
              <w:rPr>
                <w:rFonts w:hint="eastAsia" w:ascii="Times New Roman" w:hAnsi="Times New Roman"/>
                <w:bCs/>
                <w:color w:val="auto"/>
                <w:szCs w:val="32"/>
              </w:rPr>
              <w:t>如下：</w:t>
            </w:r>
          </w:p>
          <w:p>
            <w:pPr>
              <w:pStyle w:val="33"/>
              <w:keepNext w:val="0"/>
              <w:keepLines w:val="0"/>
              <w:suppressLineNumbers w:val="0"/>
              <w:spacing w:before="0" w:beforeLines="0" w:beforeAutospacing="0" w:after="0" w:afterAutospacing="0" w:line="440" w:lineRule="exact"/>
              <w:ind w:left="0" w:right="0" w:firstLine="420"/>
              <w:rPr>
                <w:rFonts w:hint="default" w:eastAsia="黑体"/>
                <w:lang w:val="en-US" w:eastAsia="zh-CN"/>
              </w:rPr>
            </w:pPr>
            <w:r>
              <w:rPr>
                <w:rFonts w:hint="default" w:ascii="Times New Roman" w:hAnsi="Times New Roman"/>
                <w:b/>
                <w:bCs/>
                <w:sz w:val="21"/>
                <w:szCs w:val="21"/>
              </w:rPr>
              <w:t>表4.</w:t>
            </w:r>
            <w:r>
              <w:rPr>
                <w:rFonts w:hint="eastAsia" w:ascii="Times New Roman" w:hAnsi="Times New Roman"/>
                <w:b/>
                <w:bCs/>
                <w:sz w:val="21"/>
                <w:szCs w:val="21"/>
              </w:rPr>
              <w:t>4</w:t>
            </w:r>
            <w:r>
              <w:rPr>
                <w:rFonts w:hint="default" w:ascii="Times New Roman" w:hAnsi="Times New Roman"/>
                <w:b/>
                <w:bCs/>
                <w:sz w:val="21"/>
                <w:szCs w:val="21"/>
              </w:rPr>
              <w:t>-</w:t>
            </w:r>
            <w:r>
              <w:rPr>
                <w:rFonts w:hint="eastAsia" w:ascii="Times New Roman" w:hAnsi="Times New Roman"/>
                <w:b/>
                <w:bCs/>
                <w:sz w:val="21"/>
                <w:szCs w:val="21"/>
                <w:lang w:val="en-US" w:eastAsia="zh-CN"/>
              </w:rPr>
              <w:t>5</w:t>
            </w:r>
            <w:r>
              <w:rPr>
                <w:rFonts w:hint="default" w:ascii="Times New Roman" w:hAnsi="Times New Roman"/>
                <w:b/>
                <w:bCs/>
                <w:sz w:val="21"/>
                <w:szCs w:val="21"/>
              </w:rPr>
              <w:t xml:space="preserve"> </w:t>
            </w:r>
            <w:r>
              <w:rPr>
                <w:rFonts w:hint="eastAsia" w:ascii="Times New Roman" w:hAnsi="Times New Roman"/>
                <w:b/>
                <w:bCs/>
                <w:sz w:val="21"/>
                <w:szCs w:val="21"/>
                <w:lang w:val="en-US" w:eastAsia="zh-CN"/>
              </w:rPr>
              <w:t>迁建前</w:t>
            </w:r>
            <w:r>
              <w:rPr>
                <w:rFonts w:hint="eastAsia" w:ascii="Times New Roman" w:hAnsi="Times New Roman"/>
                <w:b/>
                <w:bCs/>
                <w:sz w:val="21"/>
                <w:szCs w:val="21"/>
              </w:rPr>
              <w:t>固废产生量</w:t>
            </w:r>
            <w:r>
              <w:rPr>
                <w:rFonts w:hint="eastAsia" w:ascii="Times New Roman" w:hAnsi="Times New Roman"/>
                <w:b/>
                <w:bCs/>
                <w:sz w:val="21"/>
                <w:szCs w:val="21"/>
                <w:lang w:val="en-US" w:eastAsia="zh-CN"/>
              </w:rPr>
              <w:t>及处置措施一览表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549"/>
              <w:gridCol w:w="1796"/>
              <w:gridCol w:w="36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序号</w:t>
                  </w:r>
                </w:p>
              </w:tc>
              <w:tc>
                <w:tcPr>
                  <w:tcW w:w="91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固废</w:t>
                  </w:r>
                </w:p>
              </w:tc>
              <w:tc>
                <w:tcPr>
                  <w:tcW w:w="1060"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sz w:val="21"/>
                      <w:szCs w:val="21"/>
                    </w:rPr>
                  </w:pPr>
                  <w:r>
                    <w:rPr>
                      <w:rFonts w:hint="eastAsia" w:ascii="Times New Roman" w:hAnsi="Times New Roman"/>
                      <w:sz w:val="21"/>
                      <w:szCs w:val="21"/>
                    </w:rPr>
                    <w:t>产生量（t/a）</w:t>
                  </w:r>
                </w:p>
              </w:tc>
              <w:tc>
                <w:tcPr>
                  <w:tcW w:w="2152"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rPr>
                  </w:pPr>
                  <w:r>
                    <w:rPr>
                      <w:rFonts w:hint="eastAsia" w:ascii="Times New Roman" w:hAnsi="Times New Roman"/>
                      <w:color w:val="auto"/>
                      <w:sz w:val="21"/>
                      <w:szCs w:val="21"/>
                    </w:rPr>
                    <w:t>1</w:t>
                  </w:r>
                </w:p>
              </w:tc>
              <w:tc>
                <w:tcPr>
                  <w:tcW w:w="91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rPr>
                  </w:pPr>
                  <w:r>
                    <w:rPr>
                      <w:rFonts w:hint="eastAsia" w:ascii="Times New Roman" w:hAnsi="Times New Roman"/>
                      <w:color w:val="auto"/>
                      <w:sz w:val="21"/>
                      <w:szCs w:val="21"/>
                    </w:rPr>
                    <w:t>污泥</w:t>
                  </w:r>
                </w:p>
              </w:tc>
              <w:tc>
                <w:tcPr>
                  <w:tcW w:w="1060"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150</w:t>
                  </w:r>
                </w:p>
              </w:tc>
              <w:tc>
                <w:tcPr>
                  <w:tcW w:w="2152"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外售机砖厂制砖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rPr>
                  </w:pPr>
                  <w:r>
                    <w:rPr>
                      <w:rFonts w:hint="eastAsia" w:ascii="Times New Roman" w:hAnsi="Times New Roman"/>
                      <w:color w:val="auto"/>
                      <w:sz w:val="21"/>
                      <w:szCs w:val="21"/>
                    </w:rPr>
                    <w:t>2</w:t>
                  </w:r>
                </w:p>
              </w:tc>
              <w:tc>
                <w:tcPr>
                  <w:tcW w:w="91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rPr>
                  </w:pPr>
                  <w:r>
                    <w:rPr>
                      <w:rFonts w:hint="eastAsia" w:ascii="Times New Roman" w:hAnsi="Times New Roman"/>
                      <w:color w:val="auto"/>
                      <w:sz w:val="21"/>
                      <w:szCs w:val="21"/>
                    </w:rPr>
                    <w:t>废机油</w:t>
                  </w:r>
                </w:p>
              </w:tc>
              <w:tc>
                <w:tcPr>
                  <w:tcW w:w="1060"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rPr>
                  </w:pPr>
                  <w:r>
                    <w:rPr>
                      <w:rFonts w:hint="eastAsia" w:ascii="Times New Roman" w:hAnsi="Times New Roman"/>
                      <w:color w:val="auto"/>
                      <w:sz w:val="21"/>
                      <w:szCs w:val="21"/>
                    </w:rPr>
                    <w:t>0.02</w:t>
                  </w:r>
                </w:p>
              </w:tc>
              <w:tc>
                <w:tcPr>
                  <w:tcW w:w="2152"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auto"/>
                      <w:sz w:val="21"/>
                      <w:szCs w:val="21"/>
                    </w:rPr>
                  </w:pPr>
                  <w:r>
                    <w:rPr>
                      <w:rFonts w:hint="eastAsia" w:ascii="Times New Roman" w:hAnsi="Times New Roman" w:cs="Times New Roman"/>
                      <w:color w:val="auto"/>
                      <w:kern w:val="2"/>
                      <w:sz w:val="21"/>
                      <w:szCs w:val="21"/>
                      <w:lang w:val="en-US" w:eastAsia="zh-CN" w:bidi="ar"/>
                    </w:rPr>
                    <w:t>暂存于</w:t>
                  </w:r>
                  <w:r>
                    <w:rPr>
                      <w:rFonts w:hint="eastAsia" w:ascii="Times New Roman" w:hAnsi="Times New Roman" w:eastAsia="宋体" w:cs="Times New Roman"/>
                      <w:color w:val="auto"/>
                      <w:kern w:val="2"/>
                      <w:sz w:val="21"/>
                      <w:szCs w:val="21"/>
                      <w:lang w:val="en-US" w:eastAsia="zh-CN" w:bidi="ar"/>
                    </w:rPr>
                    <w:t>危废间，委托有资质单位处置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rPr>
                  </w:pPr>
                  <w:r>
                    <w:rPr>
                      <w:rFonts w:hint="eastAsia" w:ascii="Times New Roman" w:hAnsi="Times New Roman"/>
                      <w:color w:val="auto"/>
                      <w:sz w:val="21"/>
                      <w:szCs w:val="21"/>
                    </w:rPr>
                    <w:t>3</w:t>
                  </w:r>
                </w:p>
              </w:tc>
              <w:tc>
                <w:tcPr>
                  <w:tcW w:w="914"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olor w:val="auto"/>
                      <w:sz w:val="21"/>
                      <w:szCs w:val="21"/>
                    </w:rPr>
                  </w:pPr>
                  <w:r>
                    <w:rPr>
                      <w:rFonts w:hint="eastAsia" w:ascii="Times New Roman" w:hAnsi="Times New Roman"/>
                      <w:color w:val="auto"/>
                      <w:sz w:val="21"/>
                      <w:szCs w:val="21"/>
                    </w:rPr>
                    <w:t>生活垃圾</w:t>
                  </w:r>
                </w:p>
              </w:tc>
              <w:tc>
                <w:tcPr>
                  <w:tcW w:w="1060"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3</w:t>
                  </w:r>
                </w:p>
              </w:tc>
              <w:tc>
                <w:tcPr>
                  <w:tcW w:w="2152" w:type="pct"/>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olor w:val="auto"/>
                      <w:sz w:val="21"/>
                      <w:szCs w:val="21"/>
                    </w:rPr>
                  </w:pPr>
                  <w:r>
                    <w:rPr>
                      <w:rFonts w:hint="eastAsia" w:ascii="Times New Roman" w:hAnsi="Times New Roman" w:eastAsia="宋体" w:cs="Times New Roman"/>
                      <w:color w:val="auto"/>
                      <w:spacing w:val="-2"/>
                      <w:kern w:val="2"/>
                      <w:sz w:val="21"/>
                      <w:szCs w:val="21"/>
                      <w:lang w:val="en-US" w:eastAsia="zh-CN" w:bidi="ar"/>
                    </w:rPr>
                    <w:t>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tcBorders>
                    <w:tl2br w:val="nil"/>
                    <w:tr2bl w:val="nil"/>
                  </w:tcBorders>
                  <w:vAlign w:val="center"/>
                </w:tcPr>
                <w:p>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eastAsia="宋体" w:cs="Times New Roman"/>
                      <w:color w:val="auto"/>
                      <w:spacing w:val="-2"/>
                      <w:kern w:val="2"/>
                      <w:sz w:val="21"/>
                      <w:szCs w:val="21"/>
                      <w:lang w:val="en-US" w:eastAsia="zh-CN" w:bidi="ar"/>
                    </w:rPr>
                  </w:pPr>
                  <w:r>
                    <w:rPr>
                      <w:rFonts w:hint="eastAsia" w:ascii="Times New Roman" w:hAnsi="Times New Roman" w:cs="Times New Roman"/>
                      <w:color w:val="auto"/>
                      <w:spacing w:val="-2"/>
                      <w:kern w:val="2"/>
                      <w:sz w:val="21"/>
                      <w:szCs w:val="21"/>
                      <w:lang w:val="en-US" w:eastAsia="zh-CN" w:bidi="ar"/>
                    </w:rPr>
                    <w:t>备注：验收时项目刚投入使用，污泥尚不需清理，150吨为理论估算量，与实际产生量存在偏差。</w:t>
                  </w:r>
                </w:p>
              </w:tc>
            </w:tr>
          </w:tbl>
          <w:p>
            <w:pPr>
              <w:pStyle w:val="8"/>
              <w:numPr>
                <w:ilvl w:val="0"/>
                <w:numId w:val="0"/>
              </w:numPr>
              <w:suppressLineNumbers w:val="0"/>
              <w:spacing w:before="120" w:beforeLines="50" w:beforeAutospacing="0" w:after="120" w:afterLines="50" w:afterAutospacing="0" w:line="240" w:lineRule="auto"/>
              <w:ind w:left="0" w:right="0"/>
              <w:rPr>
                <w:rFonts w:hint="default" w:ascii="Times New Roman" w:hAnsi="Times New Roman"/>
                <w:szCs w:val="24"/>
              </w:rPr>
            </w:pPr>
            <w:r>
              <w:rPr>
                <w:rFonts w:hint="eastAsia" w:ascii="Times New Roman" w:hAnsi="Times New Roman"/>
                <w:color w:val="auto"/>
                <w:szCs w:val="24"/>
              </w:rPr>
              <w:t>4.4.2 迁建后排污量</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szCs w:val="32"/>
              </w:rPr>
            </w:pPr>
            <w:r>
              <w:rPr>
                <w:rFonts w:hint="eastAsia" w:ascii="Times New Roman" w:hAnsi="Times New Roman"/>
                <w:bCs/>
                <w:szCs w:val="32"/>
              </w:rPr>
              <w:t>根据本</w:t>
            </w:r>
            <w:r>
              <w:rPr>
                <w:rFonts w:hint="eastAsia" w:ascii="Times New Roman" w:hAnsi="Times New Roman"/>
                <w:bCs/>
                <w:szCs w:val="32"/>
                <w:lang w:val="en-US" w:eastAsia="zh-CN"/>
              </w:rPr>
              <w:t>环评</w:t>
            </w:r>
            <w:r>
              <w:rPr>
                <w:rFonts w:hint="eastAsia" w:ascii="Times New Roman" w:hAnsi="Times New Roman"/>
                <w:bCs/>
                <w:szCs w:val="32"/>
                <w:lang w:eastAsia="zh-CN"/>
              </w:rPr>
              <w:t>“</w:t>
            </w:r>
            <w:r>
              <w:rPr>
                <w:rFonts w:hint="eastAsia" w:ascii="Times New Roman" w:hAnsi="Times New Roman"/>
                <w:bCs/>
                <w:szCs w:val="32"/>
                <w:lang w:val="en-US" w:eastAsia="zh-CN"/>
              </w:rPr>
              <w:t xml:space="preserve">4.2 </w:t>
            </w:r>
            <w:r>
              <w:rPr>
                <w:rFonts w:hint="eastAsia" w:ascii="Times New Roman" w:hAnsi="Times New Roman"/>
                <w:bCs/>
                <w:szCs w:val="32"/>
              </w:rPr>
              <w:t>运营期环境影响和保护措施</w:t>
            </w:r>
            <w:r>
              <w:rPr>
                <w:rFonts w:hint="eastAsia" w:ascii="Times New Roman" w:hAnsi="Times New Roman"/>
                <w:bCs/>
                <w:szCs w:val="32"/>
                <w:lang w:eastAsia="zh-CN"/>
              </w:rPr>
              <w:t>”</w:t>
            </w:r>
            <w:r>
              <w:rPr>
                <w:rFonts w:hint="eastAsia" w:ascii="Times New Roman" w:hAnsi="Times New Roman"/>
                <w:bCs/>
                <w:szCs w:val="32"/>
              </w:rPr>
              <w:t>，</w:t>
            </w:r>
            <w:r>
              <w:rPr>
                <w:rFonts w:hint="eastAsia" w:ascii="Times New Roman" w:hAnsi="Times New Roman"/>
                <w:bCs/>
                <w:szCs w:val="32"/>
                <w:lang w:val="en-US" w:eastAsia="zh-CN"/>
              </w:rPr>
              <w:t>项目</w:t>
            </w:r>
            <w:r>
              <w:rPr>
                <w:rFonts w:hint="eastAsia" w:ascii="Times New Roman" w:hAnsi="Times New Roman"/>
                <w:bCs/>
                <w:szCs w:val="32"/>
              </w:rPr>
              <w:t>迁建后</w:t>
            </w:r>
            <w:r>
              <w:rPr>
                <w:rFonts w:hint="eastAsia" w:ascii="Times New Roman" w:hAnsi="Times New Roman"/>
                <w:bCs/>
                <w:szCs w:val="32"/>
                <w:lang w:val="en-US" w:eastAsia="zh-CN"/>
              </w:rPr>
              <w:t>主要污染物排放量汇总</w:t>
            </w:r>
            <w:r>
              <w:rPr>
                <w:rFonts w:hint="eastAsia" w:ascii="Times New Roman" w:hAnsi="Times New Roman"/>
                <w:bCs/>
                <w:szCs w:val="32"/>
              </w:rPr>
              <w:t>见下表：</w:t>
            </w:r>
          </w:p>
          <w:p>
            <w:pPr>
              <w:pStyle w:val="2"/>
              <w:keepNext w:val="0"/>
              <w:keepLines w:val="0"/>
              <w:suppressLineNumbers w:val="0"/>
              <w:spacing w:before="0" w:beforeAutospacing="0" w:after="0" w:afterAutospacing="0"/>
              <w:ind w:right="0"/>
              <w:rPr>
                <w:rFonts w:hint="eastAsia" w:ascii="Times New Roman" w:hAnsi="Times New Roman"/>
                <w:bCs/>
                <w:szCs w:val="32"/>
              </w:rPr>
            </w:pPr>
          </w:p>
          <w:p>
            <w:pPr>
              <w:pStyle w:val="3"/>
              <w:keepNext w:val="0"/>
              <w:keepLines w:val="0"/>
              <w:suppressLineNumbers w:val="0"/>
              <w:spacing w:beforeAutospacing="0" w:afterAutospacing="0"/>
              <w:ind w:left="0"/>
              <w:rPr>
                <w:rFonts w:hint="eastAsia" w:ascii="Times New Roman" w:hAnsi="Times New Roman"/>
                <w:bCs/>
                <w:szCs w:val="32"/>
              </w:rPr>
            </w:pPr>
          </w:p>
          <w:p>
            <w:pPr>
              <w:keepNext w:val="0"/>
              <w:keepLines w:val="0"/>
              <w:suppressLineNumbers w:val="0"/>
              <w:spacing w:before="0" w:beforeAutospacing="0" w:after="0" w:afterAutospacing="0"/>
              <w:ind w:left="0" w:right="0"/>
              <w:rPr>
                <w:rFonts w:hint="eastAsia" w:ascii="Times New Roman" w:hAnsi="Times New Roman"/>
                <w:bCs/>
                <w:szCs w:val="32"/>
              </w:rPr>
            </w:pPr>
          </w:p>
          <w:p>
            <w:pPr>
              <w:pStyle w:val="2"/>
              <w:keepNext w:val="0"/>
              <w:keepLines w:val="0"/>
              <w:suppressLineNumbers w:val="0"/>
              <w:spacing w:before="0" w:beforeAutospacing="0" w:after="0" w:afterAutospacing="0"/>
              <w:ind w:right="0"/>
              <w:rPr>
                <w:rFonts w:hint="eastAsia" w:ascii="Times New Roman" w:hAnsi="Times New Roman"/>
                <w:bCs/>
                <w:szCs w:val="32"/>
              </w:rPr>
            </w:pPr>
          </w:p>
          <w:p>
            <w:pPr>
              <w:pStyle w:val="3"/>
              <w:keepNext w:val="0"/>
              <w:keepLines w:val="0"/>
              <w:suppressLineNumbers w:val="0"/>
              <w:spacing w:beforeAutospacing="0" w:afterAutospacing="0"/>
              <w:ind w:left="0"/>
              <w:rPr>
                <w:rFonts w:hint="eastAsia"/>
              </w:rPr>
            </w:pPr>
          </w:p>
          <w:p>
            <w:pPr>
              <w:pStyle w:val="3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Autospacing="0" w:line="240" w:lineRule="auto"/>
              <w:ind w:left="0" w:right="0" w:firstLine="420"/>
              <w:textAlignment w:val="auto"/>
              <w:rPr>
                <w:rFonts w:hint="default" w:ascii="Times New Roman" w:hAnsi="Times New Roman"/>
                <w:b/>
                <w:bCs/>
                <w:sz w:val="21"/>
                <w:szCs w:val="21"/>
              </w:rPr>
            </w:pPr>
            <w:r>
              <w:rPr>
                <w:rFonts w:hint="default" w:ascii="Times New Roman" w:hAnsi="Times New Roman"/>
                <w:b/>
                <w:bCs/>
                <w:sz w:val="21"/>
                <w:szCs w:val="21"/>
              </w:rPr>
              <w:t>表4.</w:t>
            </w:r>
            <w:r>
              <w:rPr>
                <w:rFonts w:hint="eastAsia" w:ascii="Times New Roman" w:hAnsi="Times New Roman"/>
                <w:b/>
                <w:bCs/>
                <w:sz w:val="21"/>
                <w:szCs w:val="21"/>
              </w:rPr>
              <w:t>4</w:t>
            </w:r>
            <w:r>
              <w:rPr>
                <w:rFonts w:hint="default" w:ascii="Times New Roman" w:hAnsi="Times New Roman"/>
                <w:b/>
                <w:bCs/>
                <w:sz w:val="21"/>
                <w:szCs w:val="21"/>
              </w:rPr>
              <w:t>-</w:t>
            </w:r>
            <w:r>
              <w:rPr>
                <w:rFonts w:hint="eastAsia" w:ascii="Times New Roman" w:hAnsi="Times New Roman"/>
                <w:b/>
                <w:bCs/>
                <w:sz w:val="21"/>
                <w:szCs w:val="21"/>
                <w:lang w:val="en-US" w:eastAsia="zh-CN"/>
              </w:rPr>
              <w:t>6</w:t>
            </w:r>
            <w:r>
              <w:rPr>
                <w:rFonts w:hint="default" w:ascii="Times New Roman" w:hAnsi="Times New Roman"/>
                <w:b/>
                <w:bCs/>
                <w:sz w:val="21"/>
                <w:szCs w:val="21"/>
              </w:rPr>
              <w:t xml:space="preserve"> </w:t>
            </w:r>
            <w:r>
              <w:rPr>
                <w:rFonts w:hint="eastAsia" w:ascii="Times New Roman" w:hAnsi="Times New Roman"/>
                <w:b/>
                <w:bCs/>
                <w:sz w:val="21"/>
                <w:szCs w:val="21"/>
                <w:lang w:val="en-US" w:eastAsia="zh-CN"/>
              </w:rPr>
              <w:t>项目</w:t>
            </w:r>
            <w:r>
              <w:rPr>
                <w:rFonts w:hint="eastAsia" w:ascii="Times New Roman" w:hAnsi="Times New Roman"/>
                <w:b/>
                <w:bCs/>
                <w:sz w:val="21"/>
                <w:szCs w:val="21"/>
              </w:rPr>
              <w:t>迁建后排污量结果汇总</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2604"/>
              <w:gridCol w:w="3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类别</w:t>
                  </w: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污染物</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rPr>
                    <w:t>排放量</w:t>
                  </w:r>
                  <w:r>
                    <w:rPr>
                      <w:rFonts w:hint="eastAsia" w:ascii="Times New Roman" w:hAnsi="Times New Roman"/>
                      <w:sz w:val="21"/>
                      <w:szCs w:val="21"/>
                      <w:highlight w:val="none"/>
                      <w:lang w:val="en-US" w:eastAsia="zh-CN"/>
                    </w:rPr>
                    <w:t>/固体废物产生量</w:t>
                  </w:r>
                  <w:r>
                    <w:rPr>
                      <w:rFonts w:hint="eastAsia" w:ascii="Times New Roman" w:hAnsi="Times New Roman"/>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废气</w:t>
                  </w: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颗粒物</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4.86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废水</w:t>
                  </w: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生产废水</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生活污水</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固废</w:t>
                  </w: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rPr>
                    <w:t>污泥</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废滤布</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废机油</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p>
              </w:tc>
              <w:tc>
                <w:tcPr>
                  <w:tcW w:w="15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rPr>
                  </w:pPr>
                  <w:r>
                    <w:rPr>
                      <w:rFonts w:hint="eastAsia" w:ascii="Times New Roman" w:hAnsi="Times New Roman"/>
                      <w:sz w:val="21"/>
                      <w:szCs w:val="21"/>
                    </w:rPr>
                    <w:t>生活垃圾</w:t>
                  </w:r>
                </w:p>
              </w:tc>
              <w:tc>
                <w:tcPr>
                  <w:tcW w:w="20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rPr>
                    <w:t>0.72</w:t>
                  </w:r>
                </w:p>
              </w:tc>
            </w:tr>
          </w:tbl>
          <w:p>
            <w:pPr>
              <w:pStyle w:val="8"/>
              <w:numPr>
                <w:ilvl w:val="0"/>
                <w:numId w:val="0"/>
              </w:numPr>
              <w:suppressLineNumbers w:val="0"/>
              <w:spacing w:before="120" w:beforeLines="50" w:beforeAutospacing="0" w:after="120" w:afterLines="50" w:afterAutospacing="0" w:line="240" w:lineRule="auto"/>
              <w:ind w:left="0" w:right="0"/>
              <w:rPr>
                <w:rFonts w:hint="default" w:ascii="Times New Roman" w:hAnsi="Times New Roman"/>
                <w:szCs w:val="24"/>
              </w:rPr>
            </w:pPr>
            <w:r>
              <w:rPr>
                <w:rFonts w:hint="eastAsia" w:ascii="Times New Roman" w:hAnsi="Times New Roman"/>
                <w:szCs w:val="24"/>
              </w:rPr>
              <w:t>4.4.3 迁建前后污染物排放“三本帐”</w:t>
            </w:r>
          </w:p>
          <w:p>
            <w:pPr>
              <w:keepNext w:val="0"/>
              <w:keepLines w:val="0"/>
              <w:suppressLineNumbers w:val="0"/>
              <w:spacing w:before="0" w:beforeAutospacing="0" w:after="0" w:afterAutospacing="0" w:line="460" w:lineRule="atLeast"/>
              <w:ind w:left="0" w:right="0" w:firstLine="480" w:firstLineChars="200"/>
              <w:rPr>
                <w:rFonts w:hint="eastAsia" w:ascii="Times New Roman" w:hAnsi="Times New Roman"/>
                <w:bCs/>
                <w:szCs w:val="32"/>
              </w:rPr>
            </w:pPr>
            <w:r>
              <w:rPr>
                <w:rFonts w:hint="eastAsia" w:ascii="Times New Roman" w:hAnsi="Times New Roman"/>
                <w:bCs/>
                <w:szCs w:val="32"/>
              </w:rPr>
              <w:t>本项目实施后全厂主要相关污染物排放“三本账”核算结果详见下表。</w:t>
            </w:r>
          </w:p>
          <w:p>
            <w:pPr>
              <w:keepNext w:val="0"/>
              <w:keepLines w:val="0"/>
              <w:widowControl/>
              <w:suppressLineNumbers w:val="0"/>
              <w:spacing w:before="0" w:beforeAutospacing="0" w:after="0" w:afterAutospacing="0" w:line="440" w:lineRule="exact"/>
              <w:ind w:left="0" w:right="0"/>
              <w:jc w:val="center"/>
              <w:rPr>
                <w:rFonts w:hint="default" w:ascii="Times New Roman" w:hAnsi="Times New Roman" w:eastAsia="黑体"/>
                <w:b/>
                <w:bCs/>
                <w:kern w:val="0"/>
                <w:sz w:val="21"/>
                <w:szCs w:val="21"/>
              </w:rPr>
            </w:pPr>
            <w:r>
              <w:rPr>
                <w:rFonts w:hint="default" w:ascii="Times New Roman" w:hAnsi="Times New Roman" w:eastAsia="黑体"/>
                <w:b/>
                <w:bCs/>
                <w:kern w:val="0"/>
                <w:sz w:val="21"/>
                <w:szCs w:val="21"/>
              </w:rPr>
              <w:t>表4.</w:t>
            </w:r>
            <w:r>
              <w:rPr>
                <w:rFonts w:hint="eastAsia" w:ascii="Times New Roman" w:hAnsi="Times New Roman" w:eastAsia="黑体"/>
                <w:b/>
                <w:bCs/>
                <w:kern w:val="0"/>
                <w:sz w:val="21"/>
                <w:szCs w:val="21"/>
              </w:rPr>
              <w:t>4-</w:t>
            </w:r>
            <w:r>
              <w:rPr>
                <w:rFonts w:hint="eastAsia" w:ascii="Times New Roman" w:hAnsi="Times New Roman" w:eastAsia="黑体"/>
                <w:b/>
                <w:bCs/>
                <w:kern w:val="0"/>
                <w:sz w:val="21"/>
                <w:szCs w:val="21"/>
                <w:lang w:val="en-US" w:eastAsia="zh-CN"/>
              </w:rPr>
              <w:t>7</w:t>
            </w:r>
            <w:r>
              <w:rPr>
                <w:rFonts w:hint="default" w:ascii="Times New Roman" w:hAnsi="Times New Roman" w:eastAsia="黑体"/>
                <w:b/>
                <w:bCs/>
                <w:kern w:val="0"/>
                <w:sz w:val="21"/>
                <w:szCs w:val="21"/>
              </w:rPr>
              <w:t xml:space="preserve"> 本项目</w:t>
            </w:r>
            <w:r>
              <w:rPr>
                <w:rFonts w:hint="eastAsia" w:ascii="Times New Roman" w:hAnsi="Times New Roman" w:eastAsia="黑体"/>
                <w:b/>
                <w:bCs/>
                <w:kern w:val="0"/>
                <w:sz w:val="21"/>
                <w:szCs w:val="21"/>
                <w:lang w:val="en-US" w:eastAsia="zh-CN"/>
              </w:rPr>
              <w:t>迁建</w:t>
            </w:r>
            <w:r>
              <w:rPr>
                <w:rFonts w:hint="default" w:ascii="Times New Roman" w:hAnsi="Times New Roman" w:eastAsia="黑体"/>
                <w:b/>
                <w:bCs/>
                <w:kern w:val="0"/>
                <w:sz w:val="21"/>
                <w:szCs w:val="21"/>
              </w:rPr>
              <w:t>后全厂污染物排放“三本账”核算 单位：t/a</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308"/>
              <w:gridCol w:w="1435"/>
              <w:gridCol w:w="1262"/>
              <w:gridCol w:w="1401"/>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类别</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污染物</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color w:val="auto"/>
                      <w:sz w:val="18"/>
                      <w:szCs w:val="18"/>
                    </w:rPr>
                  </w:pPr>
                  <w:r>
                    <w:rPr>
                      <w:rFonts w:hint="eastAsia" w:ascii="Times New Roman" w:hAnsi="Times New Roman"/>
                      <w:color w:val="auto"/>
                      <w:sz w:val="18"/>
                      <w:szCs w:val="18"/>
                    </w:rPr>
                    <w:t>迁建前</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eastAsia="zh-CN"/>
                    </w:rPr>
                    <w:t>（</w:t>
                  </w:r>
                  <w:r>
                    <w:rPr>
                      <w:rFonts w:hint="eastAsia" w:ascii="Times New Roman" w:hAnsi="Times New Roman"/>
                      <w:color w:val="auto"/>
                      <w:sz w:val="18"/>
                      <w:szCs w:val="18"/>
                      <w:lang w:val="en-US" w:eastAsia="zh-CN"/>
                    </w:rPr>
                    <w:t>环评</w:t>
                  </w:r>
                  <w:r>
                    <w:rPr>
                      <w:rFonts w:hint="eastAsia" w:ascii="Times New Roman" w:hAnsi="Times New Roman"/>
                      <w:color w:val="auto"/>
                      <w:sz w:val="18"/>
                      <w:szCs w:val="18"/>
                      <w:lang w:eastAsia="zh-CN"/>
                    </w:rPr>
                    <w:t>）</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迁建后</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迁建前</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（验收）</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增减量</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lang w:eastAsia="zh-CN"/>
                    </w:rPr>
                  </w:pPr>
                  <w:r>
                    <w:rPr>
                      <w:rFonts w:hint="eastAsia" w:ascii="Times New Roman" w:hAnsi="Times New Roman"/>
                      <w:color w:val="auto"/>
                      <w:sz w:val="18"/>
                      <w:szCs w:val="18"/>
                      <w:highlight w:val="none"/>
                      <w:lang w:eastAsia="zh-CN"/>
                    </w:rPr>
                    <w:t>（</w:t>
                  </w:r>
                  <w:r>
                    <w:rPr>
                      <w:rFonts w:hint="eastAsia" w:ascii="Times New Roman" w:hAnsi="Times New Roman"/>
                      <w:color w:val="auto"/>
                      <w:sz w:val="18"/>
                      <w:szCs w:val="18"/>
                      <w:highlight w:val="none"/>
                      <w:lang w:val="en-US" w:eastAsia="zh-CN"/>
                    </w:rPr>
                    <w:t>对比环评</w:t>
                  </w:r>
                  <w:r>
                    <w:rPr>
                      <w:rFonts w:hint="eastAsia" w:ascii="Times New Roman" w:hAnsi="Times New Roman"/>
                      <w:color w:val="auto"/>
                      <w:sz w:val="18"/>
                      <w:szCs w:val="18"/>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废气</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highlight w:val="none"/>
                    </w:rPr>
                  </w:pPr>
                  <w:r>
                    <w:rPr>
                      <w:rFonts w:hint="eastAsia" w:ascii="Times New Roman" w:hAnsi="Times New Roman"/>
                      <w:color w:val="auto"/>
                      <w:sz w:val="18"/>
                      <w:szCs w:val="18"/>
                      <w:highlight w:val="none"/>
                    </w:rPr>
                    <w:t>颗粒物</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color w:val="auto"/>
                      <w:sz w:val="18"/>
                      <w:szCs w:val="18"/>
                      <w:highlight w:val="none"/>
                      <w:lang w:eastAsia="zh-CN"/>
                    </w:rPr>
                    <w:t>9.24</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color w:val="auto"/>
                      <w:sz w:val="18"/>
                      <w:szCs w:val="18"/>
                      <w:highlight w:val="none"/>
                      <w:lang w:eastAsia="zh-CN"/>
                    </w:rPr>
                    <w:t>4.86</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highlight w:val="none"/>
                      <w:lang w:val="en-US" w:eastAsia="zh-CN"/>
                    </w:rPr>
                  </w:pPr>
                  <w:r>
                    <w:rPr>
                      <w:rFonts w:hint="eastAsia" w:ascii="Times New Roman" w:hAnsi="Times New Roman"/>
                      <w:color w:val="auto"/>
                      <w:sz w:val="18"/>
                      <w:szCs w:val="18"/>
                      <w:highlight w:val="none"/>
                      <w:lang w:val="en-US" w:eastAsia="zh-CN"/>
                    </w:rPr>
                    <w:t>/</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color w:val="auto"/>
                      <w:sz w:val="18"/>
                      <w:szCs w:val="18"/>
                      <w:highlight w:val="none"/>
                      <w:lang w:eastAsia="zh-CN"/>
                    </w:rPr>
                    <w:t>-4.38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废水</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生产废水</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highlight w:val="none"/>
                    </w:rPr>
                  </w:pPr>
                  <w:r>
                    <w:rPr>
                      <w:rFonts w:hint="eastAsia" w:ascii="Times New Roman" w:hAnsi="Times New Roman"/>
                      <w:color w:val="auto"/>
                      <w:sz w:val="18"/>
                      <w:szCs w:val="18"/>
                      <w:highlight w:val="none"/>
                    </w:rPr>
                    <w:t>生活污水</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highlight w:val="none"/>
                    </w:rPr>
                  </w:pPr>
                  <w:r>
                    <w:rPr>
                      <w:rFonts w:hint="eastAsia" w:ascii="Times New Roman" w:hAnsi="Times New Roman"/>
                      <w:color w:val="auto"/>
                      <w:sz w:val="18"/>
                      <w:szCs w:val="18"/>
                      <w:highlight w:val="none"/>
                    </w:rPr>
                    <w:t>306</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highlight w:val="none"/>
                    </w:rPr>
                  </w:pPr>
                  <w:r>
                    <w:rPr>
                      <w:rFonts w:hint="eastAsia" w:ascii="Times New Roman" w:hAnsi="Times New Roman"/>
                      <w:color w:val="auto"/>
                      <w:sz w:val="18"/>
                      <w:szCs w:val="18"/>
                      <w:highlight w:val="none"/>
                    </w:rPr>
                    <w:t>108</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460</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color w:val="auto"/>
                      <w:sz w:val="18"/>
                      <w:szCs w:val="18"/>
                      <w:highlight w:val="none"/>
                      <w:lang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固废</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污泥</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5000</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2000</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150</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废滤布</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0.2</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废机油</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0.02</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0.02</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0.02</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生活垃圾</w:t>
                  </w:r>
                </w:p>
              </w:tc>
              <w:tc>
                <w:tcPr>
                  <w:tcW w:w="8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2.4</w:t>
                  </w:r>
                </w:p>
              </w:tc>
              <w:tc>
                <w:tcPr>
                  <w:tcW w:w="74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0.72</w:t>
                  </w:r>
                </w:p>
              </w:tc>
              <w:tc>
                <w:tcPr>
                  <w:tcW w:w="8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3</w:t>
                  </w:r>
                </w:p>
              </w:tc>
              <w:tc>
                <w:tcPr>
                  <w:tcW w:w="100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left"/>
                    <w:textAlignment w:val="auto"/>
                    <w:rPr>
                      <w:rFonts w:hint="eastAsia" w:ascii="Times New Roman" w:hAnsi="Times New Roman"/>
                      <w:color w:val="auto"/>
                      <w:sz w:val="18"/>
                      <w:szCs w:val="18"/>
                    </w:rPr>
                  </w:pPr>
                  <w:r>
                    <w:rPr>
                      <w:rFonts w:hint="eastAsia" w:ascii="Times New Roman" w:hAnsi="Times New Roman"/>
                      <w:color w:val="auto"/>
                      <w:sz w:val="18"/>
                      <w:szCs w:val="18"/>
                    </w:rPr>
                    <w:t>备注：原环评核算粉尘排放量偏小，迁建前粉尘排放量采用本环评重新核算值</w:t>
                  </w:r>
                  <w:r>
                    <w:rPr>
                      <w:rFonts w:hint="eastAsia" w:ascii="Times New Roman" w:hAnsi="Times New Roman"/>
                      <w:color w:val="auto"/>
                      <w:sz w:val="18"/>
                      <w:szCs w:val="18"/>
                      <w:lang w:eastAsia="zh-CN"/>
                    </w:rPr>
                    <w:t>；</w:t>
                  </w:r>
                  <w:r>
                    <w:rPr>
                      <w:rFonts w:hint="eastAsia" w:ascii="Times New Roman" w:hAnsi="Times New Roman"/>
                      <w:color w:val="auto"/>
                      <w:sz w:val="18"/>
                      <w:szCs w:val="18"/>
                      <w:lang w:val="en-US" w:eastAsia="zh-CN"/>
                    </w:rPr>
                    <w:t>废水排放量及固废产生量引用原环评数据</w:t>
                  </w:r>
                  <w:r>
                    <w:rPr>
                      <w:rFonts w:hint="eastAsia" w:ascii="Times New Roman" w:hAnsi="Times New Roman"/>
                      <w:color w:val="auto"/>
                      <w:sz w:val="18"/>
                      <w:szCs w:val="18"/>
                    </w:rPr>
                    <w:t>。</w:t>
                  </w:r>
                </w:p>
              </w:tc>
            </w:tr>
          </w:tbl>
          <w:p>
            <w:pPr>
              <w:keepNext w:val="0"/>
              <w:keepLines w:val="0"/>
              <w:widowControl/>
              <w:suppressLineNumbers w:val="0"/>
              <w:spacing w:before="0" w:beforeAutospacing="0" w:after="0" w:afterAutospacing="0" w:line="460" w:lineRule="atLeast"/>
              <w:ind w:left="0" w:right="0" w:firstLine="480" w:firstLineChars="200"/>
              <w:jc w:val="left"/>
              <w:rPr>
                <w:rFonts w:hint="default" w:ascii="Times New Roman" w:hAnsi="Times New Roman"/>
                <w:bCs/>
                <w:szCs w:val="32"/>
              </w:rPr>
            </w:pPr>
            <w:r>
              <w:rPr>
                <w:rFonts w:hint="eastAsia" w:ascii="Times New Roman" w:hAnsi="Times New Roman"/>
                <w:bCs/>
                <w:szCs w:val="32"/>
              </w:rPr>
              <w:t>迁建后</w:t>
            </w:r>
            <w:r>
              <w:rPr>
                <w:rFonts w:hint="eastAsia" w:ascii="Times New Roman" w:hAnsi="Times New Roman"/>
                <w:bCs/>
                <w:szCs w:val="32"/>
                <w:lang w:val="en-US" w:eastAsia="zh-CN"/>
              </w:rPr>
              <w:t>对比环评</w:t>
            </w:r>
            <w:r>
              <w:rPr>
                <w:rFonts w:hint="eastAsia" w:ascii="Times New Roman" w:hAnsi="Times New Roman"/>
                <w:bCs/>
                <w:szCs w:val="32"/>
              </w:rPr>
              <w:t>主要污染物排放量减小的原因为：1）迁建后拟采取的粉尘治理措施比迁建前有所提升，因此颗粒物的排放量有所减少；2）根据迁建前企业生产统计情况，实际污泥产生量</w:t>
            </w:r>
            <w:r>
              <w:rPr>
                <w:rFonts w:hint="eastAsia" w:ascii="Times New Roman" w:hAnsi="Times New Roman"/>
                <w:bCs/>
                <w:szCs w:val="32"/>
                <w:lang w:val="en-US" w:eastAsia="zh-CN"/>
              </w:rPr>
              <w:t>较少</w:t>
            </w:r>
            <w:r>
              <w:rPr>
                <w:rFonts w:hint="eastAsia" w:ascii="Times New Roman" w:hAnsi="Times New Roman"/>
                <w:bCs/>
                <w:szCs w:val="32"/>
                <w:lang w:eastAsia="zh-CN"/>
              </w:rPr>
              <w:t>，</w:t>
            </w:r>
            <w:r>
              <w:rPr>
                <w:rFonts w:hint="eastAsia" w:ascii="Times New Roman" w:hAnsi="Times New Roman"/>
                <w:bCs/>
                <w:szCs w:val="32"/>
                <w:lang w:val="en-US" w:eastAsia="zh-CN"/>
              </w:rPr>
              <w:t>原环评核算污泥产生量偏大</w:t>
            </w:r>
            <w:r>
              <w:rPr>
                <w:rFonts w:hint="eastAsia" w:ascii="Times New Roman" w:hAnsi="Times New Roman"/>
                <w:bCs/>
                <w:szCs w:val="32"/>
              </w:rPr>
              <w:t>；3）原环评员工</w:t>
            </w:r>
            <w:r>
              <w:rPr>
                <w:rFonts w:hint="eastAsia" w:ascii="Times New Roman" w:hAnsi="Times New Roman"/>
                <w:bCs/>
                <w:szCs w:val="32"/>
                <w:lang w:val="en-US" w:eastAsia="zh-CN"/>
              </w:rPr>
              <w:t>均</w:t>
            </w:r>
            <w:r>
              <w:rPr>
                <w:rFonts w:hint="eastAsia" w:ascii="Times New Roman" w:hAnsi="Times New Roman"/>
                <w:bCs/>
                <w:szCs w:val="32"/>
              </w:rPr>
              <w:t>住厂，项目</w:t>
            </w:r>
            <w:r>
              <w:rPr>
                <w:rFonts w:hint="eastAsia" w:ascii="Times New Roman" w:hAnsi="Times New Roman"/>
                <w:bCs/>
                <w:szCs w:val="32"/>
                <w:lang w:val="en-US" w:eastAsia="zh-CN"/>
              </w:rPr>
              <w:t>迁建后</w:t>
            </w:r>
            <w:r>
              <w:rPr>
                <w:rFonts w:hint="eastAsia" w:ascii="Times New Roman" w:hAnsi="Times New Roman"/>
                <w:bCs/>
                <w:szCs w:val="32"/>
              </w:rPr>
              <w:t>员工</w:t>
            </w:r>
            <w:r>
              <w:rPr>
                <w:rFonts w:hint="eastAsia" w:ascii="Times New Roman" w:hAnsi="Times New Roman"/>
                <w:bCs/>
                <w:szCs w:val="32"/>
                <w:lang w:val="en-US" w:eastAsia="zh-CN"/>
              </w:rPr>
              <w:t>均</w:t>
            </w:r>
            <w:r>
              <w:rPr>
                <w:rFonts w:hint="eastAsia" w:ascii="Times New Roman" w:hAnsi="Times New Roman"/>
                <w:bCs/>
                <w:szCs w:val="32"/>
              </w:rPr>
              <w:t>不住厂，因此</w:t>
            </w:r>
            <w:r>
              <w:rPr>
                <w:rFonts w:hint="eastAsia" w:ascii="Times New Roman" w:hAnsi="Times New Roman"/>
                <w:bCs/>
                <w:szCs w:val="32"/>
                <w:lang w:val="en-US" w:eastAsia="zh-CN"/>
              </w:rPr>
              <w:t>迁建后</w:t>
            </w:r>
            <w:r>
              <w:rPr>
                <w:rFonts w:hint="eastAsia" w:ascii="Times New Roman" w:hAnsi="Times New Roman"/>
                <w:bCs/>
                <w:szCs w:val="32"/>
              </w:rPr>
              <w:t>生活污水</w:t>
            </w:r>
            <w:r>
              <w:rPr>
                <w:rFonts w:hint="eastAsia" w:ascii="Times New Roman" w:hAnsi="Times New Roman"/>
                <w:bCs/>
                <w:szCs w:val="32"/>
                <w:lang w:val="en-US" w:eastAsia="zh-CN"/>
              </w:rPr>
              <w:t>排放量</w:t>
            </w:r>
            <w:r>
              <w:rPr>
                <w:rFonts w:hint="eastAsia" w:ascii="Times New Roman" w:hAnsi="Times New Roman"/>
                <w:bCs/>
                <w:szCs w:val="32"/>
              </w:rPr>
              <w:t>及生活垃圾</w:t>
            </w:r>
            <w:r>
              <w:rPr>
                <w:rFonts w:hint="eastAsia" w:ascii="Times New Roman" w:hAnsi="Times New Roman"/>
                <w:bCs/>
                <w:szCs w:val="32"/>
                <w:lang w:val="en-US" w:eastAsia="zh-CN"/>
              </w:rPr>
              <w:t>产生量均有所</w:t>
            </w:r>
            <w:r>
              <w:rPr>
                <w:rFonts w:hint="eastAsia" w:ascii="Times New Roman" w:hAnsi="Times New Roman"/>
                <w:bCs/>
                <w:szCs w:val="32"/>
              </w:rPr>
              <w:t>减少。</w:t>
            </w:r>
          </w:p>
          <w:p>
            <w:pPr>
              <w:pStyle w:val="7"/>
              <w:suppressLineNumbers w:val="0"/>
              <w:spacing w:before="140" w:beforeAutospacing="0" w:after="140" w:afterAutospacing="0" w:line="440" w:lineRule="exact"/>
              <w:ind w:left="0" w:right="0"/>
              <w:rPr>
                <w:rFonts w:hint="default" w:ascii="Times New Roman" w:hAnsi="Times New Roman"/>
                <w:sz w:val="28"/>
                <w:szCs w:val="28"/>
              </w:rPr>
            </w:pPr>
            <w:r>
              <w:rPr>
                <w:rFonts w:hint="default" w:ascii="Times New Roman" w:hAnsi="Times New Roman"/>
                <w:sz w:val="28"/>
                <w:szCs w:val="28"/>
              </w:rPr>
              <w:t>4.</w:t>
            </w:r>
            <w:r>
              <w:rPr>
                <w:rFonts w:hint="eastAsia" w:ascii="Times New Roman" w:hAnsi="Times New Roman"/>
                <w:sz w:val="28"/>
                <w:szCs w:val="28"/>
              </w:rPr>
              <w:t>5</w:t>
            </w:r>
            <w:r>
              <w:rPr>
                <w:rFonts w:hint="default" w:ascii="Times New Roman" w:hAnsi="Times New Roman"/>
                <w:sz w:val="28"/>
                <w:szCs w:val="28"/>
              </w:rPr>
              <w:t>自行监测</w:t>
            </w:r>
          </w:p>
          <w:p>
            <w:pPr>
              <w:pStyle w:val="3"/>
              <w:keepNext w:val="0"/>
              <w:keepLines w:val="0"/>
              <w:suppressLineNumbers w:val="0"/>
              <w:spacing w:beforeAutospacing="0" w:after="0" w:afterAutospacing="0" w:line="440" w:lineRule="exact"/>
              <w:ind w:left="0" w:firstLine="480" w:firstLineChars="200"/>
              <w:rPr>
                <w:rFonts w:hint="eastAsia"/>
              </w:rPr>
            </w:pPr>
            <w:r>
              <w:rPr>
                <w:rFonts w:hint="eastAsia"/>
              </w:rPr>
              <w:t>对照《固定污染源排污许可分类管理名录（2019年版）》相关规定，项目主要从事矿渣石料破碎的加工，其排污许可类别均属于登记管理类别。</w:t>
            </w:r>
            <w:r>
              <w:rPr>
                <w:rFonts w:hint="default"/>
                <w:szCs w:val="22"/>
              </w:rPr>
              <w:t>本项目排污许可属于登记管理，可不制定相关监测计划要求。</w:t>
            </w:r>
            <w:r>
              <w:rPr>
                <w:rFonts w:hint="eastAsia"/>
                <w:szCs w:val="22"/>
              </w:rPr>
              <w:t>但</w:t>
            </w:r>
            <w:r>
              <w:rPr>
                <w:rFonts w:hint="default"/>
                <w:szCs w:val="22"/>
              </w:rPr>
              <w:t>从环境保护考虑，</w:t>
            </w:r>
            <w:r>
              <w:rPr>
                <w:rFonts w:hint="eastAsia"/>
                <w:szCs w:val="22"/>
              </w:rPr>
              <w:t>根据最新环保要求，</w:t>
            </w:r>
            <w:r>
              <w:rPr>
                <w:rFonts w:hint="default"/>
                <w:szCs w:val="22"/>
              </w:rPr>
              <w:t>对</w:t>
            </w:r>
            <w:r>
              <w:rPr>
                <w:rFonts w:hint="eastAsia"/>
                <w:szCs w:val="22"/>
              </w:rPr>
              <w:t>本工程</w:t>
            </w:r>
            <w:r>
              <w:rPr>
                <w:rFonts w:hint="default"/>
                <w:szCs w:val="22"/>
              </w:rPr>
              <w:t>污染源提出环境监测计划，</w:t>
            </w:r>
            <w:r>
              <w:rPr>
                <w:rFonts w:hint="eastAsia"/>
                <w:szCs w:val="22"/>
              </w:rPr>
              <w:t>委托有资质单位进行监测</w:t>
            </w:r>
            <w:r>
              <w:rPr>
                <w:rFonts w:hint="eastAsia"/>
              </w:rPr>
              <w:t>。</w:t>
            </w:r>
          </w:p>
          <w:p>
            <w:pPr>
              <w:keepNext w:val="0"/>
              <w:keepLines w:val="0"/>
              <w:suppressLineNumbers w:val="0"/>
              <w:spacing w:before="0" w:beforeAutospacing="0" w:after="0" w:afterAutospacing="0"/>
              <w:ind w:left="0" w:right="0"/>
              <w:rPr>
                <w:rFonts w:hint="eastAsia"/>
              </w:rPr>
            </w:pPr>
          </w:p>
          <w:p>
            <w:pPr>
              <w:pStyle w:val="2"/>
              <w:keepNext w:val="0"/>
              <w:keepLines w:val="0"/>
              <w:suppressLineNumbers w:val="0"/>
              <w:spacing w:before="0" w:beforeAutospacing="0" w:after="0" w:afterAutospacing="0"/>
              <w:ind w:right="0"/>
              <w:rPr>
                <w:rFonts w:hint="default"/>
              </w:rPr>
            </w:pPr>
          </w:p>
          <w:p>
            <w:pPr>
              <w:keepNext w:val="0"/>
              <w:keepLines w:val="0"/>
              <w:widowControl/>
              <w:suppressLineNumbers w:val="0"/>
              <w:spacing w:before="0" w:beforeAutospacing="0" w:after="0" w:afterAutospacing="0" w:line="440" w:lineRule="exact"/>
              <w:ind w:left="0" w:right="0"/>
              <w:jc w:val="center"/>
              <w:rPr>
                <w:rFonts w:hint="default" w:ascii="黑体" w:hAnsi="黑体" w:eastAsia="黑体" w:cs="黑体"/>
                <w:b/>
                <w:bCs/>
                <w:kern w:val="0"/>
                <w:sz w:val="21"/>
                <w:szCs w:val="21"/>
              </w:rPr>
            </w:pPr>
            <w:r>
              <w:rPr>
                <w:rFonts w:hint="eastAsia" w:ascii="黑体" w:hAnsi="黑体" w:eastAsia="黑体" w:cs="黑体"/>
                <w:b/>
                <w:bCs/>
                <w:kern w:val="0"/>
                <w:sz w:val="21"/>
                <w:szCs w:val="21"/>
              </w:rPr>
              <w:t>表4</w:t>
            </w:r>
            <w:r>
              <w:rPr>
                <w:rFonts w:hint="eastAsia" w:ascii="黑体" w:hAnsi="黑体" w:eastAsia="黑体" w:cs="黑体"/>
                <w:b/>
                <w:bCs/>
                <w:kern w:val="0"/>
                <w:sz w:val="21"/>
                <w:szCs w:val="21"/>
                <w:lang w:val="en-US" w:eastAsia="zh-CN"/>
              </w:rPr>
              <w:t>.5</w:t>
            </w:r>
            <w:r>
              <w:rPr>
                <w:rFonts w:hint="default" w:ascii="黑体" w:hAnsi="黑体" w:eastAsia="黑体" w:cs="黑体"/>
                <w:b/>
                <w:bCs/>
                <w:kern w:val="0"/>
                <w:sz w:val="21"/>
                <w:szCs w:val="21"/>
              </w:rPr>
              <w:t>-</w:t>
            </w:r>
            <w:r>
              <w:rPr>
                <w:rFonts w:hint="eastAsia" w:ascii="黑体" w:hAnsi="黑体" w:eastAsia="黑体" w:cs="黑体"/>
                <w:b/>
                <w:bCs/>
                <w:kern w:val="0"/>
                <w:sz w:val="21"/>
                <w:szCs w:val="21"/>
                <w:lang w:val="en-US" w:eastAsia="zh-CN"/>
              </w:rPr>
              <w:t>1</w:t>
            </w:r>
            <w:r>
              <w:rPr>
                <w:rFonts w:hint="default" w:ascii="黑体" w:hAnsi="黑体" w:eastAsia="黑体" w:cs="黑体"/>
                <w:b/>
                <w:bCs/>
                <w:kern w:val="0"/>
                <w:sz w:val="21"/>
                <w:szCs w:val="21"/>
              </w:rPr>
              <w:t xml:space="preserve"> </w:t>
            </w:r>
            <w:r>
              <w:rPr>
                <w:rFonts w:hint="eastAsia" w:ascii="黑体" w:hAnsi="黑体" w:eastAsia="黑体" w:cs="黑体"/>
                <w:b/>
                <w:bCs/>
                <w:kern w:val="0"/>
                <w:sz w:val="21"/>
                <w:szCs w:val="21"/>
              </w:rPr>
              <w:t>项目自行监测一览表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5"/>
              <w:gridCol w:w="1030"/>
              <w:gridCol w:w="1228"/>
              <w:gridCol w:w="960"/>
              <w:gridCol w:w="992"/>
              <w:gridCol w:w="984"/>
              <w:gridCol w:w="1664"/>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2" w:hRule="atLeast"/>
                <w:jc w:val="center"/>
              </w:trPr>
              <w:tc>
                <w:tcPr>
                  <w:tcW w:w="428" w:type="pct"/>
                  <w:tcBorders>
                    <w:top w:val="single" w:color="auto" w:sz="12"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污染源类别</w:t>
                  </w:r>
                </w:p>
              </w:tc>
              <w:tc>
                <w:tcPr>
                  <w:tcW w:w="608"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排放口编号</w:t>
                  </w:r>
                  <w:r>
                    <w:rPr>
                      <w:rFonts w:hint="eastAsia" w:ascii="宋体" w:hAnsi="宋体" w:cs="宋体"/>
                      <w:sz w:val="18"/>
                      <w:szCs w:val="18"/>
                    </w:rPr>
                    <w:t>/名称</w:t>
                  </w:r>
                </w:p>
              </w:tc>
              <w:tc>
                <w:tcPr>
                  <w:tcW w:w="724"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监测内容</w:t>
                  </w:r>
                </w:p>
              </w:tc>
              <w:tc>
                <w:tcPr>
                  <w:tcW w:w="566"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eastAsia" w:ascii="宋体" w:hAnsi="宋体" w:cs="宋体"/>
                      <w:sz w:val="18"/>
                      <w:szCs w:val="18"/>
                    </w:rPr>
                    <w:t>监测点位</w:t>
                  </w:r>
                </w:p>
              </w:tc>
              <w:tc>
                <w:tcPr>
                  <w:tcW w:w="585" w:type="pct"/>
                  <w:tcBorders>
                    <w:top w:val="single" w:color="auto" w:sz="12" w:space="0"/>
                    <w:left w:val="single" w:color="auto" w:sz="4" w:space="0"/>
                    <w:bottom w:val="single" w:color="auto" w:sz="4" w:space="0"/>
                    <w:right w:val="single" w:color="auto" w:sz="4" w:space="0"/>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监测项目</w:t>
                  </w:r>
                </w:p>
              </w:tc>
              <w:tc>
                <w:tcPr>
                  <w:tcW w:w="580"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监测设施</w:t>
                  </w:r>
                </w:p>
              </w:tc>
              <w:tc>
                <w:tcPr>
                  <w:tcW w:w="981" w:type="pct"/>
                  <w:tcBorders>
                    <w:top w:val="single" w:color="auto" w:sz="12" w:space="0"/>
                    <w:left w:val="single" w:color="auto" w:sz="4" w:space="0"/>
                    <w:bottom w:val="single" w:color="auto" w:sz="4" w:space="0"/>
                    <w:right w:val="single" w:color="auto" w:sz="4" w:space="0"/>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监测采样频次</w:t>
                  </w:r>
                </w:p>
              </w:tc>
              <w:tc>
                <w:tcPr>
                  <w:tcW w:w="524" w:type="pct"/>
                  <w:tcBorders>
                    <w:top w:val="single" w:color="auto" w:sz="12" w:space="0"/>
                    <w:left w:val="single" w:color="auto" w:sz="4" w:space="0"/>
                    <w:bottom w:val="single" w:color="auto" w:sz="4" w:space="0"/>
                    <w:right w:val="nil"/>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428"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无组织废气</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厂界</w:t>
                  </w:r>
                </w:p>
              </w:tc>
              <w:tc>
                <w:tcPr>
                  <w:tcW w:w="7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风速、风向</w:t>
                  </w:r>
                </w:p>
              </w:tc>
              <w:tc>
                <w:tcPr>
                  <w:tcW w:w="56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eastAsia" w:ascii="宋体" w:hAnsi="宋体" w:cs="宋体"/>
                      <w:sz w:val="18"/>
                      <w:szCs w:val="18"/>
                    </w:rPr>
                    <w:t>厂界</w:t>
                  </w:r>
                </w:p>
              </w:tc>
              <w:tc>
                <w:tcPr>
                  <w:tcW w:w="585" w:type="pct"/>
                  <w:tcBorders>
                    <w:top w:val="single" w:color="auto" w:sz="4" w:space="0"/>
                    <w:left w:val="single" w:color="auto" w:sz="4" w:space="0"/>
                    <w:bottom w:val="single" w:color="auto" w:sz="4" w:space="0"/>
                    <w:right w:val="single" w:color="auto" w:sz="4" w:space="0"/>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eastAsia" w:ascii="宋体" w:hAnsi="宋体" w:cs="宋体"/>
                      <w:sz w:val="18"/>
                      <w:szCs w:val="18"/>
                    </w:rPr>
                    <w:t>颗粒物</w:t>
                  </w:r>
                </w:p>
              </w:tc>
              <w:tc>
                <w:tcPr>
                  <w:tcW w:w="58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手工</w:t>
                  </w:r>
                </w:p>
              </w:tc>
              <w:tc>
                <w:tcPr>
                  <w:tcW w:w="981" w:type="pct"/>
                  <w:tcBorders>
                    <w:top w:val="single" w:color="auto" w:sz="4" w:space="0"/>
                    <w:left w:val="single" w:color="auto" w:sz="4" w:space="0"/>
                    <w:bottom w:val="single" w:color="auto" w:sz="4" w:space="0"/>
                    <w:right w:val="single" w:color="auto" w:sz="4" w:space="0"/>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非连续采用至少4个</w:t>
                  </w:r>
                </w:p>
              </w:tc>
              <w:tc>
                <w:tcPr>
                  <w:tcW w:w="524" w:type="pct"/>
                  <w:tcBorders>
                    <w:top w:val="single" w:color="auto" w:sz="4" w:space="0"/>
                    <w:left w:val="single" w:color="auto" w:sz="4" w:space="0"/>
                    <w:bottom w:val="single" w:color="auto" w:sz="4" w:space="0"/>
                    <w:right w:val="nil"/>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428" w:type="pct"/>
                  <w:tcBorders>
                    <w:top w:val="single" w:color="auto" w:sz="4" w:space="0"/>
                    <w:left w:val="nil"/>
                    <w:bottom w:val="single" w:color="auto" w:sz="12"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噪声</w:t>
                  </w:r>
                </w:p>
              </w:tc>
              <w:tc>
                <w:tcPr>
                  <w:tcW w:w="608" w:type="pct"/>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厂界</w:t>
                  </w:r>
                </w:p>
              </w:tc>
              <w:tc>
                <w:tcPr>
                  <w:tcW w:w="724" w:type="pct"/>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eastAsia" w:ascii="宋体" w:hAnsi="宋体" w:cs="宋体"/>
                      <w:sz w:val="18"/>
                      <w:szCs w:val="18"/>
                    </w:rPr>
                    <w:t>dB（A）</w:t>
                  </w:r>
                </w:p>
              </w:tc>
              <w:tc>
                <w:tcPr>
                  <w:tcW w:w="566" w:type="pct"/>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eastAsia" w:ascii="宋体" w:hAnsi="宋体" w:cs="宋体"/>
                      <w:sz w:val="18"/>
                      <w:szCs w:val="18"/>
                    </w:rPr>
                    <w:t>厂界</w:t>
                  </w:r>
                </w:p>
              </w:tc>
              <w:tc>
                <w:tcPr>
                  <w:tcW w:w="585" w:type="pct"/>
                  <w:tcBorders>
                    <w:top w:val="single" w:color="auto" w:sz="4" w:space="0"/>
                    <w:left w:val="single" w:color="auto" w:sz="4" w:space="0"/>
                    <w:bottom w:val="single" w:color="auto" w:sz="12" w:space="0"/>
                    <w:right w:val="single" w:color="auto" w:sz="4" w:space="0"/>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等效A声级</w:t>
                  </w:r>
                </w:p>
              </w:tc>
              <w:tc>
                <w:tcPr>
                  <w:tcW w:w="580" w:type="pct"/>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手工</w:t>
                  </w:r>
                </w:p>
              </w:tc>
              <w:tc>
                <w:tcPr>
                  <w:tcW w:w="981" w:type="pct"/>
                  <w:tcBorders>
                    <w:top w:val="single" w:color="auto" w:sz="4" w:space="0"/>
                    <w:left w:val="single" w:color="auto" w:sz="4" w:space="0"/>
                    <w:bottom w:val="single" w:color="auto" w:sz="12" w:space="0"/>
                    <w:right w:val="single" w:color="auto" w:sz="4" w:space="0"/>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昼间一次</w:t>
                  </w:r>
                </w:p>
              </w:tc>
              <w:tc>
                <w:tcPr>
                  <w:tcW w:w="524" w:type="pct"/>
                  <w:tcBorders>
                    <w:top w:val="single" w:color="auto" w:sz="4" w:space="0"/>
                    <w:left w:val="single" w:color="auto" w:sz="4" w:space="0"/>
                    <w:bottom w:val="single" w:color="auto" w:sz="12" w:space="0"/>
                    <w:right w:val="nil"/>
                  </w:tcBorders>
                  <w:tcMar>
                    <w:top w:w="0" w:type="dxa"/>
                    <w:left w:w="85" w:type="dxa"/>
                    <w:bottom w:w="0" w:type="dxa"/>
                    <w:right w:w="85" w:type="dxa"/>
                  </w:tcMar>
                  <w:vAlign w:val="center"/>
                </w:tcPr>
                <w:p>
                  <w:pPr>
                    <w:keepNext w:val="0"/>
                    <w:keepLines w:val="0"/>
                    <w:suppressLineNumbers w:val="0"/>
                    <w:spacing w:before="0" w:beforeAutospacing="0" w:after="0" w:afterAutospacing="0" w:line="200" w:lineRule="exact"/>
                    <w:ind w:left="0" w:right="0"/>
                    <w:jc w:val="center"/>
                    <w:rPr>
                      <w:rFonts w:hint="default" w:ascii="宋体" w:hAnsi="宋体" w:cs="宋体"/>
                      <w:sz w:val="18"/>
                      <w:szCs w:val="18"/>
                    </w:rPr>
                  </w:pPr>
                  <w:r>
                    <w:rPr>
                      <w:rFonts w:hint="default" w:ascii="宋体" w:hAnsi="宋体" w:cs="宋体"/>
                      <w:sz w:val="18"/>
                      <w:szCs w:val="18"/>
                    </w:rPr>
                    <w:t>1次/季</w:t>
                  </w:r>
                  <w:r>
                    <w:rPr>
                      <w:rFonts w:hint="eastAsia" w:ascii="宋体" w:hAnsi="宋体" w:cs="宋体"/>
                      <w:sz w:val="18"/>
                      <w:szCs w:val="18"/>
                    </w:rPr>
                    <w:t>度</w:t>
                  </w:r>
                </w:p>
              </w:tc>
            </w:tr>
          </w:tbl>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p>
            <w:pPr>
              <w:pStyle w:val="34"/>
              <w:keepNext w:val="0"/>
              <w:keepLines w:val="0"/>
              <w:suppressLineNumbers w:val="0"/>
              <w:spacing w:before="0" w:beforeAutospacing="0" w:after="0" w:afterAutospacing="0"/>
              <w:ind w:left="0" w:right="0" w:firstLine="0" w:firstLineChars="0"/>
              <w:rPr>
                <w:rFonts w:hint="default"/>
              </w:rPr>
            </w:pPr>
          </w:p>
        </w:tc>
      </w:tr>
    </w:tbl>
    <w:p>
      <w:pPr>
        <w:rPr>
          <w:rFonts w:ascii="Times New Roman" w:hAnsi="Times New Roman" w:eastAsia="黑体"/>
          <w:snapToGrid w:val="0"/>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rPr>
          <w:color w:val="auto"/>
        </w:rPr>
      </w:pPr>
      <w:r>
        <w:rPr>
          <w:color w:val="auto"/>
        </w:rPr>
        <w:t>五、</w:t>
      </w:r>
      <w:bookmarkStart w:id="15" w:name="_Hlk54167917"/>
      <w:r>
        <w:rPr>
          <w:color w:val="auto"/>
        </w:rPr>
        <w:t>环境保护措施监督检查清单</w:t>
      </w:r>
      <w:bookmarkEnd w:id="15"/>
    </w:p>
    <w:tbl>
      <w:tblPr>
        <w:tblStyle w:val="25"/>
        <w:tblW w:w="88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331"/>
        <w:gridCol w:w="963"/>
        <w:gridCol w:w="2976"/>
        <w:gridCol w:w="19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tcBorders>
              <w:tl2br w:val="single" w:color="auto" w:sz="4" w:space="0"/>
            </w:tcBorders>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sz w:val="21"/>
                <w:szCs w:val="21"/>
              </w:rPr>
            </w:pPr>
            <w:r>
              <w:rPr>
                <w:rFonts w:hint="default" w:ascii="Times New Roman" w:hAnsi="Times New Roman"/>
                <w:sz w:val="21"/>
                <w:szCs w:val="21"/>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sz w:val="21"/>
                <w:szCs w:val="21"/>
              </w:rPr>
            </w:pPr>
            <w:r>
              <w:rPr>
                <w:rFonts w:hint="default" w:ascii="Times New Roman" w:hAnsi="Times New Roman"/>
                <w:sz w:val="21"/>
                <w:szCs w:val="21"/>
              </w:rPr>
              <w:t>要素</w:t>
            </w:r>
          </w:p>
        </w:tc>
        <w:tc>
          <w:tcPr>
            <w:tcW w:w="133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排放口/污染源</w:t>
            </w:r>
          </w:p>
        </w:tc>
        <w:tc>
          <w:tcPr>
            <w:tcW w:w="96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污染物项目</w:t>
            </w:r>
          </w:p>
        </w:tc>
        <w:tc>
          <w:tcPr>
            <w:tcW w:w="29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环境保护措施</w:t>
            </w:r>
          </w:p>
        </w:tc>
        <w:tc>
          <w:tcPr>
            <w:tcW w:w="199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大气环境</w:t>
            </w:r>
          </w:p>
        </w:tc>
        <w:tc>
          <w:tcPr>
            <w:tcW w:w="133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厂界无组织废气</w:t>
            </w:r>
          </w:p>
        </w:tc>
        <w:tc>
          <w:tcPr>
            <w:tcW w:w="96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颗粒物</w:t>
            </w:r>
          </w:p>
        </w:tc>
        <w:tc>
          <w:tcPr>
            <w:tcW w:w="2976" w:type="dxa"/>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①原</w:t>
            </w:r>
            <w:r>
              <w:rPr>
                <w:rFonts w:hint="eastAsia" w:ascii="Times New Roman" w:hAnsi="Times New Roman"/>
                <w:color w:val="auto"/>
                <w:sz w:val="21"/>
                <w:szCs w:val="21"/>
              </w:rPr>
              <w:t>料堆场喷雾抑尘</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设置10个喷头</w:t>
            </w:r>
            <w:r>
              <w:rPr>
                <w:rFonts w:hint="eastAsia" w:ascii="Times New Roman" w:hAnsi="Times New Roman"/>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②成品堆场设置顶棚，周边围挡；</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③破碎筛分水喷淋抑尘；</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④原料卸料洒水抑尘；产品装卸过程降低高差。</w:t>
            </w:r>
          </w:p>
        </w:tc>
        <w:tc>
          <w:tcPr>
            <w:tcW w:w="1997" w:type="dxa"/>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default" w:ascii="Times New Roman" w:hAnsi="Times New Roman"/>
                <w:sz w:val="21"/>
                <w:szCs w:val="21"/>
              </w:rPr>
              <w:t>《大气污染物综合排放标准》（GB16297-1996）表2无组织标准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地表水环境</w:t>
            </w:r>
          </w:p>
        </w:tc>
        <w:tc>
          <w:tcPr>
            <w:tcW w:w="133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eastAsia" w:ascii="Times New Roman" w:hAnsi="Times New Roman"/>
                <w:sz w:val="21"/>
                <w:szCs w:val="21"/>
              </w:rPr>
              <w:t>生产废水</w:t>
            </w:r>
          </w:p>
        </w:tc>
        <w:tc>
          <w:tcPr>
            <w:tcW w:w="96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SS</w:t>
            </w:r>
          </w:p>
        </w:tc>
        <w:tc>
          <w:tcPr>
            <w:tcW w:w="2976" w:type="dxa"/>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①建设1套处理能力为200m</w:t>
            </w:r>
            <w:r>
              <w:rPr>
                <w:rFonts w:hint="eastAsia" w:ascii="Times New Roman" w:hAnsi="Times New Roman"/>
                <w:sz w:val="21"/>
                <w:szCs w:val="21"/>
                <w:vertAlign w:val="superscript"/>
              </w:rPr>
              <w:t>3</w:t>
            </w:r>
            <w:r>
              <w:rPr>
                <w:rFonts w:hint="eastAsia" w:ascii="Times New Roman" w:hAnsi="Times New Roman"/>
                <w:sz w:val="21"/>
                <w:szCs w:val="21"/>
              </w:rPr>
              <w:t>/d的“沉淀罐+沉淀池”污水处理设施，生产废水经处理全部回用不外排；</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②生活污水经地埋式生活污水处理设施处理后用于周边山林地灌溉。</w:t>
            </w:r>
          </w:p>
        </w:tc>
        <w:tc>
          <w:tcPr>
            <w:tcW w:w="199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声环境</w:t>
            </w:r>
          </w:p>
        </w:tc>
        <w:tc>
          <w:tcPr>
            <w:tcW w:w="133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厂界</w:t>
            </w:r>
          </w:p>
        </w:tc>
        <w:tc>
          <w:tcPr>
            <w:tcW w:w="963" w:type="dxa"/>
            <w:vAlign w:val="center"/>
          </w:tcPr>
          <w:p>
            <w:pPr>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等效连续A声级</w:t>
            </w:r>
          </w:p>
        </w:tc>
        <w:tc>
          <w:tcPr>
            <w:tcW w:w="2976" w:type="dxa"/>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①选用低噪声设备；</w:t>
            </w:r>
          </w:p>
          <w:p>
            <w:pPr>
              <w:keepNext w:val="0"/>
              <w:keepLines w:val="0"/>
              <w:suppressLineNumbers w:val="0"/>
              <w:spacing w:before="0" w:beforeAutospacing="0" w:after="0" w:afterAutospacing="0"/>
              <w:ind w:left="0" w:right="0"/>
              <w:jc w:val="left"/>
              <w:rPr>
                <w:rFonts w:hint="default" w:ascii="Times New Roman" w:hAnsi="Times New Roman"/>
                <w:sz w:val="21"/>
                <w:szCs w:val="21"/>
              </w:rPr>
            </w:pPr>
            <w:r>
              <w:rPr>
                <w:rFonts w:hint="eastAsia" w:ascii="Times New Roman" w:hAnsi="Times New Roman"/>
                <w:sz w:val="21"/>
                <w:szCs w:val="21"/>
              </w:rPr>
              <w:t>②设备设置减震垫。</w:t>
            </w:r>
          </w:p>
        </w:tc>
        <w:tc>
          <w:tcPr>
            <w:tcW w:w="1997" w:type="dxa"/>
            <w:vAlign w:val="center"/>
          </w:tcPr>
          <w:p>
            <w:pPr>
              <w:keepNext w:val="0"/>
              <w:keepLines w:val="0"/>
              <w:suppressLineNumbers w:val="0"/>
              <w:spacing w:before="0" w:beforeAutospacing="0" w:after="0" w:afterAutospacing="0"/>
              <w:ind w:left="0" w:right="0"/>
              <w:jc w:val="left"/>
              <w:rPr>
                <w:rFonts w:hint="default" w:ascii="Times New Roman" w:hAnsi="Times New Roman"/>
                <w:sz w:val="21"/>
                <w:szCs w:val="21"/>
              </w:rPr>
            </w:pPr>
            <w:r>
              <w:rPr>
                <w:rFonts w:hint="default" w:ascii="Times New Roman" w:hAnsi="Times New Roman"/>
                <w:sz w:val="21"/>
                <w:szCs w:val="21"/>
              </w:rPr>
              <w:t>GB12348-2008《工业企业厂界环境噪声排放标准》2类标准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15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固体废物</w:t>
            </w:r>
          </w:p>
        </w:tc>
        <w:tc>
          <w:tcPr>
            <w:tcW w:w="7267" w:type="dxa"/>
            <w:gridSpan w:val="4"/>
            <w:vAlign w:val="center"/>
          </w:tcPr>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default" w:ascii="Times New Roman" w:hAnsi="Times New Roman"/>
                <w:sz w:val="21"/>
                <w:szCs w:val="21"/>
              </w:rPr>
              <w:t>（1）污泥</w:t>
            </w:r>
            <w:r>
              <w:rPr>
                <w:rFonts w:hint="eastAsia" w:ascii="Times New Roman" w:hAnsi="Times New Roman"/>
                <w:sz w:val="21"/>
                <w:szCs w:val="21"/>
              </w:rPr>
              <w:t>暂存于污泥</w:t>
            </w:r>
            <w:r>
              <w:rPr>
                <w:rFonts w:hint="default" w:ascii="Times New Roman" w:hAnsi="Times New Roman"/>
                <w:sz w:val="21"/>
                <w:szCs w:val="21"/>
              </w:rPr>
              <w:t>暂存池</w:t>
            </w:r>
            <w:r>
              <w:rPr>
                <w:rFonts w:hint="eastAsia" w:ascii="Times New Roman" w:hAnsi="Times New Roman"/>
                <w:sz w:val="21"/>
                <w:szCs w:val="21"/>
              </w:rPr>
              <w:t>，暂存池</w:t>
            </w:r>
            <w:r>
              <w:rPr>
                <w:rFonts w:hint="default" w:ascii="Times New Roman" w:hAnsi="Times New Roman"/>
                <w:sz w:val="21"/>
                <w:szCs w:val="21"/>
              </w:rPr>
              <w:t>采取防风、防雨、防渗漏等措施；污泥定期转运至制砖厂用于制砖；</w:t>
            </w:r>
          </w:p>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default" w:ascii="Times New Roman" w:hAnsi="Times New Roman"/>
                <w:sz w:val="21"/>
                <w:szCs w:val="21"/>
              </w:rPr>
              <w:t>（2）废机油统一贮存在危废间，并建立台账，委托有资质的单位处置；</w:t>
            </w:r>
          </w:p>
          <w:p>
            <w:pPr>
              <w:keepNext w:val="0"/>
              <w:keepLines w:val="0"/>
              <w:suppressLineNumbers w:val="0"/>
              <w:spacing w:before="0" w:beforeAutospacing="0" w:after="0" w:afterAutospacing="0" w:line="320" w:lineRule="exact"/>
              <w:ind w:left="0" w:right="0"/>
              <w:rPr>
                <w:rFonts w:hint="eastAsia" w:ascii="Times New Roman" w:hAnsi="Times New Roman" w:eastAsia="宋体"/>
                <w:sz w:val="21"/>
                <w:szCs w:val="21"/>
                <w:lang w:eastAsia="zh-CN"/>
              </w:rPr>
            </w:pPr>
            <w:r>
              <w:rPr>
                <w:rFonts w:hint="default" w:ascii="Times New Roman" w:hAnsi="Times New Roman"/>
                <w:sz w:val="21"/>
                <w:szCs w:val="21"/>
              </w:rPr>
              <w:t>（3）生活垃圾委托当地环卫部门统一清运处理</w:t>
            </w:r>
            <w:r>
              <w:rPr>
                <w:rFonts w:hint="eastAsia" w:ascii="Times New Roman" w:hAnsi="Times New Roman"/>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3" w:type="dxa"/>
            <w:vAlign w:val="center"/>
          </w:tcPr>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default" w:ascii="Times New Roman" w:hAnsi="Times New Roman"/>
                <w:sz w:val="21"/>
                <w:szCs w:val="21"/>
              </w:rPr>
              <w:t>土壤及地下水</w:t>
            </w:r>
          </w:p>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default" w:ascii="Times New Roman" w:hAnsi="Times New Roman"/>
                <w:sz w:val="21"/>
                <w:szCs w:val="21"/>
              </w:rPr>
              <w:t>污染防治措施</w:t>
            </w:r>
          </w:p>
        </w:tc>
        <w:tc>
          <w:tcPr>
            <w:tcW w:w="7267" w:type="dxa"/>
            <w:gridSpan w:val="4"/>
            <w:vAlign w:val="center"/>
          </w:tcPr>
          <w:p>
            <w:pPr>
              <w:keepNext w:val="0"/>
              <w:keepLines w:val="0"/>
              <w:suppressLineNumbers w:val="0"/>
              <w:spacing w:before="0" w:beforeAutospacing="0" w:after="0" w:afterAutospacing="0" w:line="320" w:lineRule="exact"/>
              <w:ind w:left="0" w:right="0"/>
              <w:rPr>
                <w:rFonts w:hint="eastAsia" w:ascii="Times New Roman" w:hAnsi="Times New Roman" w:eastAsia="宋体"/>
                <w:sz w:val="21"/>
                <w:szCs w:val="21"/>
                <w:lang w:eastAsia="zh-CN"/>
              </w:rPr>
            </w:pPr>
            <w:r>
              <w:rPr>
                <w:rFonts w:hint="eastAsia" w:ascii="Times New Roman" w:hAnsi="Times New Roman"/>
                <w:sz w:val="21"/>
                <w:szCs w:val="21"/>
              </w:rPr>
              <w:t>危废暂存间的墙裙和地面采用“防腐防渗漆+环氧树脂地坪漆”进行防渗；厂区地面硬化防渗</w:t>
            </w:r>
            <w:r>
              <w:rPr>
                <w:rFonts w:hint="eastAsia" w:ascii="Times New Roman" w:hAnsi="Times New Roman"/>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5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生态保护措施</w:t>
            </w:r>
          </w:p>
        </w:tc>
        <w:tc>
          <w:tcPr>
            <w:tcW w:w="7267" w:type="dxa"/>
            <w:gridSpan w:val="4"/>
            <w:vAlign w:val="center"/>
          </w:tcPr>
          <w:p>
            <w:pPr>
              <w:keepNext w:val="0"/>
              <w:keepLines w:val="0"/>
              <w:suppressLineNumbers w:val="0"/>
              <w:spacing w:before="0" w:beforeAutospacing="0" w:after="0" w:afterAutospacing="0" w:line="200" w:lineRule="exact"/>
              <w:ind w:left="0" w:right="0"/>
              <w:jc w:val="center"/>
              <w:rPr>
                <w:rFonts w:hint="default" w:ascii="Times New Roman" w:hAnsi="Times New Roman"/>
                <w:sz w:val="18"/>
                <w:szCs w:val="18"/>
              </w:rPr>
            </w:pPr>
            <w:r>
              <w:rPr>
                <w:rFonts w:hint="default"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pacing w:val="-8"/>
                <w:sz w:val="21"/>
                <w:szCs w:val="21"/>
              </w:rPr>
            </w:pPr>
            <w:r>
              <w:rPr>
                <w:rFonts w:hint="default" w:ascii="Times New Roman" w:hAnsi="Times New Roman"/>
                <w:spacing w:val="-8"/>
                <w:sz w:val="21"/>
                <w:szCs w:val="21"/>
              </w:rPr>
              <w:t>环境风险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pacing w:val="-8"/>
                <w:sz w:val="21"/>
                <w:szCs w:val="21"/>
              </w:rPr>
            </w:pPr>
            <w:r>
              <w:rPr>
                <w:rFonts w:hint="default" w:ascii="Times New Roman" w:hAnsi="Times New Roman"/>
                <w:spacing w:val="-8"/>
                <w:sz w:val="21"/>
                <w:szCs w:val="21"/>
              </w:rPr>
              <w:t>防范措施</w:t>
            </w:r>
          </w:p>
        </w:tc>
        <w:tc>
          <w:tcPr>
            <w:tcW w:w="7267" w:type="dxa"/>
            <w:gridSpan w:val="4"/>
            <w:vAlign w:val="center"/>
          </w:tcPr>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eastAsia" w:ascii="Times New Roman" w:hAnsi="Times New Roman"/>
                <w:sz w:val="21"/>
                <w:szCs w:val="21"/>
              </w:rPr>
              <w:t>（1）设置一个占地</w:t>
            </w:r>
            <w:r>
              <w:rPr>
                <w:rFonts w:hint="eastAsia" w:ascii="Times New Roman" w:hAnsi="Times New Roman"/>
                <w:color w:val="auto"/>
                <w:sz w:val="21"/>
                <w:szCs w:val="21"/>
              </w:rPr>
              <w:t>面积为15m</w:t>
            </w:r>
            <w:r>
              <w:rPr>
                <w:rFonts w:hint="eastAsia" w:ascii="Times New Roman" w:hAnsi="Times New Roman"/>
                <w:color w:val="auto"/>
                <w:sz w:val="21"/>
                <w:szCs w:val="21"/>
                <w:vertAlign w:val="superscript"/>
              </w:rPr>
              <w:t>2</w:t>
            </w:r>
            <w:r>
              <w:rPr>
                <w:rFonts w:hint="eastAsia" w:ascii="Times New Roman" w:hAnsi="Times New Roman"/>
                <w:color w:val="auto"/>
                <w:sz w:val="21"/>
                <w:szCs w:val="21"/>
              </w:rPr>
              <w:t>的危废暂存间</w:t>
            </w:r>
            <w:r>
              <w:rPr>
                <w:rFonts w:hint="eastAsia" w:ascii="Times New Roman" w:hAnsi="Times New Roman"/>
                <w:sz w:val="21"/>
                <w:szCs w:val="21"/>
              </w:rPr>
              <w:t>，采取“混凝土防渗+环氧树脂地坪漆”进行防渗，门口设置围坎；</w:t>
            </w:r>
          </w:p>
          <w:p>
            <w:pPr>
              <w:keepNext w:val="0"/>
              <w:keepLines w:val="0"/>
              <w:suppressLineNumbers w:val="0"/>
              <w:spacing w:before="0" w:beforeAutospacing="0" w:after="0" w:afterAutospacing="0" w:line="320" w:lineRule="exact"/>
              <w:ind w:left="0" w:right="0"/>
              <w:rPr>
                <w:rFonts w:hint="eastAsia" w:ascii="Times New Roman" w:hAnsi="Times New Roman" w:eastAsia="宋体"/>
                <w:sz w:val="21"/>
                <w:szCs w:val="21"/>
                <w:lang w:val="en-US" w:eastAsia="zh-CN"/>
              </w:rPr>
            </w:pPr>
            <w:r>
              <w:rPr>
                <w:rFonts w:hint="eastAsia" w:ascii="Times New Roman" w:hAnsi="Times New Roman"/>
                <w:sz w:val="21"/>
                <w:szCs w:val="21"/>
              </w:rPr>
              <w:t>（2）厂区北侧地势最低处设置容积约为1</w:t>
            </w:r>
            <w:r>
              <w:rPr>
                <w:rFonts w:hint="eastAsia" w:ascii="Times New Roman" w:hAnsi="Times New Roman"/>
                <w:sz w:val="21"/>
                <w:szCs w:val="21"/>
                <w:lang w:val="en-US" w:eastAsia="zh-CN"/>
              </w:rPr>
              <w:t>2</w:t>
            </w:r>
            <w:r>
              <w:rPr>
                <w:rFonts w:hint="eastAsia" w:ascii="Times New Roman" w:hAnsi="Times New Roman"/>
                <w:sz w:val="21"/>
                <w:szCs w:val="21"/>
              </w:rPr>
              <w:t>m</w:t>
            </w:r>
            <w:r>
              <w:rPr>
                <w:rFonts w:hint="eastAsia" w:ascii="Times New Roman" w:hAnsi="Times New Roman"/>
                <w:sz w:val="21"/>
                <w:szCs w:val="21"/>
                <w:vertAlign w:val="superscript"/>
              </w:rPr>
              <w:t>3</w:t>
            </w:r>
            <w:r>
              <w:rPr>
                <w:rFonts w:hint="eastAsia" w:ascii="Times New Roman" w:hAnsi="Times New Roman"/>
                <w:sz w:val="21"/>
                <w:szCs w:val="21"/>
              </w:rPr>
              <w:t>的</w:t>
            </w:r>
            <w:r>
              <w:rPr>
                <w:rFonts w:hint="eastAsia" w:ascii="Times New Roman" w:hAnsi="Times New Roman"/>
                <w:sz w:val="21"/>
                <w:szCs w:val="21"/>
                <w:lang w:eastAsia="zh-CN"/>
              </w:rPr>
              <w:t>初期雨水池。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pacing w:val="-8"/>
                <w:sz w:val="21"/>
                <w:szCs w:val="21"/>
              </w:rPr>
            </w:pPr>
            <w:r>
              <w:rPr>
                <w:rFonts w:hint="default" w:ascii="Times New Roman" w:hAnsi="Times New Roman"/>
                <w:spacing w:val="-8"/>
                <w:sz w:val="21"/>
                <w:szCs w:val="21"/>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spacing w:val="-8"/>
                <w:sz w:val="21"/>
                <w:szCs w:val="21"/>
              </w:rPr>
            </w:pPr>
            <w:r>
              <w:rPr>
                <w:rFonts w:hint="default" w:ascii="Times New Roman" w:hAnsi="Times New Roman"/>
                <w:spacing w:val="-8"/>
                <w:sz w:val="21"/>
                <w:szCs w:val="21"/>
              </w:rPr>
              <w:t>管理要求</w:t>
            </w:r>
          </w:p>
        </w:tc>
        <w:tc>
          <w:tcPr>
            <w:tcW w:w="7267" w:type="dxa"/>
            <w:gridSpan w:val="4"/>
            <w:vAlign w:val="center"/>
          </w:tcPr>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default" w:ascii="Times New Roman" w:hAnsi="Times New Roman"/>
                <w:sz w:val="21"/>
                <w:szCs w:val="21"/>
              </w:rPr>
              <w:t>1、依照《排污许可管理条例》和《固定污染源排污许可分类管理名录（2019年版）》的相关要求，本项目执行</w:t>
            </w:r>
            <w:r>
              <w:rPr>
                <w:rFonts w:hint="eastAsia" w:ascii="Times New Roman" w:hAnsi="Times New Roman"/>
                <w:sz w:val="21"/>
                <w:szCs w:val="21"/>
              </w:rPr>
              <w:t>简化</w:t>
            </w:r>
            <w:r>
              <w:rPr>
                <w:rFonts w:hint="default" w:ascii="Times New Roman" w:hAnsi="Times New Roman"/>
                <w:sz w:val="21"/>
                <w:szCs w:val="21"/>
              </w:rPr>
              <w:t>管理，应当在全国排污许可证管理信息平台申请</w:t>
            </w:r>
            <w:r>
              <w:rPr>
                <w:rFonts w:hint="eastAsia" w:ascii="Times New Roman" w:hAnsi="Times New Roman"/>
                <w:sz w:val="21"/>
                <w:szCs w:val="21"/>
              </w:rPr>
              <w:t>排污许可简化管理</w:t>
            </w:r>
            <w:r>
              <w:rPr>
                <w:rFonts w:hint="default" w:ascii="Times New Roman" w:hAnsi="Times New Roman"/>
                <w:sz w:val="21"/>
                <w:szCs w:val="21"/>
              </w:rPr>
              <w:t>。</w:t>
            </w:r>
          </w:p>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default" w:ascii="Times New Roman" w:hAnsi="Times New Roman"/>
                <w:sz w:val="21"/>
                <w:szCs w:val="21"/>
              </w:rPr>
              <w:t>2、依照《建设项目环境保护管理条例》《建设项目竣工环境保护验收暂行办法》的相关要求完成竣工环保验收。</w:t>
            </w:r>
          </w:p>
          <w:p>
            <w:pPr>
              <w:pStyle w:val="2"/>
              <w:keepNext w:val="0"/>
              <w:keepLines w:val="0"/>
              <w:suppressLineNumbers w:val="0"/>
              <w:spacing w:before="0" w:beforeAutospacing="0" w:after="0" w:afterAutospacing="0"/>
              <w:ind w:right="0" w:firstLine="422"/>
              <w:rPr>
                <w:rFonts w:hint="default" w:ascii="Times New Roman" w:hAnsi="Times New Roman"/>
                <w:sz w:val="21"/>
                <w:szCs w:val="21"/>
              </w:rPr>
            </w:pPr>
          </w:p>
          <w:p>
            <w:pPr>
              <w:pStyle w:val="3"/>
              <w:keepNext w:val="0"/>
              <w:keepLines w:val="0"/>
              <w:suppressLineNumbers w:val="0"/>
              <w:spacing w:beforeAutospacing="0" w:afterAutospacing="0"/>
              <w:ind w:left="0" w:firstLine="210"/>
              <w:rPr>
                <w:rFonts w:hint="default" w:ascii="Times New Roman" w:hAnsi="Times New Roman"/>
                <w:sz w:val="21"/>
                <w:szCs w:val="21"/>
              </w:rPr>
            </w:pPr>
          </w:p>
          <w:p>
            <w:pPr>
              <w:keepNext w:val="0"/>
              <w:keepLines w:val="0"/>
              <w:suppressLineNumbers w:val="0"/>
              <w:spacing w:before="0" w:beforeAutospacing="0" w:after="0" w:afterAutospacing="0"/>
              <w:ind w:left="0" w:right="0"/>
              <w:rPr>
                <w:rFonts w:hint="default" w:ascii="Times New Roman" w:hAnsi="Times New Roman"/>
                <w:sz w:val="21"/>
                <w:szCs w:val="21"/>
              </w:rPr>
            </w:pPr>
          </w:p>
          <w:p>
            <w:pPr>
              <w:keepNext w:val="0"/>
              <w:keepLines w:val="0"/>
              <w:suppressLineNumbers w:val="0"/>
              <w:spacing w:before="0" w:beforeAutospacing="0" w:after="0" w:afterAutospacing="0"/>
              <w:ind w:left="0" w:right="0"/>
              <w:rPr>
                <w:rFonts w:hint="default" w:ascii="Times New Roman" w:hAnsi="Times New Roman"/>
                <w:sz w:val="21"/>
                <w:szCs w:val="21"/>
              </w:rPr>
            </w:pPr>
          </w:p>
          <w:p>
            <w:pPr>
              <w:pStyle w:val="2"/>
              <w:keepNext w:val="0"/>
              <w:keepLines w:val="0"/>
              <w:suppressLineNumbers w:val="0"/>
              <w:spacing w:before="0" w:beforeAutospacing="0" w:after="0" w:afterAutospacing="0"/>
              <w:ind w:right="0"/>
              <w:rPr>
                <w:rFonts w:hint="default" w:ascii="Times New Roman" w:hAnsi="Times New Roman"/>
                <w:sz w:val="21"/>
                <w:szCs w:val="21"/>
              </w:rPr>
            </w:pPr>
          </w:p>
          <w:p>
            <w:pPr>
              <w:pStyle w:val="33"/>
              <w:keepNext w:val="0"/>
              <w:keepLines w:val="0"/>
              <w:suppressLineNumbers w:val="0"/>
              <w:spacing w:before="0" w:beforeLines="0" w:beforeAutospacing="0" w:after="0" w:afterAutospacing="0" w:line="320" w:lineRule="exact"/>
              <w:ind w:left="0" w:right="0"/>
              <w:rPr>
                <w:rFonts w:hint="default"/>
                <w:highlight w:val="none"/>
              </w:rPr>
            </w:pPr>
            <w:bookmarkStart w:id="16" w:name="_Ref98249138"/>
            <w:r>
              <w:rPr>
                <w:rFonts w:hint="default" w:ascii="Times New Roman" w:hAnsi="Times New Roman"/>
                <w:szCs w:val="24"/>
                <w:highlight w:val="none"/>
              </w:rPr>
              <w:t>表5.1-1  项目环境保护竣工验收一览表</w:t>
            </w:r>
            <w:bookmarkEnd w:id="16"/>
          </w:p>
          <w:tbl>
            <w:tblPr>
              <w:tblStyle w:val="25"/>
              <w:tblW w:w="70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12"/>
              <w:gridCol w:w="3353"/>
              <w:gridCol w:w="29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2" w:type="dxa"/>
                  <w:vMerge w:val="restart"/>
                  <w:vAlign w:val="center"/>
                </w:tcPr>
                <w:p>
                  <w:pPr>
                    <w:keepNext w:val="0"/>
                    <w:keepLines w:val="0"/>
                    <w:suppressLineNumbers w:val="0"/>
                    <w:spacing w:before="0" w:beforeAutospacing="0" w:after="0" w:afterAutospacing="0" w:line="320" w:lineRule="exact"/>
                    <w:ind w:left="0" w:right="0"/>
                    <w:jc w:val="center"/>
                    <w:rPr>
                      <w:rFonts w:hint="default" w:eastAsiaTheme="minorEastAsia"/>
                      <w:sz w:val="21"/>
                      <w:szCs w:val="21"/>
                    </w:rPr>
                  </w:pPr>
                  <w:r>
                    <w:rPr>
                      <w:rFonts w:hint="default" w:eastAsiaTheme="minorEastAsia"/>
                      <w:sz w:val="21"/>
                      <w:szCs w:val="21"/>
                    </w:rPr>
                    <w:t>项目</w:t>
                  </w:r>
                </w:p>
              </w:tc>
              <w:tc>
                <w:tcPr>
                  <w:tcW w:w="6339" w:type="dxa"/>
                  <w:gridSpan w:val="2"/>
                  <w:tcMar>
                    <w:top w:w="0" w:type="dxa"/>
                    <w:left w:w="85" w:type="dxa"/>
                    <w:bottom w:w="0" w:type="dxa"/>
                    <w:right w:w="85" w:type="dxa"/>
                  </w:tcMar>
                  <w:vAlign w:val="center"/>
                </w:tcPr>
                <w:p>
                  <w:pPr>
                    <w:keepNext w:val="0"/>
                    <w:keepLines w:val="0"/>
                    <w:suppressLineNumbers w:val="0"/>
                    <w:spacing w:before="0" w:beforeAutospacing="0" w:after="0" w:afterAutospacing="0" w:line="320" w:lineRule="exact"/>
                    <w:ind w:left="0" w:right="0"/>
                    <w:jc w:val="center"/>
                    <w:rPr>
                      <w:rFonts w:hint="default" w:eastAsiaTheme="minorEastAsia"/>
                      <w:sz w:val="21"/>
                      <w:szCs w:val="21"/>
                    </w:rPr>
                  </w:pPr>
                  <w:r>
                    <w:rPr>
                      <w:rFonts w:hint="default" w:eastAsiaTheme="minorEastAsia"/>
                      <w:sz w:val="21"/>
                      <w:szCs w:val="21"/>
                    </w:rPr>
                    <w:t>验收内容及要求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2"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sz w:val="21"/>
                      <w:szCs w:val="21"/>
                    </w:rPr>
                  </w:pPr>
                </w:p>
              </w:tc>
              <w:tc>
                <w:tcPr>
                  <w:tcW w:w="3353" w:type="dxa"/>
                  <w:tcMar>
                    <w:top w:w="0" w:type="dxa"/>
                    <w:left w:w="85" w:type="dxa"/>
                    <w:bottom w:w="0" w:type="dxa"/>
                    <w:right w:w="85" w:type="dxa"/>
                  </w:tcMar>
                  <w:vAlign w:val="center"/>
                </w:tcPr>
                <w:p>
                  <w:pPr>
                    <w:keepNext w:val="0"/>
                    <w:keepLines w:val="0"/>
                    <w:suppressLineNumbers w:val="0"/>
                    <w:spacing w:before="0" w:beforeAutospacing="0" w:after="0" w:afterAutospacing="0" w:line="320" w:lineRule="exact"/>
                    <w:ind w:left="0" w:right="0"/>
                    <w:jc w:val="center"/>
                    <w:rPr>
                      <w:rFonts w:hint="default" w:eastAsiaTheme="minorEastAsia"/>
                      <w:sz w:val="21"/>
                      <w:szCs w:val="21"/>
                    </w:rPr>
                  </w:pPr>
                  <w:r>
                    <w:rPr>
                      <w:rFonts w:hint="default" w:eastAsiaTheme="minorEastAsia"/>
                      <w:sz w:val="21"/>
                      <w:szCs w:val="21"/>
                    </w:rPr>
                    <w:t>环保措施落实情况</w:t>
                  </w:r>
                </w:p>
              </w:tc>
              <w:tc>
                <w:tcPr>
                  <w:tcW w:w="2986"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sz w:val="21"/>
                      <w:szCs w:val="21"/>
                    </w:rPr>
                  </w:pPr>
                  <w:r>
                    <w:rPr>
                      <w:rFonts w:hint="default" w:eastAsiaTheme="minorEastAsia"/>
                      <w:sz w:val="21"/>
                      <w:szCs w:val="21"/>
                    </w:rPr>
                    <w:t>验收监测内容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40" w:hRule="atLeast"/>
                <w:jc w:val="center"/>
              </w:trPr>
              <w:tc>
                <w:tcPr>
                  <w:tcW w:w="712" w:type="dxa"/>
                  <w:tcMar>
                    <w:top w:w="0" w:type="dxa"/>
                    <w:left w:w="85" w:type="dxa"/>
                    <w:bottom w:w="0" w:type="dxa"/>
                    <w:right w:w="85" w:type="dxa"/>
                  </w:tcMar>
                  <w:vAlign w:val="center"/>
                </w:tcPr>
                <w:p>
                  <w:pPr>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废气治理措施</w:t>
                  </w:r>
                </w:p>
              </w:tc>
              <w:tc>
                <w:tcPr>
                  <w:tcW w:w="3353" w:type="dxa"/>
                  <w:tcMar>
                    <w:top w:w="0" w:type="dxa"/>
                    <w:left w:w="85" w:type="dxa"/>
                    <w:bottom w:w="0" w:type="dxa"/>
                    <w:right w:w="85" w:type="dxa"/>
                  </w:tcMar>
                  <w:vAlign w:val="center"/>
                </w:tcPr>
                <w:p>
                  <w:pPr>
                    <w:keepNext w:val="0"/>
                    <w:keepLines w:val="0"/>
                    <w:suppressLineNumbers w:val="0"/>
                    <w:tabs>
                      <w:tab w:val="left" w:pos="213"/>
                      <w:tab w:val="left" w:pos="9180"/>
                    </w:tabs>
                    <w:autoSpaceDE w:val="0"/>
                    <w:autoSpaceDN w:val="0"/>
                    <w:spacing w:before="0" w:beforeAutospacing="0" w:after="0" w:afterAutospacing="0"/>
                    <w:ind w:left="0" w:right="0"/>
                    <w:rPr>
                      <w:rFonts w:hint="default" w:eastAsiaTheme="minorEastAsia"/>
                      <w:sz w:val="21"/>
                      <w:szCs w:val="21"/>
                    </w:rPr>
                  </w:pPr>
                  <w:r>
                    <w:rPr>
                      <w:rFonts w:hint="default" w:eastAsiaTheme="minorEastAsia"/>
                      <w:sz w:val="21"/>
                      <w:szCs w:val="21"/>
                    </w:rPr>
                    <w:t>核查厂内是否已采取以下无组织废气防治措施：</w:t>
                  </w:r>
                  <w:bookmarkStart w:id="17" w:name="_Hlk98262956"/>
                </w:p>
                <w:bookmarkEnd w:id="17"/>
                <w:p>
                  <w:pPr>
                    <w:keepNext w:val="0"/>
                    <w:keepLines w:val="0"/>
                    <w:suppressLineNumbers w:val="0"/>
                    <w:tabs>
                      <w:tab w:val="left" w:pos="213"/>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①检查原料堆场是否喷雾降尘；</w:t>
                  </w:r>
                </w:p>
                <w:p>
                  <w:pPr>
                    <w:keepNext w:val="0"/>
                    <w:keepLines w:val="0"/>
                    <w:suppressLineNumbers w:val="0"/>
                    <w:tabs>
                      <w:tab w:val="left" w:pos="213"/>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②检查成品堆场是否设置顶棚，是否封闭；</w:t>
                  </w:r>
                </w:p>
                <w:p>
                  <w:pPr>
                    <w:pStyle w:val="2"/>
                    <w:keepNext w:val="0"/>
                    <w:keepLines w:val="0"/>
                    <w:suppressLineNumbers w:val="0"/>
                    <w:spacing w:before="0" w:beforeAutospacing="0" w:after="0" w:afterAutospacing="0"/>
                    <w:ind w:left="0" w:right="0" w:firstLine="0" w:firstLineChars="0"/>
                    <w:jc w:val="left"/>
                    <w:rPr>
                      <w:rFonts w:hint="default" w:ascii="Times New Roman" w:hAnsi="Times New Roman"/>
                      <w:b w:val="0"/>
                      <w:bCs w:val="0"/>
                      <w:sz w:val="21"/>
                      <w:szCs w:val="21"/>
                    </w:rPr>
                  </w:pPr>
                  <w:r>
                    <w:rPr>
                      <w:rFonts w:hint="eastAsia" w:ascii="Times New Roman" w:hAnsi="Times New Roman"/>
                      <w:b w:val="0"/>
                      <w:bCs w:val="0"/>
                      <w:sz w:val="21"/>
                      <w:szCs w:val="21"/>
                    </w:rPr>
                    <w:t>③检查检查破碎、筛分等过程是否围挡、是否采取水喷淋抑尘等；</w:t>
                  </w:r>
                </w:p>
                <w:p>
                  <w:pPr>
                    <w:pStyle w:val="2"/>
                    <w:keepNext w:val="0"/>
                    <w:keepLines w:val="0"/>
                    <w:suppressLineNumbers w:val="0"/>
                    <w:spacing w:before="0" w:beforeAutospacing="0" w:after="0" w:afterAutospacing="0"/>
                    <w:ind w:left="0" w:right="0" w:firstLine="0" w:firstLineChars="0"/>
                    <w:jc w:val="left"/>
                    <w:rPr>
                      <w:rFonts w:hint="default" w:eastAsiaTheme="minorEastAsia"/>
                    </w:rPr>
                  </w:pPr>
                  <w:r>
                    <w:rPr>
                      <w:rFonts w:hint="eastAsia" w:ascii="Times New Roman" w:hAnsi="Times New Roman"/>
                      <w:b w:val="0"/>
                      <w:bCs w:val="0"/>
                      <w:sz w:val="21"/>
                      <w:szCs w:val="21"/>
                    </w:rPr>
                    <w:t>④原料卸料是否洒水抑尘，产品装卸过程是否降低高差。</w:t>
                  </w:r>
                </w:p>
              </w:tc>
              <w:tc>
                <w:tcPr>
                  <w:tcW w:w="2986" w:type="dxa"/>
                  <w:vAlign w:val="center"/>
                </w:tcPr>
                <w:p>
                  <w:pPr>
                    <w:keepNext w:val="0"/>
                    <w:keepLines w:val="0"/>
                    <w:suppressLineNumbers w:val="0"/>
                    <w:tabs>
                      <w:tab w:val="left" w:pos="213"/>
                      <w:tab w:val="left" w:pos="9180"/>
                    </w:tabs>
                    <w:autoSpaceDE w:val="0"/>
                    <w:autoSpaceDN w:val="0"/>
                    <w:spacing w:before="0" w:beforeAutospacing="0" w:after="0" w:afterAutospacing="0"/>
                    <w:ind w:left="0" w:right="0"/>
                    <w:rPr>
                      <w:rFonts w:hint="default" w:eastAsiaTheme="minorEastAsia"/>
                      <w:sz w:val="21"/>
                      <w:szCs w:val="21"/>
                    </w:rPr>
                  </w:pPr>
                  <w:r>
                    <w:rPr>
                      <w:rFonts w:hint="default" w:eastAsiaTheme="minorEastAsia"/>
                      <w:sz w:val="21"/>
                      <w:szCs w:val="21"/>
                    </w:rPr>
                    <w:t>厂界无组织排放废气：</w:t>
                  </w:r>
                </w:p>
                <w:p>
                  <w:pPr>
                    <w:keepNext w:val="0"/>
                    <w:keepLines w:val="0"/>
                    <w:suppressLineNumbers w:val="0"/>
                    <w:tabs>
                      <w:tab w:val="left" w:pos="213"/>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①</w:t>
                  </w:r>
                  <w:r>
                    <w:rPr>
                      <w:rFonts w:hint="default" w:eastAsiaTheme="minorEastAsia"/>
                      <w:sz w:val="21"/>
                      <w:szCs w:val="21"/>
                    </w:rPr>
                    <w:t>监测项目：颗粒物；</w:t>
                  </w:r>
                </w:p>
                <w:p>
                  <w:pPr>
                    <w:keepNext w:val="0"/>
                    <w:keepLines w:val="0"/>
                    <w:suppressLineNumbers w:val="0"/>
                    <w:tabs>
                      <w:tab w:val="left" w:pos="213"/>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②</w:t>
                  </w:r>
                  <w:r>
                    <w:rPr>
                      <w:rFonts w:hint="default" w:eastAsiaTheme="minorEastAsia"/>
                      <w:sz w:val="21"/>
                      <w:szCs w:val="21"/>
                    </w:rPr>
                    <w:t>执行标准：《</w:t>
                  </w:r>
                  <w:r>
                    <w:rPr>
                      <w:rFonts w:hint="eastAsia" w:eastAsiaTheme="minorEastAsia"/>
                      <w:sz w:val="21"/>
                      <w:szCs w:val="21"/>
                    </w:rPr>
                    <w:t xml:space="preserve"> </w:t>
                  </w:r>
                  <w:r>
                    <w:rPr>
                      <w:rFonts w:hint="default" w:eastAsiaTheme="minorEastAsia"/>
                      <w:sz w:val="21"/>
                      <w:szCs w:val="21"/>
                    </w:rPr>
                    <w:t>大气污染物综合排放标准》（GB16297-1996）表2标准</w:t>
                  </w:r>
                </w:p>
                <w:p>
                  <w:pPr>
                    <w:keepNext w:val="0"/>
                    <w:keepLines w:val="0"/>
                    <w:suppressLineNumbers w:val="0"/>
                    <w:tabs>
                      <w:tab w:val="left" w:pos="213"/>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③</w:t>
                  </w:r>
                  <w:r>
                    <w:rPr>
                      <w:rFonts w:hint="default" w:eastAsiaTheme="minorEastAsia"/>
                      <w:sz w:val="21"/>
                      <w:szCs w:val="21"/>
                    </w:rPr>
                    <w:t>监测位置：</w:t>
                  </w:r>
                  <w:r>
                    <w:rPr>
                      <w:rFonts w:hint="eastAsia" w:eastAsiaTheme="minorEastAsia"/>
                      <w:sz w:val="21"/>
                      <w:szCs w:val="21"/>
                    </w:rPr>
                    <w:t>厂</w:t>
                  </w:r>
                  <w:r>
                    <w:rPr>
                      <w:rFonts w:hint="default" w:eastAsiaTheme="minorEastAsia"/>
                      <w:sz w:val="21"/>
                      <w:szCs w:val="21"/>
                    </w:rPr>
                    <w:t>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2" w:type="dxa"/>
                  <w:tcMar>
                    <w:top w:w="0" w:type="dxa"/>
                    <w:left w:w="85" w:type="dxa"/>
                    <w:bottom w:w="0" w:type="dxa"/>
                    <w:right w:w="85" w:type="dxa"/>
                  </w:tcMar>
                  <w:vAlign w:val="center"/>
                </w:tcPr>
                <w:p>
                  <w:pPr>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废水处理设施</w:t>
                  </w:r>
                </w:p>
              </w:tc>
              <w:tc>
                <w:tcPr>
                  <w:tcW w:w="3353" w:type="dxa"/>
                  <w:tcMar>
                    <w:top w:w="0" w:type="dxa"/>
                    <w:left w:w="85" w:type="dxa"/>
                    <w:bottom w:w="0" w:type="dxa"/>
                    <w:right w:w="85" w:type="dxa"/>
                  </w:tcMar>
                  <w:vAlign w:val="center"/>
                </w:tcPr>
                <w:p>
                  <w:pPr>
                    <w:keepNext w:val="0"/>
                    <w:keepLines w:val="0"/>
                    <w:suppressLineNumbers w:val="0"/>
                    <w:tabs>
                      <w:tab w:val="left" w:pos="247"/>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①</w:t>
                  </w:r>
                  <w:r>
                    <w:rPr>
                      <w:rFonts w:hint="default" w:eastAsiaTheme="minorEastAsia"/>
                      <w:sz w:val="21"/>
                      <w:szCs w:val="21"/>
                    </w:rPr>
                    <w:t>核查厂区是否做到雨污分流；</w:t>
                  </w:r>
                </w:p>
                <w:p>
                  <w:pPr>
                    <w:keepNext w:val="0"/>
                    <w:keepLines w:val="0"/>
                    <w:suppressLineNumbers w:val="0"/>
                    <w:tabs>
                      <w:tab w:val="left" w:pos="247"/>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②</w:t>
                  </w:r>
                  <w:r>
                    <w:rPr>
                      <w:rFonts w:hint="default" w:eastAsiaTheme="minorEastAsia"/>
                      <w:sz w:val="21"/>
                      <w:szCs w:val="21"/>
                    </w:rPr>
                    <w:t>核查项目生产废水（</w:t>
                  </w:r>
                  <w:r>
                    <w:rPr>
                      <w:rFonts w:hint="eastAsia" w:eastAsiaTheme="minorEastAsia"/>
                      <w:sz w:val="21"/>
                      <w:szCs w:val="21"/>
                    </w:rPr>
                    <w:t>洗砂废水</w:t>
                  </w:r>
                  <w:r>
                    <w:rPr>
                      <w:rFonts w:hint="default" w:eastAsiaTheme="minorEastAsia"/>
                      <w:sz w:val="21"/>
                      <w:szCs w:val="21"/>
                    </w:rPr>
                    <w:t>、洗车废水以及初期雨水等）是否</w:t>
                  </w:r>
                  <w:r>
                    <w:rPr>
                      <w:rFonts w:hint="eastAsia" w:eastAsiaTheme="minorEastAsia"/>
                      <w:sz w:val="21"/>
                      <w:szCs w:val="21"/>
                    </w:rPr>
                    <w:t>收集</w:t>
                  </w:r>
                  <w:r>
                    <w:rPr>
                      <w:rFonts w:hint="default" w:eastAsiaTheme="minorEastAsia"/>
                      <w:sz w:val="21"/>
                      <w:szCs w:val="21"/>
                    </w:rPr>
                    <w:t>处理后全部回用。</w:t>
                  </w:r>
                </w:p>
                <w:p>
                  <w:pPr>
                    <w:keepNext w:val="0"/>
                    <w:keepLines w:val="0"/>
                    <w:suppressLineNumbers w:val="0"/>
                    <w:tabs>
                      <w:tab w:val="left" w:pos="247"/>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③</w:t>
                  </w:r>
                  <w:r>
                    <w:rPr>
                      <w:rFonts w:hint="default" w:eastAsiaTheme="minorEastAsia"/>
                      <w:sz w:val="21"/>
                      <w:szCs w:val="21"/>
                    </w:rPr>
                    <w:t>核查配套回用管网及设施的建设情况。</w:t>
                  </w:r>
                </w:p>
              </w:tc>
              <w:tc>
                <w:tcPr>
                  <w:tcW w:w="2986" w:type="dxa"/>
                  <w:vAlign w:val="center"/>
                </w:tcPr>
                <w:p>
                  <w:pPr>
                    <w:pStyle w:val="5"/>
                    <w:keepNext w:val="0"/>
                    <w:keepLines w:val="0"/>
                    <w:suppressLineNumbers w:val="0"/>
                    <w:spacing w:before="0" w:beforeAutospacing="0" w:after="0" w:afterAutospacing="0" w:line="240" w:lineRule="auto"/>
                    <w:ind w:left="0" w:right="0" w:firstLine="0" w:firstLineChars="0"/>
                    <w:jc w:val="left"/>
                    <w:rPr>
                      <w:rFonts w:hint="default"/>
                      <w:color w:val="FF0000"/>
                      <w:sz w:val="21"/>
                      <w:szCs w:val="21"/>
                      <w:lang w:val="en-US"/>
                    </w:rPr>
                  </w:pPr>
                  <w:r>
                    <w:rPr>
                      <w:rFonts w:hint="eastAsia"/>
                      <w:sz w:val="21"/>
                      <w:szCs w:val="21"/>
                      <w:lang w:val="en-US"/>
                    </w:rPr>
                    <w:t>“沉淀</w:t>
                  </w:r>
                  <w:r>
                    <w:rPr>
                      <w:rFonts w:hint="eastAsia"/>
                      <w:color w:val="auto"/>
                      <w:sz w:val="21"/>
                      <w:szCs w:val="21"/>
                      <w:lang w:val="en-US"/>
                    </w:rPr>
                    <w:t>罐+沉淀池”废水处理设施</w:t>
                  </w:r>
                  <w:r>
                    <w:rPr>
                      <w:rFonts w:hint="eastAsia"/>
                      <w:color w:val="auto"/>
                      <w:sz w:val="21"/>
                      <w:szCs w:val="21"/>
                      <w:lang w:val="en-US" w:eastAsia="zh-CN"/>
                    </w:rPr>
                    <w:t>，处理能力为200m</w:t>
                  </w:r>
                  <w:r>
                    <w:rPr>
                      <w:rFonts w:hint="eastAsia"/>
                      <w:color w:val="auto"/>
                      <w:sz w:val="21"/>
                      <w:szCs w:val="21"/>
                      <w:vertAlign w:val="superscript"/>
                      <w:lang w:val="en-US" w:eastAsia="zh-CN"/>
                    </w:rPr>
                    <w:t>3</w:t>
                  </w:r>
                  <w:r>
                    <w:rPr>
                      <w:rFonts w:hint="eastAsia"/>
                      <w:color w:val="auto"/>
                      <w:sz w:val="21"/>
                      <w:szCs w:val="21"/>
                      <w:lang w:val="en-US" w:eastAsia="zh-CN"/>
                    </w:rPr>
                    <w:t>/d</w:t>
                  </w:r>
                  <w:r>
                    <w:rPr>
                      <w:rFonts w:hint="eastAsia"/>
                      <w:color w:val="auto"/>
                      <w:sz w:val="21"/>
                      <w:szCs w:val="21"/>
                      <w:lang w:val="en-US"/>
                    </w:rPr>
                    <w:t>；</w:t>
                  </w:r>
                </w:p>
                <w:p>
                  <w:pPr>
                    <w:pStyle w:val="5"/>
                    <w:keepNext w:val="0"/>
                    <w:keepLines w:val="0"/>
                    <w:suppressLineNumbers w:val="0"/>
                    <w:spacing w:before="0" w:beforeAutospacing="0" w:after="0" w:afterAutospacing="0" w:line="240" w:lineRule="auto"/>
                    <w:ind w:left="0" w:right="0" w:firstLine="0" w:firstLineChars="0"/>
                    <w:jc w:val="left"/>
                    <w:rPr>
                      <w:rFonts w:hint="default"/>
                      <w:sz w:val="21"/>
                      <w:szCs w:val="21"/>
                      <w:lang w:val="en-US"/>
                    </w:rPr>
                  </w:pPr>
                  <w:r>
                    <w:rPr>
                      <w:rFonts w:hint="eastAsia"/>
                      <w:sz w:val="21"/>
                      <w:szCs w:val="21"/>
                      <w:lang w:val="en-US" w:eastAsia="zh-CN"/>
                    </w:rPr>
                    <w:t>初期雨水池</w:t>
                  </w:r>
                  <w:r>
                    <w:rPr>
                      <w:rFonts w:hint="eastAsia"/>
                      <w:sz w:val="21"/>
                      <w:szCs w:val="21"/>
                      <w:lang w:val="en-US"/>
                    </w:rPr>
                    <w:t>容积为1</w:t>
                  </w:r>
                  <w:r>
                    <w:rPr>
                      <w:rFonts w:hint="eastAsia"/>
                      <w:sz w:val="21"/>
                      <w:szCs w:val="21"/>
                      <w:lang w:val="en-US" w:eastAsia="zh-CN"/>
                    </w:rPr>
                    <w:t>2</w:t>
                  </w:r>
                  <w:r>
                    <w:rPr>
                      <w:rFonts w:hint="eastAsia"/>
                      <w:sz w:val="21"/>
                      <w:szCs w:val="21"/>
                      <w:lang w:val="en-US"/>
                    </w:rPr>
                    <w:t>m</w:t>
                  </w:r>
                  <w:r>
                    <w:rPr>
                      <w:rFonts w:hint="eastAsia"/>
                      <w:sz w:val="21"/>
                      <w:szCs w:val="21"/>
                      <w:vertAlign w:val="superscript"/>
                      <w:lang w:val="en-US"/>
                    </w:rPr>
                    <w:t>3</w:t>
                  </w:r>
                  <w:r>
                    <w:rPr>
                      <w:rFonts w:hint="eastAsia"/>
                      <w:sz w:val="21"/>
                      <w:szCs w:val="21"/>
                      <w:lang w:val="en-US"/>
                    </w:rPr>
                    <w:t>，设置雨水切换阀，生产废水零排放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2" w:type="dxa"/>
                  <w:tcMar>
                    <w:top w:w="0" w:type="dxa"/>
                    <w:left w:w="85" w:type="dxa"/>
                    <w:bottom w:w="0" w:type="dxa"/>
                    <w:right w:w="85" w:type="dxa"/>
                  </w:tcMar>
                  <w:vAlign w:val="center"/>
                </w:tcPr>
                <w:p>
                  <w:pPr>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噪声</w:t>
                  </w:r>
                </w:p>
              </w:tc>
              <w:tc>
                <w:tcPr>
                  <w:tcW w:w="3353" w:type="dxa"/>
                  <w:tcMar>
                    <w:top w:w="0" w:type="dxa"/>
                    <w:left w:w="85" w:type="dxa"/>
                    <w:bottom w:w="0" w:type="dxa"/>
                    <w:right w:w="85" w:type="dxa"/>
                  </w:tcMar>
                  <w:vAlign w:val="center"/>
                </w:tcPr>
                <w:p>
                  <w:pPr>
                    <w:pStyle w:val="62"/>
                    <w:keepNext w:val="0"/>
                    <w:keepLines w:val="0"/>
                    <w:suppressLineNumbers w:val="0"/>
                    <w:tabs>
                      <w:tab w:val="left" w:pos="251"/>
                    </w:tabs>
                    <w:autoSpaceDE w:val="0"/>
                    <w:autoSpaceDN w:val="0"/>
                    <w:spacing w:before="0" w:beforeAutospacing="0" w:after="0" w:afterAutospacing="0"/>
                    <w:ind w:left="0" w:right="0" w:firstLine="0" w:firstLineChars="0"/>
                    <w:rPr>
                      <w:rFonts w:hint="default" w:eastAsiaTheme="minorEastAsia"/>
                      <w:sz w:val="21"/>
                      <w:szCs w:val="21"/>
                    </w:rPr>
                  </w:pPr>
                  <w:r>
                    <w:rPr>
                      <w:rFonts w:hint="default" w:eastAsiaTheme="minorEastAsia"/>
                      <w:sz w:val="21"/>
                      <w:szCs w:val="21"/>
                    </w:rPr>
                    <w:t>选用低噪声设备</w:t>
                  </w:r>
                  <w:r>
                    <w:rPr>
                      <w:rFonts w:hint="eastAsia" w:eastAsiaTheme="minorEastAsia"/>
                      <w:sz w:val="21"/>
                      <w:szCs w:val="21"/>
                    </w:rPr>
                    <w:t>、设置减震垫等</w:t>
                  </w:r>
                  <w:r>
                    <w:rPr>
                      <w:rFonts w:hint="default" w:eastAsiaTheme="minorEastAsia"/>
                      <w:sz w:val="21"/>
                      <w:szCs w:val="21"/>
                    </w:rPr>
                    <w:t>。</w:t>
                  </w:r>
                </w:p>
              </w:tc>
              <w:tc>
                <w:tcPr>
                  <w:tcW w:w="2986" w:type="dxa"/>
                  <w:vAlign w:val="center"/>
                </w:tcPr>
                <w:p>
                  <w:pPr>
                    <w:keepNext w:val="0"/>
                    <w:keepLines w:val="0"/>
                    <w:suppressLineNumbers w:val="0"/>
                    <w:tabs>
                      <w:tab w:val="left" w:pos="9180"/>
                    </w:tabs>
                    <w:autoSpaceDE w:val="0"/>
                    <w:autoSpaceDN w:val="0"/>
                    <w:spacing w:before="0" w:beforeAutospacing="0" w:after="0" w:afterAutospacing="0"/>
                    <w:ind w:left="0" w:right="0"/>
                    <w:rPr>
                      <w:rFonts w:hint="default" w:eastAsiaTheme="minorEastAsia"/>
                      <w:sz w:val="21"/>
                      <w:szCs w:val="21"/>
                    </w:rPr>
                  </w:pPr>
                  <w:r>
                    <w:rPr>
                      <w:rFonts w:hint="default" w:eastAsiaTheme="minorEastAsia"/>
                      <w:sz w:val="21"/>
                      <w:szCs w:val="21"/>
                    </w:rPr>
                    <w:t>厂界噪声验收监测：</w:t>
                  </w:r>
                </w:p>
                <w:p>
                  <w:pPr>
                    <w:keepNext w:val="0"/>
                    <w:keepLines w:val="0"/>
                    <w:suppressLineNumbers w:val="0"/>
                    <w:tabs>
                      <w:tab w:val="left" w:pos="226"/>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①</w:t>
                  </w:r>
                  <w:r>
                    <w:rPr>
                      <w:rFonts w:hint="default" w:eastAsiaTheme="minorEastAsia"/>
                      <w:sz w:val="21"/>
                      <w:szCs w:val="21"/>
                    </w:rPr>
                    <w:t>监测内容：等效连续A声级；</w:t>
                  </w:r>
                </w:p>
                <w:p>
                  <w:pPr>
                    <w:keepNext w:val="0"/>
                    <w:keepLines w:val="0"/>
                    <w:suppressLineNumbers w:val="0"/>
                    <w:tabs>
                      <w:tab w:val="left" w:pos="226"/>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②</w:t>
                  </w:r>
                  <w:r>
                    <w:rPr>
                      <w:rFonts w:hint="default" w:eastAsiaTheme="minorEastAsia"/>
                      <w:sz w:val="21"/>
                      <w:szCs w:val="21"/>
                    </w:rPr>
                    <w:t>执行标准：《工业企业厂界环境噪声排放标准》（GB12348-2008）</w:t>
                  </w:r>
                  <w:r>
                    <w:rPr>
                      <w:rFonts w:hint="eastAsia" w:eastAsiaTheme="minorEastAsia"/>
                      <w:sz w:val="21"/>
                      <w:szCs w:val="21"/>
                    </w:rPr>
                    <w:t>2类</w:t>
                  </w:r>
                  <w:r>
                    <w:rPr>
                      <w:rFonts w:hint="default" w:eastAsiaTheme="minorEastAsia"/>
                      <w:sz w:val="21"/>
                      <w:szCs w:val="21"/>
                    </w:rPr>
                    <w:t>标准。</w:t>
                  </w:r>
                </w:p>
                <w:p>
                  <w:pPr>
                    <w:keepNext w:val="0"/>
                    <w:keepLines w:val="0"/>
                    <w:suppressLineNumbers w:val="0"/>
                    <w:tabs>
                      <w:tab w:val="left" w:pos="226"/>
                      <w:tab w:val="left" w:pos="9180"/>
                    </w:tabs>
                    <w:autoSpaceDE w:val="0"/>
                    <w:autoSpaceDN w:val="0"/>
                    <w:spacing w:before="0" w:beforeAutospacing="0" w:after="0" w:afterAutospacing="0"/>
                    <w:ind w:left="0" w:right="0"/>
                    <w:rPr>
                      <w:rFonts w:hint="default" w:eastAsiaTheme="minorEastAsia"/>
                      <w:sz w:val="21"/>
                      <w:szCs w:val="21"/>
                    </w:rPr>
                  </w:pPr>
                  <w:r>
                    <w:rPr>
                      <w:rFonts w:hint="eastAsia" w:eastAsiaTheme="minorEastAsia"/>
                      <w:sz w:val="21"/>
                      <w:szCs w:val="21"/>
                    </w:rPr>
                    <w:t>③</w:t>
                  </w:r>
                  <w:r>
                    <w:rPr>
                      <w:rFonts w:hint="default" w:eastAsiaTheme="minorEastAsia"/>
                      <w:sz w:val="21"/>
                      <w:szCs w:val="21"/>
                    </w:rPr>
                    <w:t>监测位置：</w:t>
                  </w:r>
                  <w:r>
                    <w:rPr>
                      <w:rFonts w:hint="eastAsia" w:eastAsiaTheme="minorEastAsia"/>
                      <w:sz w:val="21"/>
                      <w:szCs w:val="21"/>
                    </w:rPr>
                    <w:t>厂</w:t>
                  </w:r>
                  <w:r>
                    <w:rPr>
                      <w:rFonts w:hint="default" w:eastAsiaTheme="minorEastAsia"/>
                      <w:sz w:val="21"/>
                      <w:szCs w:val="21"/>
                    </w:rPr>
                    <w:t>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8" w:hRule="atLeast"/>
                <w:jc w:val="center"/>
              </w:trPr>
              <w:tc>
                <w:tcPr>
                  <w:tcW w:w="712" w:type="dxa"/>
                  <w:tcMar>
                    <w:top w:w="0" w:type="dxa"/>
                    <w:left w:w="85" w:type="dxa"/>
                    <w:bottom w:w="0" w:type="dxa"/>
                    <w:right w:w="85" w:type="dxa"/>
                  </w:tcMar>
                  <w:vAlign w:val="center"/>
                </w:tcPr>
                <w:p>
                  <w:pPr>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地下水防渗措施</w:t>
                  </w:r>
                </w:p>
              </w:tc>
              <w:tc>
                <w:tcPr>
                  <w:tcW w:w="6339" w:type="dxa"/>
                  <w:gridSpan w:val="2"/>
                  <w:tcMar>
                    <w:top w:w="0" w:type="dxa"/>
                    <w:left w:w="85" w:type="dxa"/>
                    <w:bottom w:w="0" w:type="dxa"/>
                    <w:right w:w="85" w:type="dxa"/>
                  </w:tcMar>
                </w:tcPr>
                <w:p>
                  <w:pPr>
                    <w:pStyle w:val="62"/>
                    <w:keepNext w:val="0"/>
                    <w:keepLines w:val="0"/>
                    <w:suppressLineNumbers w:val="0"/>
                    <w:tabs>
                      <w:tab w:val="left" w:pos="251"/>
                    </w:tabs>
                    <w:autoSpaceDE w:val="0"/>
                    <w:autoSpaceDN w:val="0"/>
                    <w:spacing w:before="0" w:beforeAutospacing="0" w:after="0" w:afterAutospacing="0"/>
                    <w:ind w:left="0" w:right="0" w:firstLine="0" w:firstLineChars="0"/>
                    <w:rPr>
                      <w:rFonts w:hint="default" w:eastAsiaTheme="minorEastAsia"/>
                      <w:sz w:val="21"/>
                      <w:szCs w:val="21"/>
                    </w:rPr>
                  </w:pPr>
                  <w:r>
                    <w:rPr>
                      <w:rFonts w:hint="eastAsia" w:eastAsiaTheme="minorEastAsia"/>
                      <w:sz w:val="21"/>
                      <w:szCs w:val="21"/>
                    </w:rPr>
                    <w:t>根据设计和施工资料，</w:t>
                  </w:r>
                  <w:r>
                    <w:rPr>
                      <w:rFonts w:hint="default" w:eastAsiaTheme="minorEastAsia"/>
                      <w:sz w:val="21"/>
                      <w:szCs w:val="21"/>
                    </w:rPr>
                    <w:t>核查</w:t>
                  </w:r>
                  <w:r>
                    <w:rPr>
                      <w:rFonts w:hint="eastAsia" w:eastAsiaTheme="minorEastAsia"/>
                      <w:sz w:val="21"/>
                      <w:szCs w:val="21"/>
                    </w:rPr>
                    <w:t>危废间是否采取“防渗混凝土+环氧树脂”防渗；检查沉淀池、清水池、</w:t>
                  </w:r>
                  <w:r>
                    <w:rPr>
                      <w:rFonts w:hint="eastAsia" w:eastAsiaTheme="minorEastAsia"/>
                      <w:sz w:val="21"/>
                      <w:szCs w:val="21"/>
                      <w:lang w:eastAsia="zh-CN"/>
                    </w:rPr>
                    <w:t>初期雨水池</w:t>
                  </w:r>
                  <w:r>
                    <w:rPr>
                      <w:rFonts w:hint="eastAsia" w:eastAsiaTheme="minorEastAsia"/>
                      <w:sz w:val="21"/>
                      <w:szCs w:val="21"/>
                    </w:rPr>
                    <w:t>等</w:t>
                  </w:r>
                  <w:r>
                    <w:rPr>
                      <w:rFonts w:hint="default" w:eastAsiaTheme="minorEastAsia"/>
                      <w:sz w:val="21"/>
                      <w:szCs w:val="21"/>
                    </w:rPr>
                    <w:t>防渗</w:t>
                  </w:r>
                  <w:r>
                    <w:rPr>
                      <w:rFonts w:hint="eastAsia" w:eastAsiaTheme="minorEastAsia"/>
                      <w:sz w:val="21"/>
                      <w:szCs w:val="21"/>
                    </w:rPr>
                    <w:t>措施是否满足要求；检查</w:t>
                  </w:r>
                  <w:r>
                    <w:rPr>
                      <w:rFonts w:hint="default" w:eastAsiaTheme="minorEastAsia"/>
                      <w:sz w:val="21"/>
                      <w:szCs w:val="21"/>
                    </w:rPr>
                    <w:t>车间</w:t>
                  </w:r>
                  <w:r>
                    <w:rPr>
                      <w:rFonts w:hint="eastAsia" w:eastAsiaTheme="minorEastAsia"/>
                      <w:sz w:val="21"/>
                      <w:szCs w:val="21"/>
                    </w:rPr>
                    <w:t>是否</w:t>
                  </w:r>
                  <w:r>
                    <w:rPr>
                      <w:rFonts w:hint="default" w:eastAsiaTheme="minorEastAsia"/>
                      <w:sz w:val="21"/>
                      <w:szCs w:val="21"/>
                    </w:rPr>
                    <w:t>采用防渗混凝土硬化；污水及回用水运输管道应采用耐腐蚀、耐磨损、防渗等级高的材料。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77" w:hRule="atLeast"/>
                <w:jc w:val="center"/>
              </w:trPr>
              <w:tc>
                <w:tcPr>
                  <w:tcW w:w="712" w:type="dxa"/>
                  <w:tcMar>
                    <w:top w:w="0" w:type="dxa"/>
                    <w:left w:w="85" w:type="dxa"/>
                    <w:bottom w:w="0" w:type="dxa"/>
                    <w:right w:w="85" w:type="dxa"/>
                  </w:tcMar>
                  <w:vAlign w:val="center"/>
                </w:tcPr>
                <w:p>
                  <w:pPr>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固体废物</w:t>
                  </w:r>
                  <w:r>
                    <w:rPr>
                      <w:rFonts w:hint="eastAsia" w:eastAsiaTheme="minorEastAsia"/>
                      <w:sz w:val="21"/>
                      <w:szCs w:val="21"/>
                    </w:rPr>
                    <w:t>处</w:t>
                  </w:r>
                  <w:r>
                    <w:rPr>
                      <w:rFonts w:hint="default" w:eastAsiaTheme="minorEastAsia"/>
                      <w:sz w:val="21"/>
                      <w:szCs w:val="21"/>
                    </w:rPr>
                    <w:t>置</w:t>
                  </w:r>
                </w:p>
              </w:tc>
              <w:tc>
                <w:tcPr>
                  <w:tcW w:w="6339" w:type="dxa"/>
                  <w:gridSpan w:val="2"/>
                  <w:tcMar>
                    <w:top w:w="0" w:type="dxa"/>
                    <w:left w:w="85" w:type="dxa"/>
                    <w:bottom w:w="0" w:type="dxa"/>
                    <w:right w:w="85" w:type="dxa"/>
                  </w:tcMar>
                </w:tcPr>
                <w:p>
                  <w:pPr>
                    <w:pStyle w:val="62"/>
                    <w:keepNext w:val="0"/>
                    <w:keepLines w:val="0"/>
                    <w:suppressLineNumbers w:val="0"/>
                    <w:tabs>
                      <w:tab w:val="left" w:pos="251"/>
                    </w:tabs>
                    <w:autoSpaceDE w:val="0"/>
                    <w:autoSpaceDN w:val="0"/>
                    <w:spacing w:before="0" w:beforeAutospacing="0" w:after="0" w:afterAutospacing="0"/>
                    <w:ind w:left="0" w:right="0" w:firstLine="0" w:firstLineChars="0"/>
                    <w:rPr>
                      <w:rFonts w:hint="default" w:eastAsiaTheme="minorEastAsia"/>
                      <w:sz w:val="21"/>
                      <w:szCs w:val="21"/>
                    </w:rPr>
                  </w:pPr>
                  <w:r>
                    <w:rPr>
                      <w:rFonts w:hint="eastAsia" w:eastAsiaTheme="minorEastAsia"/>
                      <w:sz w:val="21"/>
                      <w:szCs w:val="21"/>
                    </w:rPr>
                    <w:t>①</w:t>
                  </w:r>
                  <w:r>
                    <w:rPr>
                      <w:rFonts w:hint="default" w:eastAsiaTheme="minorEastAsia"/>
                      <w:sz w:val="21"/>
                      <w:szCs w:val="21"/>
                    </w:rPr>
                    <w:t>核查一般固废贮存过程是否满足相应防渗漏、防雨淋、防扬尘等环境保护要求。</w:t>
                  </w:r>
                </w:p>
                <w:p>
                  <w:pPr>
                    <w:pStyle w:val="62"/>
                    <w:keepNext w:val="0"/>
                    <w:keepLines w:val="0"/>
                    <w:suppressLineNumbers w:val="0"/>
                    <w:tabs>
                      <w:tab w:val="left" w:pos="251"/>
                    </w:tabs>
                    <w:autoSpaceDE w:val="0"/>
                    <w:autoSpaceDN w:val="0"/>
                    <w:spacing w:before="0" w:beforeAutospacing="0" w:after="0" w:afterAutospacing="0"/>
                    <w:ind w:left="0" w:right="0" w:firstLine="0" w:firstLineChars="0"/>
                    <w:rPr>
                      <w:rFonts w:hint="default" w:eastAsiaTheme="minorEastAsia"/>
                      <w:sz w:val="21"/>
                      <w:szCs w:val="21"/>
                    </w:rPr>
                  </w:pPr>
                  <w:r>
                    <w:rPr>
                      <w:rFonts w:hint="eastAsia" w:eastAsiaTheme="minorEastAsia"/>
                      <w:sz w:val="21"/>
                      <w:szCs w:val="21"/>
                    </w:rPr>
                    <w:t>②</w:t>
                  </w:r>
                  <w:r>
                    <w:rPr>
                      <w:rFonts w:hint="default" w:eastAsiaTheme="minorEastAsia"/>
                      <w:sz w:val="21"/>
                      <w:szCs w:val="21"/>
                    </w:rPr>
                    <w:t>核查是否建立固体废物的存储、处置、管理计划和台账等环境管理措施及制度。</w:t>
                  </w:r>
                </w:p>
                <w:p>
                  <w:pPr>
                    <w:pStyle w:val="62"/>
                    <w:keepNext w:val="0"/>
                    <w:keepLines w:val="0"/>
                    <w:suppressLineNumbers w:val="0"/>
                    <w:tabs>
                      <w:tab w:val="left" w:pos="251"/>
                    </w:tabs>
                    <w:autoSpaceDE w:val="0"/>
                    <w:autoSpaceDN w:val="0"/>
                    <w:spacing w:before="0" w:beforeAutospacing="0" w:after="0" w:afterAutospacing="0"/>
                    <w:ind w:left="0" w:right="0" w:firstLine="0" w:firstLineChars="0"/>
                    <w:rPr>
                      <w:rFonts w:hint="default" w:eastAsiaTheme="minorEastAsia"/>
                      <w:sz w:val="21"/>
                      <w:szCs w:val="21"/>
                    </w:rPr>
                  </w:pPr>
                  <w:r>
                    <w:rPr>
                      <w:rFonts w:hint="eastAsia" w:eastAsiaTheme="minorEastAsia"/>
                      <w:sz w:val="21"/>
                      <w:szCs w:val="21"/>
                    </w:rPr>
                    <w:t>③落实固体废物处置措施；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712" w:type="dxa"/>
                  <w:tcMar>
                    <w:top w:w="0" w:type="dxa"/>
                    <w:left w:w="85" w:type="dxa"/>
                    <w:bottom w:w="0" w:type="dxa"/>
                    <w:right w:w="85" w:type="dxa"/>
                  </w:tcMar>
                  <w:vAlign w:val="center"/>
                </w:tcPr>
                <w:p>
                  <w:pPr>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环境风险</w:t>
                  </w:r>
                </w:p>
              </w:tc>
              <w:tc>
                <w:tcPr>
                  <w:tcW w:w="6339" w:type="dxa"/>
                  <w:gridSpan w:val="2"/>
                  <w:tcMar>
                    <w:top w:w="0" w:type="dxa"/>
                    <w:left w:w="85" w:type="dxa"/>
                    <w:bottom w:w="0" w:type="dxa"/>
                    <w:right w:w="85" w:type="dxa"/>
                  </w:tcMar>
                  <w:vAlign w:val="center"/>
                </w:tcPr>
                <w:p>
                  <w:pPr>
                    <w:pStyle w:val="62"/>
                    <w:keepNext w:val="0"/>
                    <w:keepLines w:val="0"/>
                    <w:suppressLineNumbers w:val="0"/>
                    <w:tabs>
                      <w:tab w:val="left" w:pos="251"/>
                    </w:tabs>
                    <w:autoSpaceDE w:val="0"/>
                    <w:autoSpaceDN w:val="0"/>
                    <w:spacing w:before="0" w:beforeAutospacing="0" w:after="0" w:afterAutospacing="0"/>
                    <w:ind w:left="0" w:right="0" w:firstLine="0" w:firstLineChars="0"/>
                    <w:rPr>
                      <w:rFonts w:hint="default" w:eastAsiaTheme="minorEastAsia"/>
                      <w:sz w:val="21"/>
                      <w:szCs w:val="21"/>
                    </w:rPr>
                  </w:pPr>
                  <w:r>
                    <w:rPr>
                      <w:rFonts w:hint="default" w:eastAsiaTheme="minorEastAsia"/>
                      <w:sz w:val="21"/>
                      <w:szCs w:val="21"/>
                    </w:rPr>
                    <w:t>核查厂内是否采取以下风险防范措施：培训并规范工作人员操作，安排专人巡视，杜绝跑冒滴漏现象，避免因人为原因发生泄漏事故</w:t>
                  </w:r>
                </w:p>
              </w:tc>
            </w:tr>
          </w:tbl>
          <w:p>
            <w:pPr>
              <w:keepNext w:val="0"/>
              <w:keepLines w:val="0"/>
              <w:suppressLineNumbers w:val="0"/>
              <w:spacing w:before="0" w:beforeAutospacing="0" w:after="0" w:afterAutospacing="0" w:line="320" w:lineRule="exact"/>
              <w:ind w:left="0" w:right="0"/>
              <w:rPr>
                <w:rFonts w:hint="default" w:ascii="Times New Roman" w:hAnsi="Times New Roman"/>
                <w:sz w:val="21"/>
                <w:szCs w:val="21"/>
              </w:rPr>
            </w:pPr>
            <w:r>
              <w:rPr>
                <w:rFonts w:hint="eastAsia" w:ascii="Times New Roman" w:hAnsi="Times New Roman"/>
                <w:sz w:val="21"/>
                <w:szCs w:val="21"/>
              </w:rPr>
              <w:t>3</w:t>
            </w:r>
            <w:r>
              <w:rPr>
                <w:rFonts w:hint="default" w:ascii="Times New Roman" w:hAnsi="Times New Roman"/>
                <w:sz w:val="21"/>
                <w:szCs w:val="21"/>
              </w:rPr>
              <w:t>、环境管理台账：建设单位应建立环境管理台账制度，落实环境管理台账记录的责任部门和责任人，明确工作职责，包括台账的记录、整理、维护和管理等，并对环境管理台账的真实性、完整性和规范性负责。台账应按照电子化储存和纸质储存两种形式同步管理。台账（包含监测原始记录）保存期限不得少于5年。</w:t>
            </w:r>
          </w:p>
          <w:p>
            <w:pPr>
              <w:pStyle w:val="34"/>
              <w:keepNext w:val="0"/>
              <w:keepLines w:val="0"/>
              <w:suppressLineNumbers w:val="0"/>
              <w:spacing w:before="0" w:beforeAutospacing="0" w:after="0" w:afterAutospacing="0"/>
              <w:ind w:left="0" w:right="0" w:firstLine="0" w:firstLineChars="0"/>
              <w:rPr>
                <w:rFonts w:hint="default"/>
                <w:sz w:val="21"/>
                <w:szCs w:val="21"/>
              </w:rPr>
            </w:pPr>
          </w:p>
          <w:p>
            <w:pPr>
              <w:pStyle w:val="34"/>
              <w:keepNext w:val="0"/>
              <w:keepLines w:val="0"/>
              <w:suppressLineNumbers w:val="0"/>
              <w:spacing w:before="0" w:beforeAutospacing="0" w:after="0" w:afterAutospacing="0"/>
              <w:ind w:left="0" w:right="0" w:firstLine="0" w:firstLineChars="0"/>
              <w:rPr>
                <w:rFonts w:hint="default"/>
                <w:sz w:val="21"/>
                <w:szCs w:val="21"/>
              </w:rPr>
            </w:pPr>
          </w:p>
          <w:p>
            <w:pPr>
              <w:pStyle w:val="34"/>
              <w:keepNext w:val="0"/>
              <w:keepLines w:val="0"/>
              <w:suppressLineNumbers w:val="0"/>
              <w:spacing w:before="0" w:beforeAutospacing="0" w:after="0" w:afterAutospacing="0"/>
              <w:ind w:left="0" w:right="0" w:firstLine="0" w:firstLineChars="0"/>
              <w:rPr>
                <w:rFonts w:hint="default"/>
                <w:sz w:val="21"/>
                <w:szCs w:val="21"/>
              </w:rPr>
            </w:pPr>
          </w:p>
        </w:tc>
      </w:tr>
    </w:tbl>
    <w:p>
      <w:pPr>
        <w:pStyle w:val="23"/>
      </w:pPr>
      <w:r>
        <w:br w:type="page"/>
      </w:r>
      <w:r>
        <w:rPr>
          <w:color w:val="auto"/>
        </w:rPr>
        <w:t>六、结论</w:t>
      </w:r>
    </w:p>
    <w:tbl>
      <w:tblPr>
        <w:tblStyle w:val="2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kern w:val="0"/>
                <w:szCs w:val="20"/>
              </w:rPr>
            </w:pPr>
            <w:r>
              <w:rPr>
                <w:rFonts w:hint="default" w:ascii="Times New Roman" w:hAnsi="Times New Roman"/>
                <w:kern w:val="0"/>
                <w:szCs w:val="20"/>
              </w:rPr>
              <w:t>本项目为</w:t>
            </w:r>
            <w:r>
              <w:rPr>
                <w:rFonts w:hint="default" w:ascii="Times New Roman" w:hAnsi="Times New Roman" w:eastAsiaTheme="minorEastAsia"/>
                <w:kern w:val="21"/>
              </w:rPr>
              <w:t>耀辉矿渣破碎设备提升技改项目</w:t>
            </w:r>
            <w:r>
              <w:rPr>
                <w:rFonts w:hint="default" w:ascii="Times New Roman" w:hAnsi="Times New Roman"/>
                <w:kern w:val="0"/>
                <w:szCs w:val="20"/>
              </w:rPr>
              <w:t>，选址于福建省三明市大田县前坪乡下地村石克盂</w:t>
            </w:r>
            <w:r>
              <w:rPr>
                <w:rFonts w:hint="eastAsia" w:ascii="Times New Roman" w:hAnsi="Times New Roman"/>
                <w:kern w:val="0"/>
                <w:szCs w:val="20"/>
              </w:rPr>
              <w:t>。</w:t>
            </w:r>
            <w:r>
              <w:rPr>
                <w:rFonts w:hint="default" w:ascii="Times New Roman" w:hAnsi="Times New Roman"/>
                <w:kern w:val="0"/>
                <w:szCs w:val="20"/>
              </w:rPr>
              <w:t>项目符合国家及地方当前产业政策，符合“三线一单”要求，</w:t>
            </w:r>
            <w:r>
              <w:rPr>
                <w:rFonts w:hint="eastAsia" w:ascii="Times New Roman" w:hAnsi="Times New Roman"/>
                <w:kern w:val="0"/>
                <w:szCs w:val="20"/>
              </w:rPr>
              <w:t>符合《大田县国土空间总体规划》《大田县前坪乡土地利用总体规划》，</w:t>
            </w:r>
            <w:r>
              <w:rPr>
                <w:rFonts w:hint="default" w:ascii="Times New Roman" w:hAnsi="Times New Roman"/>
                <w:kern w:val="0"/>
                <w:szCs w:val="20"/>
              </w:rPr>
              <w:t>与周边环境基本相容。在落实本评价提出的各项环保措施后，各项污染物经处理后可实现稳定达标排放；从环境影响角度分析，大田县耀辉矿渣破碎设备提升技改项目的选址和建设是可行的。</w:t>
            </w:r>
          </w:p>
          <w:p>
            <w:pPr>
              <w:keepNext w:val="0"/>
              <w:keepLines w:val="0"/>
              <w:suppressLineNumbers w:val="0"/>
              <w:spacing w:before="0" w:beforeAutospacing="0" w:after="0" w:afterAutospacing="0" w:line="360" w:lineRule="auto"/>
              <w:ind w:left="0" w:right="0" w:firstLine="480"/>
              <w:rPr>
                <w:rFonts w:hint="default" w:ascii="Times New Roman" w:hAnsi="Times New Roman"/>
              </w:rPr>
            </w:pPr>
          </w:p>
          <w:p>
            <w:pPr>
              <w:keepNext w:val="0"/>
              <w:keepLines w:val="0"/>
              <w:suppressLineNumbers w:val="0"/>
              <w:spacing w:before="0" w:beforeAutospacing="0" w:after="0" w:afterAutospacing="0" w:line="360" w:lineRule="auto"/>
              <w:ind w:left="0" w:right="0" w:firstLine="480"/>
              <w:rPr>
                <w:rFonts w:hint="default" w:ascii="Times New Roman" w:hAnsi="Times New Roman"/>
              </w:rPr>
            </w:pPr>
          </w:p>
          <w:p>
            <w:pPr>
              <w:keepNext w:val="0"/>
              <w:keepLines w:val="0"/>
              <w:suppressLineNumbers w:val="0"/>
              <w:spacing w:before="0" w:beforeAutospacing="0" w:after="0" w:afterAutospacing="0" w:line="360" w:lineRule="auto"/>
              <w:ind w:left="0" w:right="0" w:firstLine="480"/>
              <w:rPr>
                <w:rFonts w:hint="default" w:ascii="Times New Roman" w:hAnsi="Times New Roman"/>
              </w:rPr>
            </w:pPr>
          </w:p>
          <w:p>
            <w:pPr>
              <w:keepNext w:val="0"/>
              <w:keepLines w:val="0"/>
              <w:suppressLineNumbers w:val="0"/>
              <w:spacing w:before="0" w:beforeAutospacing="0" w:after="0" w:afterAutospacing="0" w:line="360" w:lineRule="auto"/>
              <w:ind w:left="0" w:right="0" w:firstLine="480"/>
              <w:rPr>
                <w:rFonts w:hint="default" w:ascii="Times New Roman" w:hAnsi="Times New Roma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right"/>
              <w:textAlignment w:val="auto"/>
              <w:rPr>
                <w:rFonts w:hint="default" w:ascii="Times New Roman" w:hAnsi="Times New Roman"/>
              </w:rPr>
            </w:pPr>
            <w:r>
              <w:rPr>
                <w:rFonts w:hint="default" w:ascii="Times New Roman" w:hAnsi="Times New Roman"/>
              </w:rPr>
              <w:t>编制单位：泉州市华大环境保护研究院有限公司</w:t>
            </w:r>
          </w:p>
          <w:p>
            <w:pPr>
              <w:keepNext w:val="0"/>
              <w:keepLines w:val="0"/>
              <w:suppressLineNumbers w:val="0"/>
              <w:wordWrap w:val="0"/>
              <w:spacing w:before="0" w:beforeAutospacing="0" w:after="0" w:afterAutospacing="0" w:line="360" w:lineRule="auto"/>
              <w:ind w:left="0" w:right="0"/>
              <w:jc w:val="right"/>
              <w:rPr>
                <w:rFonts w:hint="default" w:ascii="Times New Roman" w:hAnsi="Times New Roman"/>
              </w:rPr>
            </w:pPr>
            <w:r>
              <w:rPr>
                <w:rFonts w:hint="default" w:ascii="Times New Roman" w:hAnsi="Times New Roman"/>
              </w:rPr>
              <w:t>20</w:t>
            </w:r>
            <w:r>
              <w:rPr>
                <w:rFonts w:hint="eastAsia" w:ascii="Times New Roman" w:hAnsi="Times New Roman"/>
              </w:rPr>
              <w:t>24</w:t>
            </w:r>
            <w:r>
              <w:rPr>
                <w:rFonts w:hint="default" w:ascii="Times New Roman" w:hAnsi="Times New Roman"/>
              </w:rPr>
              <w:t>年</w:t>
            </w:r>
            <w:r>
              <w:rPr>
                <w:rFonts w:hint="eastAsia" w:ascii="Times New Roman" w:hAnsi="Times New Roman"/>
                <w:lang w:val="en-US" w:eastAsia="zh-CN"/>
              </w:rPr>
              <w:t>6</w:t>
            </w:r>
            <w:r>
              <w:rPr>
                <w:rFonts w:hint="default" w:ascii="Times New Roman" w:hAnsi="Times New Roman"/>
              </w:rPr>
              <w:t>月</w:t>
            </w:r>
            <w:r>
              <w:rPr>
                <w:rFonts w:hint="eastAsia" w:ascii="Times New Roman" w:hAnsi="Times New Roman"/>
                <w:lang w:val="en-US" w:eastAsia="zh-CN"/>
              </w:rPr>
              <w:t>5</w:t>
            </w:r>
            <w:r>
              <w:rPr>
                <w:rFonts w:hint="default" w:ascii="Times New Roman" w:hAnsi="Times New Roman"/>
              </w:rPr>
              <w:t xml:space="preserve">日 </w:t>
            </w:r>
          </w:p>
          <w:p>
            <w:pPr>
              <w:pStyle w:val="34"/>
              <w:keepNext w:val="0"/>
              <w:keepLines w:val="0"/>
              <w:suppressLineNumbers w:val="0"/>
              <w:spacing w:before="0" w:beforeAutospacing="0" w:after="0" w:afterAutospacing="0"/>
              <w:ind w:left="0" w:right="0" w:firstLine="480"/>
              <w:rPr>
                <w:rFonts w:hint="default"/>
              </w:rPr>
            </w:pPr>
          </w:p>
          <w:p>
            <w:pPr>
              <w:pStyle w:val="34"/>
              <w:keepNext w:val="0"/>
              <w:keepLines w:val="0"/>
              <w:suppressLineNumbers w:val="0"/>
              <w:spacing w:before="0" w:beforeAutospacing="0" w:after="0" w:afterAutospacing="0"/>
              <w:ind w:left="0" w:right="0" w:firstLine="480"/>
              <w:rPr>
                <w:rFonts w:hint="default"/>
              </w:rPr>
            </w:pPr>
          </w:p>
          <w:p>
            <w:pPr>
              <w:pStyle w:val="34"/>
              <w:keepNext w:val="0"/>
              <w:keepLines w:val="0"/>
              <w:suppressLineNumbers w:val="0"/>
              <w:spacing w:before="0" w:beforeAutospacing="0" w:after="0" w:afterAutospacing="0"/>
              <w:ind w:left="0" w:right="0" w:firstLine="480"/>
              <w:rPr>
                <w:rFonts w:hint="default"/>
              </w:rPr>
            </w:pPr>
          </w:p>
        </w:tc>
      </w:tr>
    </w:tbl>
    <w:p>
      <w:pPr>
        <w:rPr>
          <w:rFonts w:ascii="Times New Roman" w:hAnsi="Times New Rom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rPr>
          <w:color w:val="auto"/>
        </w:rPr>
      </w:pPr>
      <w:r>
        <w:rPr>
          <w:color w:val="auto"/>
        </w:rPr>
        <w:t>附表</w:t>
      </w:r>
    </w:p>
    <w:p>
      <w:pPr>
        <w:pStyle w:val="23"/>
        <w:rPr>
          <w:color w:val="auto"/>
        </w:rPr>
      </w:pPr>
      <w:r>
        <w:rPr>
          <w:color w:val="auto"/>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905"/>
        <w:gridCol w:w="1508"/>
        <w:gridCol w:w="1276"/>
        <w:gridCol w:w="1701"/>
        <w:gridCol w:w="1559"/>
        <w:gridCol w:w="1761"/>
        <w:gridCol w:w="1729"/>
        <w:gridCol w:w="10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93" w:type="dxa"/>
            <w:tcBorders>
              <w:tl2br w:val="single" w:color="auto" w:sz="4" w:space="0"/>
            </w:tcBorders>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项目</w:t>
            </w:r>
          </w:p>
          <w:p>
            <w:pPr>
              <w:pStyle w:val="44"/>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分类</w:t>
            </w:r>
          </w:p>
        </w:tc>
        <w:tc>
          <w:tcPr>
            <w:tcW w:w="1905"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污染物名称</w:t>
            </w:r>
          </w:p>
        </w:tc>
        <w:tc>
          <w:tcPr>
            <w:tcW w:w="1508"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现有工程</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排放量（固体废物产生量）</w:t>
            </w:r>
            <w:r>
              <w:rPr>
                <w:rFonts w:hint="default" w:ascii="Times New Roman" w:hAnsi="Times New Roman" w:eastAsia="黑体"/>
                <w:snapToGrid w:val="0"/>
                <w:spacing w:val="-6"/>
                <w:kern w:val="21"/>
                <w:szCs w:val="21"/>
              </w:rPr>
              <w:fldChar w:fldCharType="begin"/>
            </w:r>
            <w:r>
              <w:rPr>
                <w:rFonts w:hint="default" w:ascii="Times New Roman" w:hAnsi="Times New Roman" w:eastAsia="黑体"/>
                <w:snapToGrid w:val="0"/>
                <w:spacing w:val="-6"/>
                <w:kern w:val="21"/>
                <w:szCs w:val="21"/>
              </w:rPr>
              <w:instrText xml:space="preserve"> = 1 \* GB3 \* MERGEFORMAT </w:instrText>
            </w:r>
            <w:r>
              <w:rPr>
                <w:rFonts w:hint="default" w:ascii="Times New Roman" w:hAnsi="Times New Roman" w:eastAsia="黑体"/>
                <w:snapToGrid w:val="0"/>
                <w:spacing w:val="-6"/>
                <w:kern w:val="21"/>
                <w:szCs w:val="21"/>
              </w:rPr>
              <w:fldChar w:fldCharType="separate"/>
            </w:r>
            <w:r>
              <w:rPr>
                <w:rFonts w:hint="eastAsia" w:hAnsi="宋体" w:cs="宋体"/>
                <w:kern w:val="2"/>
                <w:szCs w:val="21"/>
              </w:rPr>
              <w:t>①</w:t>
            </w:r>
            <w:r>
              <w:rPr>
                <w:rFonts w:hint="default" w:ascii="Times New Roman" w:hAnsi="Times New Roman" w:eastAsia="黑体"/>
                <w:snapToGrid w:val="0"/>
                <w:spacing w:val="-6"/>
                <w:kern w:val="21"/>
                <w:szCs w:val="21"/>
              </w:rPr>
              <w:fldChar w:fldCharType="end"/>
            </w:r>
          </w:p>
        </w:tc>
        <w:tc>
          <w:tcPr>
            <w:tcW w:w="1276"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现有工程</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许可排放量</w:t>
            </w:r>
          </w:p>
          <w:p>
            <w:pPr>
              <w:pStyle w:val="44"/>
              <w:keepNext w:val="0"/>
              <w:keepLines w:val="0"/>
              <w:suppressLineNumbers w:val="0"/>
              <w:spacing w:before="0" w:beforeLines="0" w:beforeAutospacing="0" w:after="0" w:afterLines="0" w:afterAutospacing="0"/>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fldChar w:fldCharType="begin"/>
            </w:r>
            <w:r>
              <w:rPr>
                <w:rFonts w:hint="default" w:ascii="Times New Roman" w:hAnsi="Times New Roman" w:eastAsia="黑体"/>
                <w:snapToGrid w:val="0"/>
                <w:spacing w:val="-6"/>
                <w:kern w:val="21"/>
                <w:szCs w:val="21"/>
              </w:rPr>
              <w:instrText xml:space="preserve"> = 2 \* GB3 \* MERGEFORMAT </w:instrText>
            </w:r>
            <w:r>
              <w:rPr>
                <w:rFonts w:hint="default" w:ascii="Times New Roman" w:hAnsi="Times New Roman" w:eastAsia="黑体"/>
                <w:snapToGrid w:val="0"/>
                <w:spacing w:val="-6"/>
                <w:kern w:val="21"/>
                <w:szCs w:val="21"/>
              </w:rPr>
              <w:fldChar w:fldCharType="separate"/>
            </w:r>
            <w:r>
              <w:rPr>
                <w:rFonts w:hint="eastAsia" w:hAnsi="宋体" w:cs="宋体"/>
                <w:snapToGrid w:val="0"/>
                <w:spacing w:val="-6"/>
                <w:kern w:val="21"/>
                <w:szCs w:val="21"/>
              </w:rPr>
              <w:t>②</w:t>
            </w:r>
            <w:r>
              <w:rPr>
                <w:rFonts w:hint="default" w:ascii="Times New Roman" w:hAnsi="Times New Roman" w:eastAsia="黑体"/>
                <w:snapToGrid w:val="0"/>
                <w:spacing w:val="-6"/>
                <w:kern w:val="21"/>
                <w:szCs w:val="21"/>
              </w:rPr>
              <w:fldChar w:fldCharType="end"/>
            </w:r>
          </w:p>
        </w:tc>
        <w:tc>
          <w:tcPr>
            <w:tcW w:w="1701"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在建工程</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排放量（固体废物产生量）</w:t>
            </w:r>
            <w:r>
              <w:rPr>
                <w:rFonts w:hint="default" w:ascii="Times New Roman" w:hAnsi="Times New Roman" w:eastAsia="黑体"/>
                <w:snapToGrid w:val="0"/>
                <w:spacing w:val="-6"/>
                <w:kern w:val="21"/>
                <w:szCs w:val="21"/>
              </w:rPr>
              <w:fldChar w:fldCharType="begin"/>
            </w:r>
            <w:r>
              <w:rPr>
                <w:rFonts w:hint="default" w:ascii="Times New Roman" w:hAnsi="Times New Roman" w:eastAsia="黑体"/>
                <w:snapToGrid w:val="0"/>
                <w:spacing w:val="-6"/>
                <w:kern w:val="21"/>
                <w:szCs w:val="21"/>
              </w:rPr>
              <w:instrText xml:space="preserve"> = 3 \* GB3 \* MERGEFORMAT </w:instrText>
            </w:r>
            <w:r>
              <w:rPr>
                <w:rFonts w:hint="default" w:ascii="Times New Roman" w:hAnsi="Times New Roman" w:eastAsia="黑体"/>
                <w:snapToGrid w:val="0"/>
                <w:spacing w:val="-6"/>
                <w:kern w:val="21"/>
                <w:szCs w:val="21"/>
              </w:rPr>
              <w:fldChar w:fldCharType="separate"/>
            </w:r>
            <w:r>
              <w:rPr>
                <w:rFonts w:hint="eastAsia" w:hAnsi="宋体" w:cs="宋体"/>
                <w:kern w:val="2"/>
                <w:szCs w:val="21"/>
              </w:rPr>
              <w:t>③</w:t>
            </w:r>
            <w:r>
              <w:rPr>
                <w:rFonts w:hint="default" w:ascii="Times New Roman" w:hAnsi="Times New Roman" w:eastAsia="黑体"/>
                <w:snapToGrid w:val="0"/>
                <w:spacing w:val="-6"/>
                <w:kern w:val="21"/>
                <w:szCs w:val="21"/>
              </w:rPr>
              <w:fldChar w:fldCharType="end"/>
            </w:r>
          </w:p>
        </w:tc>
        <w:tc>
          <w:tcPr>
            <w:tcW w:w="1559"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本项目</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default" w:ascii="Times New Roman" w:hAnsi="Times New Roman" w:eastAsia="黑体"/>
                <w:snapToGrid w:val="0"/>
                <w:spacing w:val="-6"/>
                <w:kern w:val="21"/>
                <w:szCs w:val="21"/>
              </w:rPr>
              <w:t>排放量（固体废物产生量）</w:t>
            </w:r>
            <w:r>
              <w:rPr>
                <w:rFonts w:hint="default" w:ascii="Times New Roman" w:hAnsi="Times New Roman" w:eastAsia="黑体"/>
                <w:snapToGrid w:val="0"/>
                <w:spacing w:val="-6"/>
                <w:kern w:val="21"/>
                <w:szCs w:val="21"/>
              </w:rPr>
              <w:fldChar w:fldCharType="begin"/>
            </w:r>
            <w:r>
              <w:rPr>
                <w:rFonts w:hint="default" w:ascii="Times New Roman" w:hAnsi="Times New Roman" w:eastAsia="黑体"/>
                <w:snapToGrid w:val="0"/>
                <w:spacing w:val="-6"/>
                <w:kern w:val="21"/>
                <w:szCs w:val="21"/>
              </w:rPr>
              <w:instrText xml:space="preserve"> = 4 \* GB3 \* MERGEFORMAT </w:instrText>
            </w:r>
            <w:r>
              <w:rPr>
                <w:rFonts w:hint="default" w:ascii="Times New Roman" w:hAnsi="Times New Roman" w:eastAsia="黑体"/>
                <w:snapToGrid w:val="0"/>
                <w:spacing w:val="-6"/>
                <w:kern w:val="21"/>
                <w:szCs w:val="21"/>
              </w:rPr>
              <w:fldChar w:fldCharType="separate"/>
            </w:r>
            <w:r>
              <w:rPr>
                <w:rFonts w:hint="eastAsia" w:hAnsi="宋体" w:cs="宋体"/>
                <w:kern w:val="2"/>
                <w:szCs w:val="21"/>
              </w:rPr>
              <w:t>④</w:t>
            </w:r>
            <w:r>
              <w:rPr>
                <w:rFonts w:hint="default" w:ascii="Times New Roman" w:hAnsi="Times New Roman" w:eastAsia="黑体"/>
                <w:snapToGrid w:val="0"/>
                <w:spacing w:val="-6"/>
                <w:kern w:val="21"/>
                <w:szCs w:val="21"/>
              </w:rPr>
              <w:fldChar w:fldCharType="end"/>
            </w:r>
          </w:p>
        </w:tc>
        <w:tc>
          <w:tcPr>
            <w:tcW w:w="1761"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16"/>
                <w:kern w:val="21"/>
                <w:szCs w:val="21"/>
              </w:rPr>
            </w:pPr>
            <w:r>
              <w:rPr>
                <w:rFonts w:hint="default" w:ascii="Times New Roman" w:hAnsi="Times New Roman" w:eastAsia="黑体"/>
                <w:snapToGrid w:val="0"/>
                <w:spacing w:val="-16"/>
                <w:kern w:val="21"/>
                <w:szCs w:val="21"/>
              </w:rPr>
              <w:t>以新带老削减量</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16"/>
                <w:kern w:val="21"/>
                <w:szCs w:val="21"/>
              </w:rPr>
            </w:pPr>
            <w:r>
              <w:rPr>
                <w:rFonts w:hint="default" w:ascii="Times New Roman" w:hAnsi="Times New Roman" w:eastAsia="黑体"/>
                <w:snapToGrid w:val="0"/>
                <w:spacing w:val="-16"/>
                <w:kern w:val="21"/>
                <w:szCs w:val="21"/>
              </w:rPr>
              <w:t>（新建项目不填）</w:t>
            </w:r>
            <w:r>
              <w:rPr>
                <w:rFonts w:hint="default" w:ascii="Times New Roman" w:hAnsi="Times New Roman" w:eastAsia="黑体"/>
                <w:snapToGrid w:val="0"/>
                <w:spacing w:val="-16"/>
                <w:kern w:val="21"/>
                <w:szCs w:val="21"/>
              </w:rPr>
              <w:fldChar w:fldCharType="begin"/>
            </w:r>
            <w:r>
              <w:rPr>
                <w:rFonts w:hint="default" w:ascii="Times New Roman" w:hAnsi="Times New Roman" w:eastAsia="黑体"/>
                <w:snapToGrid w:val="0"/>
                <w:spacing w:val="-16"/>
                <w:kern w:val="21"/>
                <w:szCs w:val="21"/>
              </w:rPr>
              <w:instrText xml:space="preserve"> = 5 \* GB3 \* MERGEFORMAT </w:instrText>
            </w:r>
            <w:r>
              <w:rPr>
                <w:rFonts w:hint="default" w:ascii="Times New Roman" w:hAnsi="Times New Roman" w:eastAsia="黑体"/>
                <w:snapToGrid w:val="0"/>
                <w:spacing w:val="-16"/>
                <w:kern w:val="21"/>
                <w:szCs w:val="21"/>
              </w:rPr>
              <w:fldChar w:fldCharType="separate"/>
            </w:r>
            <w:r>
              <w:rPr>
                <w:rFonts w:hint="eastAsia" w:hAnsi="宋体" w:cs="宋体"/>
                <w:kern w:val="2"/>
                <w:szCs w:val="21"/>
              </w:rPr>
              <w:t>⑤</w:t>
            </w:r>
            <w:r>
              <w:rPr>
                <w:rFonts w:hint="default" w:ascii="Times New Roman" w:hAnsi="Times New Roman" w:eastAsia="黑体"/>
                <w:snapToGrid w:val="0"/>
                <w:spacing w:val="-16"/>
                <w:kern w:val="21"/>
                <w:szCs w:val="21"/>
              </w:rPr>
              <w:fldChar w:fldCharType="end"/>
            </w:r>
          </w:p>
        </w:tc>
        <w:tc>
          <w:tcPr>
            <w:tcW w:w="1729"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16"/>
                <w:kern w:val="21"/>
                <w:szCs w:val="21"/>
              </w:rPr>
            </w:pPr>
            <w:r>
              <w:rPr>
                <w:rFonts w:hint="default" w:ascii="Times New Roman" w:hAnsi="Times New Roman" w:eastAsia="黑体"/>
                <w:snapToGrid w:val="0"/>
                <w:spacing w:val="-16"/>
                <w:kern w:val="21"/>
                <w:szCs w:val="21"/>
              </w:rPr>
              <w:t>本项目建成后</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16"/>
                <w:kern w:val="21"/>
                <w:szCs w:val="21"/>
              </w:rPr>
            </w:pPr>
            <w:r>
              <w:rPr>
                <w:rFonts w:hint="default" w:ascii="Times New Roman" w:hAnsi="Times New Roman" w:eastAsia="黑体"/>
                <w:snapToGrid w:val="0"/>
                <w:spacing w:val="-16"/>
                <w:kern w:val="21"/>
                <w:szCs w:val="21"/>
              </w:rPr>
              <w:t>全厂排放量（固体废物产生量）</w:t>
            </w:r>
            <w:r>
              <w:rPr>
                <w:rFonts w:hint="default" w:ascii="Times New Roman" w:hAnsi="Times New Roman" w:eastAsia="黑体"/>
                <w:snapToGrid w:val="0"/>
                <w:spacing w:val="-16"/>
                <w:kern w:val="21"/>
                <w:szCs w:val="21"/>
              </w:rPr>
              <w:fldChar w:fldCharType="begin"/>
            </w:r>
            <w:r>
              <w:rPr>
                <w:rFonts w:hint="default" w:ascii="Times New Roman" w:hAnsi="Times New Roman" w:eastAsia="黑体"/>
                <w:snapToGrid w:val="0"/>
                <w:spacing w:val="-16"/>
                <w:kern w:val="21"/>
                <w:szCs w:val="21"/>
              </w:rPr>
              <w:instrText xml:space="preserve"> = 6 \* GB3 \* MERGEFORMAT </w:instrText>
            </w:r>
            <w:r>
              <w:rPr>
                <w:rFonts w:hint="default" w:ascii="Times New Roman" w:hAnsi="Times New Roman" w:eastAsia="黑体"/>
                <w:snapToGrid w:val="0"/>
                <w:spacing w:val="-16"/>
                <w:kern w:val="21"/>
                <w:szCs w:val="21"/>
              </w:rPr>
              <w:fldChar w:fldCharType="separate"/>
            </w:r>
            <w:r>
              <w:rPr>
                <w:rFonts w:hint="eastAsia" w:hAnsi="宋体" w:cs="宋体"/>
                <w:kern w:val="2"/>
                <w:szCs w:val="21"/>
              </w:rPr>
              <w:t>⑥</w:t>
            </w:r>
            <w:r>
              <w:rPr>
                <w:rFonts w:hint="default" w:ascii="Times New Roman" w:hAnsi="Times New Roman" w:eastAsia="黑体"/>
                <w:snapToGrid w:val="0"/>
                <w:spacing w:val="-16"/>
                <w:kern w:val="21"/>
                <w:szCs w:val="21"/>
              </w:rPr>
              <w:fldChar w:fldCharType="end"/>
            </w:r>
          </w:p>
        </w:tc>
        <w:tc>
          <w:tcPr>
            <w:tcW w:w="1056" w:type="dxa"/>
            <w:tcMar>
              <w:left w:w="28" w:type="dxa"/>
              <w:right w:w="28" w:type="dxa"/>
            </w:tcMar>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eastAsia" w:ascii="Times New Roman" w:hAnsi="Times New Roman" w:eastAsia="黑体"/>
                <w:snapToGrid w:val="0"/>
                <w:spacing w:val="-6"/>
                <w:kern w:val="21"/>
                <w:szCs w:val="21"/>
              </w:rPr>
              <w:t>变化量</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snapToGrid w:val="0"/>
                <w:spacing w:val="-6"/>
                <w:kern w:val="21"/>
                <w:szCs w:val="21"/>
              </w:rPr>
            </w:pPr>
            <w:r>
              <w:rPr>
                <w:rFonts w:hint="eastAsia" w:ascii="Times New Roman" w:hAnsi="Times New Roman" w:eastAsia="黑体"/>
                <w:snapToGrid w:val="0"/>
                <w:spacing w:val="-6"/>
                <w:kern w:val="21"/>
                <w:szCs w:val="21"/>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93"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default" w:ascii="Times New Roman" w:hAnsi="Times New Roman"/>
                <w:snapToGrid w:val="0"/>
                <w:kern w:val="21"/>
                <w:sz w:val="21"/>
                <w:szCs w:val="21"/>
              </w:rPr>
              <w:t>废气</w:t>
            </w:r>
          </w:p>
        </w:tc>
        <w:tc>
          <w:tcPr>
            <w:tcW w:w="1905"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default" w:ascii="Times New Roman" w:hAnsi="Times New Roman"/>
                <w:snapToGrid w:val="0"/>
                <w:kern w:val="21"/>
                <w:sz w:val="21"/>
                <w:szCs w:val="21"/>
              </w:rPr>
              <w:t>颗粒物（t/a）</w:t>
            </w:r>
          </w:p>
        </w:tc>
        <w:tc>
          <w:tcPr>
            <w:tcW w:w="150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snapToGrid w:val="0"/>
                <w:kern w:val="21"/>
                <w:szCs w:val="21"/>
                <w:lang w:eastAsia="zh-CN"/>
              </w:rPr>
            </w:pPr>
            <w:r>
              <w:rPr>
                <w:rFonts w:hint="eastAsia" w:ascii="Times New Roman" w:hAnsi="Times New Roman"/>
                <w:snapToGrid w:val="0"/>
                <w:kern w:val="21"/>
                <w:szCs w:val="21"/>
                <w:lang w:eastAsia="zh-CN"/>
              </w:rPr>
              <w:t>9.24</w:t>
            </w:r>
          </w:p>
        </w:tc>
        <w:tc>
          <w:tcPr>
            <w:tcW w:w="127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0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559" w:type="dxa"/>
            <w:vAlign w:val="center"/>
          </w:tcPr>
          <w:p>
            <w:pPr>
              <w:pStyle w:val="4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snapToGrid w:val="0"/>
                <w:kern w:val="21"/>
                <w:szCs w:val="21"/>
                <w:lang w:eastAsia="zh-CN"/>
              </w:rPr>
            </w:pPr>
            <w:r>
              <w:rPr>
                <w:rFonts w:hint="eastAsia" w:ascii="Times New Roman" w:hAnsi="Times New Roman"/>
                <w:snapToGrid w:val="0"/>
                <w:kern w:val="21"/>
                <w:szCs w:val="21"/>
                <w:lang w:eastAsia="zh-CN"/>
              </w:rPr>
              <w:t>4.86</w:t>
            </w:r>
          </w:p>
        </w:tc>
        <w:tc>
          <w:tcPr>
            <w:tcW w:w="176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 xml:space="preserve"> </w:t>
            </w:r>
          </w:p>
        </w:tc>
        <w:tc>
          <w:tcPr>
            <w:tcW w:w="1729" w:type="dxa"/>
            <w:vAlign w:val="center"/>
          </w:tcPr>
          <w:p>
            <w:pPr>
              <w:pStyle w:val="4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snapToGrid w:val="0"/>
                <w:kern w:val="21"/>
                <w:szCs w:val="21"/>
                <w:lang w:eastAsia="zh-CN"/>
              </w:rPr>
            </w:pPr>
            <w:r>
              <w:rPr>
                <w:rFonts w:hint="eastAsia" w:ascii="Times New Roman" w:hAnsi="Times New Roman"/>
                <w:snapToGrid w:val="0"/>
                <w:kern w:val="21"/>
                <w:szCs w:val="21"/>
                <w:lang w:eastAsia="zh-CN"/>
              </w:rPr>
              <w:t>4.86</w:t>
            </w:r>
          </w:p>
        </w:tc>
        <w:tc>
          <w:tcPr>
            <w:tcW w:w="1056" w:type="dxa"/>
            <w:vAlign w:val="center"/>
          </w:tcPr>
          <w:p>
            <w:pPr>
              <w:pStyle w:val="4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snapToGrid w:val="0"/>
                <w:kern w:val="21"/>
                <w:szCs w:val="21"/>
                <w:lang w:eastAsia="zh-CN"/>
              </w:rPr>
            </w:pPr>
            <w:r>
              <w:rPr>
                <w:rFonts w:hint="eastAsia" w:ascii="Times New Roman" w:hAnsi="Times New Roman"/>
                <w:snapToGrid w:val="0"/>
                <w:kern w:val="21"/>
                <w:szCs w:val="21"/>
                <w:lang w:eastAsia="zh-CN"/>
              </w:rPr>
              <w:t>-4.38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3" w:type="dxa"/>
            <w:vMerge w:val="restart"/>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default" w:ascii="Times New Roman" w:hAnsi="Times New Roman"/>
                <w:snapToGrid w:val="0"/>
                <w:kern w:val="21"/>
                <w:sz w:val="21"/>
                <w:szCs w:val="21"/>
              </w:rPr>
              <w:t>一般工业</w:t>
            </w:r>
          </w:p>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default" w:ascii="Times New Roman" w:hAnsi="Times New Roman"/>
                <w:snapToGrid w:val="0"/>
                <w:kern w:val="21"/>
                <w:sz w:val="21"/>
                <w:szCs w:val="21"/>
              </w:rPr>
              <w:t>固体废物</w:t>
            </w:r>
          </w:p>
        </w:tc>
        <w:tc>
          <w:tcPr>
            <w:tcW w:w="1905"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default" w:ascii="Times New Roman" w:hAnsi="Times New Roman"/>
                <w:snapToGrid w:val="0"/>
                <w:kern w:val="21"/>
                <w:sz w:val="21"/>
                <w:szCs w:val="21"/>
              </w:rPr>
              <w:t>污泥（t/a）</w:t>
            </w:r>
          </w:p>
        </w:tc>
        <w:tc>
          <w:tcPr>
            <w:tcW w:w="1508"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5000</w:t>
            </w:r>
          </w:p>
        </w:tc>
        <w:tc>
          <w:tcPr>
            <w:tcW w:w="127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0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55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2000</w:t>
            </w:r>
          </w:p>
        </w:tc>
        <w:tc>
          <w:tcPr>
            <w:tcW w:w="176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2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2000</w:t>
            </w:r>
          </w:p>
        </w:tc>
        <w:tc>
          <w:tcPr>
            <w:tcW w:w="105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3" w:type="dxa"/>
            <w:vMerge w:val="continue"/>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p>
        </w:tc>
        <w:tc>
          <w:tcPr>
            <w:tcW w:w="1905"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eastAsia" w:ascii="Times New Roman" w:hAnsi="Times New Roman"/>
                <w:snapToGrid w:val="0"/>
                <w:kern w:val="21"/>
                <w:sz w:val="21"/>
                <w:szCs w:val="21"/>
              </w:rPr>
              <w:t>废滤布</w:t>
            </w:r>
            <w:r>
              <w:rPr>
                <w:rFonts w:hint="default" w:ascii="Times New Roman" w:hAnsi="Times New Roman"/>
                <w:snapToGrid w:val="0"/>
                <w:kern w:val="21"/>
                <w:sz w:val="21"/>
                <w:szCs w:val="21"/>
              </w:rPr>
              <w:t>（t/a）</w:t>
            </w:r>
          </w:p>
        </w:tc>
        <w:tc>
          <w:tcPr>
            <w:tcW w:w="1508"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w:t>
            </w:r>
          </w:p>
        </w:tc>
        <w:tc>
          <w:tcPr>
            <w:tcW w:w="127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01" w:type="dxa"/>
            <w:vAlign w:val="center"/>
          </w:tcPr>
          <w:p>
            <w:pPr>
              <w:pStyle w:val="4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snapToGrid w:val="0"/>
                <w:kern w:val="21"/>
                <w:szCs w:val="21"/>
                <w:lang w:val="en-US" w:eastAsia="zh-CN"/>
              </w:rPr>
            </w:pPr>
            <w:r>
              <w:rPr>
                <w:rFonts w:hint="eastAsia" w:ascii="Times New Roman" w:hAnsi="Times New Roman"/>
                <w:snapToGrid w:val="0"/>
                <w:kern w:val="21"/>
                <w:szCs w:val="21"/>
                <w:lang w:val="en-US" w:eastAsia="zh-CN"/>
              </w:rPr>
              <w:t xml:space="preserve"> </w:t>
            </w:r>
          </w:p>
        </w:tc>
        <w:tc>
          <w:tcPr>
            <w:tcW w:w="155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0.2</w:t>
            </w:r>
          </w:p>
        </w:tc>
        <w:tc>
          <w:tcPr>
            <w:tcW w:w="176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2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0.2</w:t>
            </w:r>
          </w:p>
        </w:tc>
        <w:tc>
          <w:tcPr>
            <w:tcW w:w="105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3"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eastAsia" w:ascii="Times New Roman" w:hAnsi="Times New Roman"/>
                <w:snapToGrid w:val="0"/>
                <w:kern w:val="21"/>
                <w:sz w:val="21"/>
                <w:szCs w:val="21"/>
              </w:rPr>
              <w:t>危废</w:t>
            </w:r>
          </w:p>
        </w:tc>
        <w:tc>
          <w:tcPr>
            <w:tcW w:w="1905"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eastAsia" w:ascii="Times New Roman" w:hAnsi="Times New Roman"/>
                <w:snapToGrid w:val="0"/>
                <w:kern w:val="21"/>
                <w:sz w:val="21"/>
                <w:szCs w:val="21"/>
              </w:rPr>
              <w:t>废机油</w:t>
            </w:r>
            <w:r>
              <w:rPr>
                <w:rFonts w:hint="default" w:ascii="Times New Roman" w:hAnsi="Times New Roman"/>
                <w:snapToGrid w:val="0"/>
                <w:kern w:val="21"/>
                <w:sz w:val="21"/>
                <w:szCs w:val="21"/>
              </w:rPr>
              <w:t>（t/a）</w:t>
            </w:r>
          </w:p>
        </w:tc>
        <w:tc>
          <w:tcPr>
            <w:tcW w:w="1508"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0.02</w:t>
            </w:r>
          </w:p>
        </w:tc>
        <w:tc>
          <w:tcPr>
            <w:tcW w:w="127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0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55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0.02</w:t>
            </w:r>
          </w:p>
        </w:tc>
        <w:tc>
          <w:tcPr>
            <w:tcW w:w="176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2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0.02</w:t>
            </w:r>
          </w:p>
        </w:tc>
        <w:tc>
          <w:tcPr>
            <w:tcW w:w="105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 xml:space="preserve">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3"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 w:val="21"/>
                <w:szCs w:val="21"/>
              </w:rPr>
            </w:pPr>
            <w:r>
              <w:rPr>
                <w:rFonts w:hint="default" w:ascii="Times New Roman" w:hAnsi="Times New Roman"/>
                <w:snapToGrid w:val="0"/>
                <w:kern w:val="21"/>
                <w:sz w:val="21"/>
                <w:szCs w:val="21"/>
              </w:rPr>
              <w:t>废水</w:t>
            </w:r>
          </w:p>
        </w:tc>
        <w:tc>
          <w:tcPr>
            <w:tcW w:w="1905" w:type="dxa"/>
            <w:vAlign w:val="center"/>
          </w:tcPr>
          <w:p>
            <w:pPr>
              <w:keepNext w:val="0"/>
              <w:keepLines w:val="0"/>
              <w:suppressLineNumbers w:val="0"/>
              <w:spacing w:before="0" w:beforeAutospacing="0" w:after="0" w:afterAutospacing="0"/>
              <w:ind w:left="0" w:right="0"/>
              <w:jc w:val="center"/>
              <w:rPr>
                <w:rFonts w:hint="default" w:ascii="Times New Roman" w:hAnsi="Times New Roman"/>
                <w:snapToGrid w:val="0"/>
                <w:kern w:val="21"/>
                <w:sz w:val="21"/>
                <w:szCs w:val="21"/>
              </w:rPr>
            </w:pPr>
            <w:r>
              <w:rPr>
                <w:rFonts w:hint="default" w:ascii="Times New Roman" w:hAnsi="Times New Roman"/>
                <w:snapToGrid w:val="0"/>
                <w:kern w:val="21"/>
                <w:sz w:val="21"/>
                <w:szCs w:val="21"/>
              </w:rPr>
              <w:t>废水量（</w:t>
            </w:r>
            <w:r>
              <w:rPr>
                <w:rFonts w:hint="eastAsia" w:ascii="Times New Roman" w:hAnsi="Times New Roman"/>
                <w:snapToGrid w:val="0"/>
                <w:kern w:val="21"/>
                <w:sz w:val="21"/>
                <w:szCs w:val="21"/>
              </w:rPr>
              <w:t>万</w:t>
            </w:r>
            <w:r>
              <w:rPr>
                <w:rFonts w:hint="default" w:ascii="Times New Roman" w:hAnsi="Times New Roman"/>
                <w:snapToGrid w:val="0"/>
                <w:kern w:val="21"/>
                <w:sz w:val="21"/>
                <w:szCs w:val="21"/>
              </w:rPr>
              <w:t>t/a）</w:t>
            </w:r>
          </w:p>
        </w:tc>
        <w:tc>
          <w:tcPr>
            <w:tcW w:w="1508"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eastAsia" w:ascii="Times New Roman" w:hAnsi="Times New Roman"/>
                <w:snapToGrid w:val="0"/>
                <w:kern w:val="21"/>
                <w:szCs w:val="21"/>
              </w:rPr>
              <w:t>0</w:t>
            </w:r>
          </w:p>
        </w:tc>
        <w:tc>
          <w:tcPr>
            <w:tcW w:w="127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0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55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default" w:ascii="Times New Roman" w:hAnsi="Times New Roman"/>
                <w:snapToGrid w:val="0"/>
                <w:kern w:val="21"/>
                <w:szCs w:val="21"/>
              </w:rPr>
              <w:t>0</w:t>
            </w:r>
          </w:p>
        </w:tc>
        <w:tc>
          <w:tcPr>
            <w:tcW w:w="1761"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p>
        </w:tc>
        <w:tc>
          <w:tcPr>
            <w:tcW w:w="1729"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default" w:ascii="Times New Roman" w:hAnsi="Times New Roman"/>
                <w:snapToGrid w:val="0"/>
                <w:kern w:val="21"/>
                <w:szCs w:val="21"/>
              </w:rPr>
              <w:t>0</w:t>
            </w:r>
          </w:p>
        </w:tc>
        <w:tc>
          <w:tcPr>
            <w:tcW w:w="1056" w:type="dxa"/>
            <w:vAlign w:val="center"/>
          </w:tcPr>
          <w:p>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snapToGrid w:val="0"/>
                <w:kern w:val="21"/>
                <w:szCs w:val="21"/>
              </w:rPr>
            </w:pPr>
            <w:r>
              <w:rPr>
                <w:rFonts w:hint="default" w:ascii="Times New Roman" w:hAnsi="Times New Roman"/>
                <w:snapToGrid w:val="0"/>
                <w:kern w:val="21"/>
                <w:szCs w:val="21"/>
              </w:rPr>
              <w:t>0</w:t>
            </w:r>
          </w:p>
        </w:tc>
      </w:tr>
    </w:tbl>
    <w:p>
      <w:pPr>
        <w:pStyle w:val="44"/>
        <w:spacing w:before="192" w:beforeLines="80" w:after="24"/>
        <w:jc w:val="left"/>
        <w:rPr>
          <w:rFonts w:ascii="Times New Roman" w:hAnsi="Times New Roman"/>
          <w:snapToGrid w:val="0"/>
          <w:spacing w:val="-6"/>
          <w:kern w:val="21"/>
          <w:szCs w:val="21"/>
        </w:r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hAnsi="宋体"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hAnsi="宋体" w:cs="宋体"/>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hint="eastAsia" w:hAnsi="宋体" w:cs="宋体"/>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hint="eastAsia" w:hAnsi="宋体" w:cs="宋体"/>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hint="eastAsia" w:hAnsi="宋体" w:cs="宋体"/>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hint="eastAsia" w:hAnsi="宋体" w:cs="宋体"/>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hAnsi="宋体"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hAnsi="宋体" w:cs="宋体"/>
          <w:szCs w:val="21"/>
        </w:rPr>
        <w:t>①</w:t>
      </w:r>
      <w:r>
        <w:rPr>
          <w:rFonts w:ascii="Times New Roman" w:hAnsi="Times New Roman"/>
          <w:snapToGrid w:val="0"/>
          <w:spacing w:val="-6"/>
          <w:kern w:val="21"/>
          <w:szCs w:val="21"/>
        </w:rPr>
        <w:fldChar w:fldCharType="end"/>
      </w:r>
    </w:p>
    <w:p>
      <w:pPr>
        <w:rPr>
          <w:rFonts w:ascii="Times New Roman" w:hAnsi="Times New Roman"/>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snapToGrid w:val="0"/>
          <w:spacing w:val="-6"/>
          <w:kern w:val="21"/>
          <w:szCs w:val="21"/>
        </w:rPr>
        <w:t>现有工程</w:t>
      </w:r>
      <w:r>
        <w:rPr>
          <w:rFonts w:hint="eastAsia" w:ascii="Times New Roman" w:hAnsi="Times New Roman"/>
          <w:snapToGrid w:val="0"/>
          <w:spacing w:val="-6"/>
          <w:kern w:val="21"/>
          <w:szCs w:val="21"/>
          <w:lang w:val="en-US" w:eastAsia="zh-CN"/>
        </w:rPr>
        <w:t>废气颗粒物</w:t>
      </w:r>
      <w:r>
        <w:rPr>
          <w:rFonts w:hint="eastAsia" w:ascii="Times New Roman" w:hAnsi="Times New Roman"/>
          <w:snapToGrid w:val="0"/>
          <w:spacing w:val="-6"/>
          <w:kern w:val="21"/>
          <w:szCs w:val="21"/>
        </w:rPr>
        <w:t>排放量为本报告重新核定的迁建前排污量</w:t>
      </w:r>
      <w:bookmarkStart w:id="18" w:name="_GoBack"/>
      <w:bookmarkEnd w:id="18"/>
    </w:p>
    <w:p>
      <w:pPr>
        <w:rPr>
          <w:rFonts w:ascii="Times New Roman" w:hAnsi="Times New Roman"/>
        </w:rPr>
      </w:pPr>
    </w:p>
    <w:sectPr>
      <w:headerReference r:id="rId7" w:type="default"/>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华文宋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8"/>
      </w:rPr>
    </w:pPr>
    <w:r>
      <w:fldChar w:fldCharType="begin"/>
    </w:r>
    <w:r>
      <w:rPr>
        <w:rStyle w:val="28"/>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38785" cy="230505"/>
              <wp:effectExtent l="0" t="0" r="0" b="0"/>
              <wp:wrapNone/>
              <wp:docPr id="64710274" name="文本框 3"/>
              <wp:cNvGraphicFramePr/>
              <a:graphic xmlns:a="http://schemas.openxmlformats.org/drawingml/2006/main">
                <a:graphicData uri="http://schemas.microsoft.com/office/word/2010/wordprocessingShape">
                  <wps:wsp>
                    <wps:cNvSpPr txBox="1"/>
                    <wps:spPr>
                      <a:xfrm>
                        <a:off x="0" y="0"/>
                        <a:ext cx="43878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56</w:t>
                          </w:r>
                          <w:r>
                            <w:rPr>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8.15pt;width:34.55pt;mso-position-horizontal:center;mso-position-horizontal-relative:margin;mso-wrap-style:none;z-index:251659264;mso-width-relative:page;mso-height-relative:page;" filled="f" stroked="f" coordsize="21600,21600" o:gfxdata="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sOyN00QAAAAMBAAAPAAAAAAAAAAEAIAAAACIAAABkcnMvZG93bnJldi54bWxQ&#10;SwECFAAUAAAACACHTuJAnvQaLzcCAABaBAAADgAAAAAAAAABACAAAAAgAQAAZHJzL2Uyb0RvYy54&#10;bWxQSwUGAAAAAAYABgBZAQAAyQUAAAAA&#10;">
              <v:fill on="f" focussize="0,0"/>
              <v:stroke on="f" weight="0.5pt"/>
              <v:imagedata o:title=""/>
              <o:lock v:ext="edit" aspectratio="f"/>
              <v:textbox inset="0mm,0mm,0mm,0mm" style="mso-fit-shape-to-text:t;">
                <w:txbxContent>
                  <w:p>
                    <w:pPr>
                      <w:pStyle w:val="19"/>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56</w:t>
                    </w:r>
                    <w:r>
                      <w:rPr>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21335" cy="230505"/>
              <wp:effectExtent l="0" t="0" r="0" b="0"/>
              <wp:wrapNone/>
              <wp:docPr id="1308357721" name="文本框 2"/>
              <wp:cNvGraphicFramePr/>
              <a:graphic xmlns:a="http://schemas.openxmlformats.org/drawingml/2006/main">
                <a:graphicData uri="http://schemas.microsoft.com/office/word/2010/wordprocessingShape">
                  <wps:wsp>
                    <wps:cNvSpPr txBox="1"/>
                    <wps:spPr>
                      <a:xfrm>
                        <a:off x="0" y="0"/>
                        <a:ext cx="52133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59</w:t>
                          </w:r>
                          <w:r>
                            <w:rPr>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8.15pt;width:41.05pt;mso-position-horizontal:center;mso-position-horizontal-relative:margin;mso-wrap-style:none;z-index:251660288;mso-width-relative:page;mso-height-relative:page;" filled="f" stroked="f" coordsize="21600,21600" o:gfxdata="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MHvRNIAAAADAQAADwAAAAAAAAABACAAAAAiAAAAZHJzL2Rvd25yZXYueG1s&#10;UEsBAhQAFAAAAAgAh07iQHfD4Ow3AgAAXAQAAA4AAAAAAAAAAQAgAAAAIQEAAGRycy9lMm9Eb2Mu&#10;eG1sUEsFBgAAAAAGAAYAWQEAAMoFAAAAAA==&#10;">
              <v:fill on="f" focussize="0,0"/>
              <v:stroke on="f" weight="0.5pt"/>
              <v:imagedata o:title=""/>
              <o:lock v:ext="edit" aspectratio="f"/>
              <v:textbox inset="0mm,0mm,0mm,0mm" style="mso-fit-shape-to-text:t;">
                <w:txbxContent>
                  <w:p>
                    <w:pPr>
                      <w:pStyle w:val="19"/>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59</w:t>
                    </w:r>
                    <w:r>
                      <w:rPr>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jc w:val="both"/>
    </w:pPr>
    <w:r>
      <w:rPr>
        <w:rFonts w:hint="eastAsia"/>
      </w:rPr>
      <w:t>报告编号</w:t>
    </w:r>
    <w:r>
      <w:t>TAJC202</w:t>
    </w:r>
    <w:r>
      <w:rPr>
        <w:rFonts w:hint="eastAsia"/>
      </w:rPr>
      <w:t xml:space="preserve">312                                                                                                                          第 </w:t>
    </w:r>
    <w:r>
      <w:fldChar w:fldCharType="begin"/>
    </w:r>
    <w:r>
      <w:instrText xml:space="preserve"> PAGE \* MERGEFORMAT </w:instrText>
    </w:r>
    <w:r>
      <w:fldChar w:fldCharType="separate"/>
    </w:r>
    <w:r>
      <w:t>101</w:t>
    </w:r>
    <w:r>
      <w:fldChar w:fldCharType="end"/>
    </w:r>
    <w:r>
      <w:rPr>
        <w:rFonts w:hint="eastAsia"/>
      </w:rPr>
      <w:t xml:space="preserve"> 页 共 5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81322"/>
    <w:multiLevelType w:val="singleLevel"/>
    <w:tmpl w:val="81881322"/>
    <w:lvl w:ilvl="0" w:tentative="0">
      <w:start w:val="1"/>
      <w:numFmt w:val="decimal"/>
      <w:suff w:val="nothing"/>
      <w:lvlText w:val="（%1）"/>
      <w:lvlJc w:val="left"/>
    </w:lvl>
  </w:abstractNum>
  <w:abstractNum w:abstractNumId="1">
    <w:nsid w:val="B95F05E5"/>
    <w:multiLevelType w:val="singleLevel"/>
    <w:tmpl w:val="B95F05E5"/>
    <w:lvl w:ilvl="0" w:tentative="0">
      <w:start w:val="1"/>
      <w:numFmt w:val="decimal"/>
      <w:suff w:val="nothing"/>
      <w:lvlText w:val="%1）"/>
      <w:lvlJc w:val="left"/>
    </w:lvl>
  </w:abstractNum>
  <w:abstractNum w:abstractNumId="2">
    <w:nsid w:val="BA36E8ED"/>
    <w:multiLevelType w:val="singleLevel"/>
    <w:tmpl w:val="BA36E8ED"/>
    <w:lvl w:ilvl="0" w:tentative="0">
      <w:start w:val="1"/>
      <w:numFmt w:val="decimal"/>
      <w:suff w:val="nothing"/>
      <w:lvlText w:val="（%1）"/>
      <w:lvlJc w:val="left"/>
    </w:lvl>
  </w:abstractNum>
  <w:abstractNum w:abstractNumId="3">
    <w:nsid w:val="D1868748"/>
    <w:multiLevelType w:val="singleLevel"/>
    <w:tmpl w:val="D1868748"/>
    <w:lvl w:ilvl="0" w:tentative="0">
      <w:start w:val="2"/>
      <w:numFmt w:val="chineseCounting"/>
      <w:suff w:val="nothing"/>
      <w:lvlText w:val="%1、"/>
      <w:lvlJc w:val="left"/>
      <w:rPr>
        <w:rFonts w:hint="eastAsia"/>
      </w:rPr>
    </w:lvl>
  </w:abstractNum>
  <w:abstractNum w:abstractNumId="4">
    <w:nsid w:val="D85C308A"/>
    <w:multiLevelType w:val="singleLevel"/>
    <w:tmpl w:val="D85C308A"/>
    <w:lvl w:ilvl="0" w:tentative="0">
      <w:start w:val="1"/>
      <w:numFmt w:val="decimal"/>
      <w:suff w:val="nothing"/>
      <w:lvlText w:val="（%1）"/>
      <w:lvlJc w:val="left"/>
    </w:lvl>
  </w:abstractNum>
  <w:abstractNum w:abstractNumId="5">
    <w:nsid w:val="EF6E41E0"/>
    <w:multiLevelType w:val="singleLevel"/>
    <w:tmpl w:val="EF6E41E0"/>
    <w:lvl w:ilvl="0" w:tentative="0">
      <w:start w:val="1"/>
      <w:numFmt w:val="decimal"/>
      <w:suff w:val="nothing"/>
      <w:lvlText w:val="（%1）"/>
      <w:lvlJc w:val="left"/>
    </w:lvl>
  </w:abstractNum>
  <w:abstractNum w:abstractNumId="6">
    <w:nsid w:val="1A1A10BA"/>
    <w:multiLevelType w:val="multilevel"/>
    <w:tmpl w:val="1A1A10BA"/>
    <w:lvl w:ilvl="0" w:tentative="0">
      <w:start w:val="1"/>
      <w:numFmt w:val="chineseCountingThousand"/>
      <w:suff w:val="nothing"/>
      <w:lvlText w:val="%1、"/>
      <w:lvlJc w:val="center"/>
      <w:pPr>
        <w:ind w:left="0" w:firstLine="0"/>
      </w:pPr>
      <w:rPr>
        <w:rFonts w:hint="default" w:ascii="Times New Roman" w:hAnsi="Times New Roman" w:eastAsia="黑体"/>
        <w:b w:val="0"/>
        <w:i w:val="0"/>
        <w:sz w:val="30"/>
      </w:rPr>
    </w:lvl>
    <w:lvl w:ilvl="1" w:tentative="0">
      <w:start w:val="1"/>
      <w:numFmt w:val="decimal"/>
      <w:isLgl/>
      <w:suff w:val="nothing"/>
      <w:lvlText w:val="%1.%2"/>
      <w:lvlJc w:val="left"/>
      <w:pPr>
        <w:ind w:left="0" w:firstLine="0"/>
      </w:pPr>
      <w:rPr>
        <w:rFonts w:hint="default" w:ascii="Times New Roman" w:hAnsi="Times New Roman" w:eastAsia="黑体"/>
        <w:b/>
        <w:i w:val="0"/>
        <w:sz w:val="28"/>
      </w:rPr>
    </w:lvl>
    <w:lvl w:ilvl="2" w:tentative="0">
      <w:start w:val="1"/>
      <w:numFmt w:val="decimal"/>
      <w:pStyle w:val="8"/>
      <w:isLgl/>
      <w:suff w:val="nothing"/>
      <w:lvlText w:val="%1.%2.%3"/>
      <w:lvlJc w:val="left"/>
      <w:pPr>
        <w:ind w:left="708" w:firstLine="0"/>
      </w:pPr>
      <w:rPr>
        <w:rFonts w:hint="default" w:ascii="Times New Roman" w:hAnsi="Times New Roman" w:eastAsia="黑体"/>
        <w:b/>
        <w:i w:val="0"/>
        <w:sz w:val="24"/>
      </w:rPr>
    </w:lvl>
    <w:lvl w:ilvl="3" w:tentative="0">
      <w:start w:val="1"/>
      <w:numFmt w:val="decimal"/>
      <w:pStyle w:val="9"/>
      <w:isLgl/>
      <w:suff w:val="nothing"/>
      <w:lvlText w:val="%1.%2.%3.%4"/>
      <w:lvlJc w:val="left"/>
      <w:pPr>
        <w:ind w:left="709" w:firstLine="0"/>
      </w:pPr>
      <w:rPr>
        <w:rFonts w:hint="default" w:ascii="Times New Roman" w:hAnsi="Times New Roman" w:eastAsia="黑体"/>
        <w:b/>
        <w:i w:val="0"/>
        <w:sz w:val="24"/>
      </w:rPr>
    </w:lvl>
    <w:lvl w:ilvl="4" w:tentative="0">
      <w:start w:val="1"/>
      <w:numFmt w:val="decimal"/>
      <w:lvlText w:val="表4-%5"/>
      <w:lvlJc w:val="left"/>
      <w:pPr>
        <w:ind w:left="0" w:firstLine="0"/>
      </w:pPr>
      <w:rPr>
        <w:rFonts w:hint="default" w:ascii="Times New Roman" w:hAnsi="Times New Roman" w:eastAsia="黑体"/>
        <w:b w:val="0"/>
        <w:i w:val="0"/>
        <w:sz w:val="24"/>
      </w:rPr>
    </w:lvl>
    <w:lvl w:ilvl="5" w:tentative="0">
      <w:start w:val="1"/>
      <w:numFmt w:val="decimal"/>
      <w:lvlRestart w:val="0"/>
      <w:suff w:val="space"/>
      <w:lvlText w:val="图%6"/>
      <w:lvlJc w:val="left"/>
      <w:pPr>
        <w:ind w:left="0" w:firstLine="0"/>
      </w:pPr>
      <w:rPr>
        <w:rFonts w:hint="default" w:ascii="Times New Roman" w:hAnsi="Times New Roman" w:eastAsia="宋体"/>
        <w:b/>
        <w:i w:val="0"/>
        <w:sz w:val="24"/>
      </w:r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7">
    <w:nsid w:val="26A77DE2"/>
    <w:multiLevelType w:val="multilevel"/>
    <w:tmpl w:val="26A77DE2"/>
    <w:lvl w:ilvl="0" w:tentative="0">
      <w:start w:val="1"/>
      <w:numFmt w:val="decimalEnclosedCircle"/>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6035391"/>
    <w:multiLevelType w:val="multilevel"/>
    <w:tmpl w:val="3603539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9">
    <w:nsid w:val="470567A1"/>
    <w:multiLevelType w:val="singleLevel"/>
    <w:tmpl w:val="470567A1"/>
    <w:lvl w:ilvl="0" w:tentative="0">
      <w:start w:val="1"/>
      <w:numFmt w:val="upperLetter"/>
      <w:lvlText w:val="%1."/>
      <w:lvlJc w:val="left"/>
      <w:pPr>
        <w:tabs>
          <w:tab w:val="left" w:pos="312"/>
        </w:tabs>
      </w:pPr>
    </w:lvl>
  </w:abstractNum>
  <w:abstractNum w:abstractNumId="10">
    <w:nsid w:val="69B768DA"/>
    <w:multiLevelType w:val="multilevel"/>
    <w:tmpl w:val="69B768DA"/>
    <w:lvl w:ilvl="0" w:tentative="0">
      <w:start w:val="1"/>
      <w:numFmt w:val="decimal"/>
      <w:pStyle w:val="32"/>
      <w:lvlText w:val="表1-%1"/>
      <w:lvlJc w:val="left"/>
      <w:pPr>
        <w:tabs>
          <w:tab w:val="left" w:pos="425"/>
        </w:tabs>
        <w:ind w:left="425" w:hanging="425"/>
      </w:pPr>
      <w:rPr>
        <w:rFonts w:hint="eastAsia"/>
        <w:lang w:val="en-US"/>
      </w:rPr>
    </w:lvl>
    <w:lvl w:ilvl="1" w:tentative="0">
      <w:start w:val="1"/>
      <w:numFmt w:val="decimal"/>
      <w:lvlText w:val="2.%2."/>
      <w:lvlJc w:val="left"/>
      <w:pPr>
        <w:tabs>
          <w:tab w:val="left" w:pos="720"/>
        </w:tabs>
        <w:ind w:left="567" w:hanging="567"/>
      </w:pPr>
      <w:rPr>
        <w:rFonts w:hint="eastAsia"/>
      </w:rPr>
    </w:lvl>
    <w:lvl w:ilvl="2" w:tentative="0">
      <w:start w:val="1"/>
      <w:numFmt w:val="none"/>
      <w:lvlText w:val="4.4.5."/>
      <w:lvlJc w:val="left"/>
      <w:pPr>
        <w:tabs>
          <w:tab w:val="left" w:pos="1080"/>
        </w:tabs>
        <w:ind w:left="567" w:hanging="567"/>
      </w:pPr>
      <w:rPr>
        <w:rFonts w:hint="eastAsia"/>
      </w:rPr>
    </w:lvl>
    <w:lvl w:ilvl="3" w:tentative="0">
      <w:start w:val="1"/>
      <w:numFmt w:val="decimal"/>
      <w:lvlText w:val="%1.%2.%3.%4."/>
      <w:lvlJc w:val="left"/>
      <w:pPr>
        <w:tabs>
          <w:tab w:val="left" w:pos="1440"/>
        </w:tabs>
        <w:ind w:left="567" w:hanging="56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7DAB655B"/>
    <w:multiLevelType w:val="singleLevel"/>
    <w:tmpl w:val="7DAB655B"/>
    <w:lvl w:ilvl="0" w:tentative="0">
      <w:start w:val="1"/>
      <w:numFmt w:val="decimal"/>
      <w:suff w:val="nothing"/>
      <w:lvlText w:val="（%1）"/>
      <w:lvlJc w:val="left"/>
    </w:lvl>
  </w:abstractNum>
  <w:num w:numId="1">
    <w:abstractNumId w:val="6"/>
  </w:num>
  <w:num w:numId="2">
    <w:abstractNumId w:val="10"/>
  </w:num>
  <w:num w:numId="3">
    <w:abstractNumId w:val="3"/>
  </w:num>
  <w:num w:numId="4">
    <w:abstractNumId w:val="2"/>
  </w:num>
  <w:num w:numId="5">
    <w:abstractNumId w:val="11"/>
  </w:num>
  <w:num w:numId="6">
    <w:abstractNumId w:val="1"/>
  </w:num>
  <w:num w:numId="7">
    <w:abstractNumId w:val="5"/>
  </w:num>
  <w:num w:numId="8">
    <w:abstractNumId w:val="4"/>
  </w:num>
  <w:num w:numId="9">
    <w:abstractNumId w:val="9"/>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isplayHorizontalDrawingGridEvery w:val="0"/>
  <w:displayVerticalDrawingGridEvery w:val="2"/>
  <w:characterSpacingControl w:val="doNotCompress"/>
  <w:noLineBreaksAfter w:lang="zh-CN" w:val="([{·‘“〈《「『【〔〖（．［｛￡￥"/>
  <w:noLineBreaksBefore w:lang="zh-CN" w:val="!),.:;?]}¨·ˇˉ―‖’”…∶、。〃々〉》」』】〕〗！＂＇），．：；？］｀｜｝～￠"/>
  <w:compat>
    <w:balanceSingleByteDoubleByteWidth/>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mNzVjZTU2MjNmYzU4ZGNjMzIxNGI1YjY2ZGM3ZGQifQ=="/>
    <w:docVar w:name="KSO_WPS_MARK_KEY" w:val="36047302-b644-4d6e-86da-26a928650f58"/>
  </w:docVars>
  <w:rsids>
    <w:rsidRoot w:val="00172A27"/>
    <w:rsid w:val="00000337"/>
    <w:rsid w:val="000060B3"/>
    <w:rsid w:val="00014820"/>
    <w:rsid w:val="00014B46"/>
    <w:rsid w:val="0002424B"/>
    <w:rsid w:val="00025229"/>
    <w:rsid w:val="0003325E"/>
    <w:rsid w:val="00035EEA"/>
    <w:rsid w:val="0004169D"/>
    <w:rsid w:val="0004364B"/>
    <w:rsid w:val="00047C7F"/>
    <w:rsid w:val="00060A32"/>
    <w:rsid w:val="00061B1F"/>
    <w:rsid w:val="000646C7"/>
    <w:rsid w:val="00067B62"/>
    <w:rsid w:val="000733C4"/>
    <w:rsid w:val="00074783"/>
    <w:rsid w:val="00077672"/>
    <w:rsid w:val="0008070B"/>
    <w:rsid w:val="000810AC"/>
    <w:rsid w:val="00081A02"/>
    <w:rsid w:val="00082231"/>
    <w:rsid w:val="00082CD8"/>
    <w:rsid w:val="00092D38"/>
    <w:rsid w:val="0009377B"/>
    <w:rsid w:val="00096F24"/>
    <w:rsid w:val="000A20C9"/>
    <w:rsid w:val="000B0088"/>
    <w:rsid w:val="000B058F"/>
    <w:rsid w:val="000B1CA8"/>
    <w:rsid w:val="000B3DF4"/>
    <w:rsid w:val="000B4467"/>
    <w:rsid w:val="000B4BF0"/>
    <w:rsid w:val="000B4DB9"/>
    <w:rsid w:val="000C09AC"/>
    <w:rsid w:val="000C18B0"/>
    <w:rsid w:val="000C2C9C"/>
    <w:rsid w:val="000C767F"/>
    <w:rsid w:val="000D1FA4"/>
    <w:rsid w:val="000D481E"/>
    <w:rsid w:val="000D5A44"/>
    <w:rsid w:val="000E3ED2"/>
    <w:rsid w:val="000F281A"/>
    <w:rsid w:val="00105F84"/>
    <w:rsid w:val="00113C9E"/>
    <w:rsid w:val="00125982"/>
    <w:rsid w:val="00131F42"/>
    <w:rsid w:val="00132E4B"/>
    <w:rsid w:val="001357F1"/>
    <w:rsid w:val="00140FA8"/>
    <w:rsid w:val="00141BFF"/>
    <w:rsid w:val="001427EE"/>
    <w:rsid w:val="0014291D"/>
    <w:rsid w:val="00142FEB"/>
    <w:rsid w:val="00143A2D"/>
    <w:rsid w:val="00145A41"/>
    <w:rsid w:val="001472D7"/>
    <w:rsid w:val="00151675"/>
    <w:rsid w:val="00157435"/>
    <w:rsid w:val="001577A4"/>
    <w:rsid w:val="001617C2"/>
    <w:rsid w:val="001618C2"/>
    <w:rsid w:val="00162A20"/>
    <w:rsid w:val="00165533"/>
    <w:rsid w:val="0016554E"/>
    <w:rsid w:val="00172A27"/>
    <w:rsid w:val="00174124"/>
    <w:rsid w:val="0017504D"/>
    <w:rsid w:val="0017671A"/>
    <w:rsid w:val="00177422"/>
    <w:rsid w:val="0018311E"/>
    <w:rsid w:val="00184590"/>
    <w:rsid w:val="0018548A"/>
    <w:rsid w:val="001870D1"/>
    <w:rsid w:val="0018781E"/>
    <w:rsid w:val="0019262D"/>
    <w:rsid w:val="00193BDC"/>
    <w:rsid w:val="00196DA5"/>
    <w:rsid w:val="001A1106"/>
    <w:rsid w:val="001A1397"/>
    <w:rsid w:val="001A1B35"/>
    <w:rsid w:val="001A48A2"/>
    <w:rsid w:val="001A65B9"/>
    <w:rsid w:val="001A6F61"/>
    <w:rsid w:val="001B64FE"/>
    <w:rsid w:val="001B72B8"/>
    <w:rsid w:val="001C3110"/>
    <w:rsid w:val="001C5CD4"/>
    <w:rsid w:val="001C69B3"/>
    <w:rsid w:val="001D1B18"/>
    <w:rsid w:val="001D36AE"/>
    <w:rsid w:val="001D5595"/>
    <w:rsid w:val="001D5ACE"/>
    <w:rsid w:val="001D7874"/>
    <w:rsid w:val="001D7F22"/>
    <w:rsid w:val="001E0251"/>
    <w:rsid w:val="001F0F17"/>
    <w:rsid w:val="001F1587"/>
    <w:rsid w:val="001F3347"/>
    <w:rsid w:val="001F69E4"/>
    <w:rsid w:val="00203C65"/>
    <w:rsid w:val="00211E1C"/>
    <w:rsid w:val="002125B4"/>
    <w:rsid w:val="00212B24"/>
    <w:rsid w:val="00212C91"/>
    <w:rsid w:val="00214FA0"/>
    <w:rsid w:val="002155B8"/>
    <w:rsid w:val="00222C54"/>
    <w:rsid w:val="00224839"/>
    <w:rsid w:val="002249B2"/>
    <w:rsid w:val="00226574"/>
    <w:rsid w:val="002278EC"/>
    <w:rsid w:val="0023280E"/>
    <w:rsid w:val="00232AA1"/>
    <w:rsid w:val="002330D5"/>
    <w:rsid w:val="002353B9"/>
    <w:rsid w:val="002356A3"/>
    <w:rsid w:val="002377D1"/>
    <w:rsid w:val="00247017"/>
    <w:rsid w:val="00247905"/>
    <w:rsid w:val="002506BC"/>
    <w:rsid w:val="00254345"/>
    <w:rsid w:val="0025502C"/>
    <w:rsid w:val="0026409C"/>
    <w:rsid w:val="00264557"/>
    <w:rsid w:val="00265387"/>
    <w:rsid w:val="002805AB"/>
    <w:rsid w:val="00284204"/>
    <w:rsid w:val="00291773"/>
    <w:rsid w:val="00291828"/>
    <w:rsid w:val="0029202E"/>
    <w:rsid w:val="002968EF"/>
    <w:rsid w:val="002A168C"/>
    <w:rsid w:val="002A3DC7"/>
    <w:rsid w:val="002A6623"/>
    <w:rsid w:val="002A6C6A"/>
    <w:rsid w:val="002A71BC"/>
    <w:rsid w:val="002A768C"/>
    <w:rsid w:val="002A7FC8"/>
    <w:rsid w:val="002B0373"/>
    <w:rsid w:val="002B2DE7"/>
    <w:rsid w:val="002B4997"/>
    <w:rsid w:val="002B49E2"/>
    <w:rsid w:val="002B7B00"/>
    <w:rsid w:val="002B7C44"/>
    <w:rsid w:val="002C2B17"/>
    <w:rsid w:val="002D3DD0"/>
    <w:rsid w:val="002E1AC4"/>
    <w:rsid w:val="002E1F3A"/>
    <w:rsid w:val="002E298A"/>
    <w:rsid w:val="002E38CF"/>
    <w:rsid w:val="00301978"/>
    <w:rsid w:val="0030332C"/>
    <w:rsid w:val="00303889"/>
    <w:rsid w:val="003051C2"/>
    <w:rsid w:val="00305370"/>
    <w:rsid w:val="00312296"/>
    <w:rsid w:val="00314248"/>
    <w:rsid w:val="0031477C"/>
    <w:rsid w:val="00314F0E"/>
    <w:rsid w:val="00321D8E"/>
    <w:rsid w:val="00323A88"/>
    <w:rsid w:val="003258F0"/>
    <w:rsid w:val="00325928"/>
    <w:rsid w:val="003302D2"/>
    <w:rsid w:val="00331D5E"/>
    <w:rsid w:val="00332863"/>
    <w:rsid w:val="003332B6"/>
    <w:rsid w:val="0033684D"/>
    <w:rsid w:val="00337B42"/>
    <w:rsid w:val="003400B4"/>
    <w:rsid w:val="00341585"/>
    <w:rsid w:val="00341B42"/>
    <w:rsid w:val="0034348F"/>
    <w:rsid w:val="0034409C"/>
    <w:rsid w:val="003458AD"/>
    <w:rsid w:val="00352FA6"/>
    <w:rsid w:val="0035568F"/>
    <w:rsid w:val="00355955"/>
    <w:rsid w:val="00356653"/>
    <w:rsid w:val="0035743F"/>
    <w:rsid w:val="00357BE2"/>
    <w:rsid w:val="0036170C"/>
    <w:rsid w:val="00366E0F"/>
    <w:rsid w:val="0037013C"/>
    <w:rsid w:val="00373324"/>
    <w:rsid w:val="003754F3"/>
    <w:rsid w:val="003766B2"/>
    <w:rsid w:val="00377364"/>
    <w:rsid w:val="003815DF"/>
    <w:rsid w:val="00381A72"/>
    <w:rsid w:val="00381B3A"/>
    <w:rsid w:val="00383176"/>
    <w:rsid w:val="003832B9"/>
    <w:rsid w:val="003837E1"/>
    <w:rsid w:val="00384676"/>
    <w:rsid w:val="00384C33"/>
    <w:rsid w:val="00390857"/>
    <w:rsid w:val="0039247B"/>
    <w:rsid w:val="003A0361"/>
    <w:rsid w:val="003A0A28"/>
    <w:rsid w:val="003A19BF"/>
    <w:rsid w:val="003A1AB3"/>
    <w:rsid w:val="003A288F"/>
    <w:rsid w:val="003A4BF3"/>
    <w:rsid w:val="003A50CC"/>
    <w:rsid w:val="003A5DB3"/>
    <w:rsid w:val="003B420D"/>
    <w:rsid w:val="003B641D"/>
    <w:rsid w:val="003C5FA5"/>
    <w:rsid w:val="003C6AFE"/>
    <w:rsid w:val="003C6C16"/>
    <w:rsid w:val="003D0245"/>
    <w:rsid w:val="003D730A"/>
    <w:rsid w:val="003D794D"/>
    <w:rsid w:val="003E3058"/>
    <w:rsid w:val="003E3250"/>
    <w:rsid w:val="003E3F3C"/>
    <w:rsid w:val="003E76A9"/>
    <w:rsid w:val="003F0809"/>
    <w:rsid w:val="003F229C"/>
    <w:rsid w:val="003F2750"/>
    <w:rsid w:val="003F2D83"/>
    <w:rsid w:val="003F6A8C"/>
    <w:rsid w:val="003F755C"/>
    <w:rsid w:val="00406C60"/>
    <w:rsid w:val="00406F01"/>
    <w:rsid w:val="00410257"/>
    <w:rsid w:val="00412CB6"/>
    <w:rsid w:val="00412F5E"/>
    <w:rsid w:val="00416D50"/>
    <w:rsid w:val="00416FD5"/>
    <w:rsid w:val="00417772"/>
    <w:rsid w:val="00417825"/>
    <w:rsid w:val="0042013F"/>
    <w:rsid w:val="00420E6A"/>
    <w:rsid w:val="00425A9E"/>
    <w:rsid w:val="00426D6B"/>
    <w:rsid w:val="00431E6C"/>
    <w:rsid w:val="00433CE7"/>
    <w:rsid w:val="004343F2"/>
    <w:rsid w:val="004466B9"/>
    <w:rsid w:val="004519D0"/>
    <w:rsid w:val="00452738"/>
    <w:rsid w:val="00453168"/>
    <w:rsid w:val="00453CF9"/>
    <w:rsid w:val="00456091"/>
    <w:rsid w:val="0046624F"/>
    <w:rsid w:val="00466321"/>
    <w:rsid w:val="00466A41"/>
    <w:rsid w:val="00473534"/>
    <w:rsid w:val="00474F75"/>
    <w:rsid w:val="00474FCE"/>
    <w:rsid w:val="00475AFF"/>
    <w:rsid w:val="00477EFD"/>
    <w:rsid w:val="00484B9B"/>
    <w:rsid w:val="004855F6"/>
    <w:rsid w:val="0048661E"/>
    <w:rsid w:val="00494670"/>
    <w:rsid w:val="004A3823"/>
    <w:rsid w:val="004A70A4"/>
    <w:rsid w:val="004A78EC"/>
    <w:rsid w:val="004D23BA"/>
    <w:rsid w:val="004E1586"/>
    <w:rsid w:val="004E6946"/>
    <w:rsid w:val="004F1AD8"/>
    <w:rsid w:val="004F236E"/>
    <w:rsid w:val="004F5C29"/>
    <w:rsid w:val="00500FB2"/>
    <w:rsid w:val="00502045"/>
    <w:rsid w:val="005039CB"/>
    <w:rsid w:val="0050558F"/>
    <w:rsid w:val="00506286"/>
    <w:rsid w:val="00510813"/>
    <w:rsid w:val="00510D24"/>
    <w:rsid w:val="00511990"/>
    <w:rsid w:val="00511DE0"/>
    <w:rsid w:val="0051397D"/>
    <w:rsid w:val="00514870"/>
    <w:rsid w:val="00514B9B"/>
    <w:rsid w:val="00517F02"/>
    <w:rsid w:val="00524303"/>
    <w:rsid w:val="005258A2"/>
    <w:rsid w:val="00532F92"/>
    <w:rsid w:val="00534775"/>
    <w:rsid w:val="005401AE"/>
    <w:rsid w:val="00542E07"/>
    <w:rsid w:val="00545424"/>
    <w:rsid w:val="00551982"/>
    <w:rsid w:val="00551B7A"/>
    <w:rsid w:val="005525D3"/>
    <w:rsid w:val="005543AF"/>
    <w:rsid w:val="00554A7B"/>
    <w:rsid w:val="0055572C"/>
    <w:rsid w:val="0056106A"/>
    <w:rsid w:val="0056108A"/>
    <w:rsid w:val="00566ABB"/>
    <w:rsid w:val="005720AE"/>
    <w:rsid w:val="005741B5"/>
    <w:rsid w:val="00593C81"/>
    <w:rsid w:val="00594B69"/>
    <w:rsid w:val="00594D77"/>
    <w:rsid w:val="005964AA"/>
    <w:rsid w:val="005969E4"/>
    <w:rsid w:val="005A06B7"/>
    <w:rsid w:val="005A0EF7"/>
    <w:rsid w:val="005A1759"/>
    <w:rsid w:val="005A1934"/>
    <w:rsid w:val="005A2E7F"/>
    <w:rsid w:val="005A35B5"/>
    <w:rsid w:val="005A68A7"/>
    <w:rsid w:val="005B20B5"/>
    <w:rsid w:val="005B40A5"/>
    <w:rsid w:val="005B6897"/>
    <w:rsid w:val="005C3CD5"/>
    <w:rsid w:val="005C602E"/>
    <w:rsid w:val="005D15CA"/>
    <w:rsid w:val="005D36AB"/>
    <w:rsid w:val="005E0F73"/>
    <w:rsid w:val="005E11D6"/>
    <w:rsid w:val="005E28AD"/>
    <w:rsid w:val="005F00A5"/>
    <w:rsid w:val="005F1929"/>
    <w:rsid w:val="005F29DD"/>
    <w:rsid w:val="006063BC"/>
    <w:rsid w:val="006107FE"/>
    <w:rsid w:val="0061776B"/>
    <w:rsid w:val="00617CC3"/>
    <w:rsid w:val="006377A6"/>
    <w:rsid w:val="00637A3D"/>
    <w:rsid w:val="006411EF"/>
    <w:rsid w:val="00643610"/>
    <w:rsid w:val="006470C5"/>
    <w:rsid w:val="006472F8"/>
    <w:rsid w:val="00652DAB"/>
    <w:rsid w:val="00666442"/>
    <w:rsid w:val="00670AF2"/>
    <w:rsid w:val="00671403"/>
    <w:rsid w:val="00671EFF"/>
    <w:rsid w:val="006748B8"/>
    <w:rsid w:val="00675E93"/>
    <w:rsid w:val="006775C3"/>
    <w:rsid w:val="00683347"/>
    <w:rsid w:val="00685553"/>
    <w:rsid w:val="006878A5"/>
    <w:rsid w:val="00690B34"/>
    <w:rsid w:val="0069290A"/>
    <w:rsid w:val="00694BB5"/>
    <w:rsid w:val="00694DF4"/>
    <w:rsid w:val="0069775A"/>
    <w:rsid w:val="00697813"/>
    <w:rsid w:val="006A16C7"/>
    <w:rsid w:val="006A2B0D"/>
    <w:rsid w:val="006A3EE8"/>
    <w:rsid w:val="006A5E9C"/>
    <w:rsid w:val="006A72BF"/>
    <w:rsid w:val="006B03F2"/>
    <w:rsid w:val="006B37DC"/>
    <w:rsid w:val="006B4F68"/>
    <w:rsid w:val="006B6CAA"/>
    <w:rsid w:val="006B6D63"/>
    <w:rsid w:val="006C0592"/>
    <w:rsid w:val="006C272E"/>
    <w:rsid w:val="006C5479"/>
    <w:rsid w:val="006C5B31"/>
    <w:rsid w:val="006D13B5"/>
    <w:rsid w:val="006D2044"/>
    <w:rsid w:val="006D256E"/>
    <w:rsid w:val="006D729B"/>
    <w:rsid w:val="006E12FF"/>
    <w:rsid w:val="006E47CF"/>
    <w:rsid w:val="006E607E"/>
    <w:rsid w:val="00700446"/>
    <w:rsid w:val="007043AC"/>
    <w:rsid w:val="00704579"/>
    <w:rsid w:val="00706C5D"/>
    <w:rsid w:val="00710541"/>
    <w:rsid w:val="00716905"/>
    <w:rsid w:val="007176AD"/>
    <w:rsid w:val="00724582"/>
    <w:rsid w:val="00731FEA"/>
    <w:rsid w:val="007327CF"/>
    <w:rsid w:val="00732922"/>
    <w:rsid w:val="007329B5"/>
    <w:rsid w:val="00732AE8"/>
    <w:rsid w:val="007372F3"/>
    <w:rsid w:val="00740617"/>
    <w:rsid w:val="00743F48"/>
    <w:rsid w:val="007457FF"/>
    <w:rsid w:val="00747849"/>
    <w:rsid w:val="00750D55"/>
    <w:rsid w:val="0075162E"/>
    <w:rsid w:val="00751979"/>
    <w:rsid w:val="00754034"/>
    <w:rsid w:val="0075501B"/>
    <w:rsid w:val="00756556"/>
    <w:rsid w:val="007618C4"/>
    <w:rsid w:val="0076203F"/>
    <w:rsid w:val="00762C3E"/>
    <w:rsid w:val="00763581"/>
    <w:rsid w:val="0076371D"/>
    <w:rsid w:val="00763D48"/>
    <w:rsid w:val="00766576"/>
    <w:rsid w:val="00767980"/>
    <w:rsid w:val="00770B19"/>
    <w:rsid w:val="0077463F"/>
    <w:rsid w:val="007836EA"/>
    <w:rsid w:val="00784CDA"/>
    <w:rsid w:val="00785638"/>
    <w:rsid w:val="007906C4"/>
    <w:rsid w:val="00792416"/>
    <w:rsid w:val="007940EA"/>
    <w:rsid w:val="0079543A"/>
    <w:rsid w:val="007967E8"/>
    <w:rsid w:val="007A0656"/>
    <w:rsid w:val="007A2170"/>
    <w:rsid w:val="007A22BF"/>
    <w:rsid w:val="007A3323"/>
    <w:rsid w:val="007A3E78"/>
    <w:rsid w:val="007A4285"/>
    <w:rsid w:val="007B698D"/>
    <w:rsid w:val="007B72B8"/>
    <w:rsid w:val="007B7A58"/>
    <w:rsid w:val="007C10DA"/>
    <w:rsid w:val="007C21B5"/>
    <w:rsid w:val="007C36E7"/>
    <w:rsid w:val="007C4DDF"/>
    <w:rsid w:val="007C7561"/>
    <w:rsid w:val="007E07BC"/>
    <w:rsid w:val="007E3829"/>
    <w:rsid w:val="007E4BD2"/>
    <w:rsid w:val="008003CD"/>
    <w:rsid w:val="00801393"/>
    <w:rsid w:val="00802F88"/>
    <w:rsid w:val="0081293E"/>
    <w:rsid w:val="0081340A"/>
    <w:rsid w:val="00815465"/>
    <w:rsid w:val="0081576B"/>
    <w:rsid w:val="00817E9A"/>
    <w:rsid w:val="008306BD"/>
    <w:rsid w:val="00831A80"/>
    <w:rsid w:val="00833743"/>
    <w:rsid w:val="00833DA1"/>
    <w:rsid w:val="008340A4"/>
    <w:rsid w:val="008342DF"/>
    <w:rsid w:val="0084200B"/>
    <w:rsid w:val="00844521"/>
    <w:rsid w:val="008465E9"/>
    <w:rsid w:val="008508E5"/>
    <w:rsid w:val="0085614A"/>
    <w:rsid w:val="008630CD"/>
    <w:rsid w:val="00865A0B"/>
    <w:rsid w:val="00867D8D"/>
    <w:rsid w:val="008701C3"/>
    <w:rsid w:val="0087135F"/>
    <w:rsid w:val="00872D94"/>
    <w:rsid w:val="0087594B"/>
    <w:rsid w:val="00876A29"/>
    <w:rsid w:val="008770FA"/>
    <w:rsid w:val="00877C14"/>
    <w:rsid w:val="00880364"/>
    <w:rsid w:val="00891592"/>
    <w:rsid w:val="00891E9E"/>
    <w:rsid w:val="008969B9"/>
    <w:rsid w:val="008A2BF3"/>
    <w:rsid w:val="008A2F68"/>
    <w:rsid w:val="008A52C8"/>
    <w:rsid w:val="008B1406"/>
    <w:rsid w:val="008B4FA6"/>
    <w:rsid w:val="008B5282"/>
    <w:rsid w:val="008B60A8"/>
    <w:rsid w:val="008B7C17"/>
    <w:rsid w:val="008C2D01"/>
    <w:rsid w:val="008C3985"/>
    <w:rsid w:val="008C40E6"/>
    <w:rsid w:val="008C5D47"/>
    <w:rsid w:val="008D0F7A"/>
    <w:rsid w:val="008D1050"/>
    <w:rsid w:val="008D5587"/>
    <w:rsid w:val="008D68E4"/>
    <w:rsid w:val="008E0506"/>
    <w:rsid w:val="008E0CFF"/>
    <w:rsid w:val="008E4F29"/>
    <w:rsid w:val="008E5990"/>
    <w:rsid w:val="008E5D6B"/>
    <w:rsid w:val="008E7557"/>
    <w:rsid w:val="008E76F0"/>
    <w:rsid w:val="008E7F13"/>
    <w:rsid w:val="008F15FE"/>
    <w:rsid w:val="008F2D29"/>
    <w:rsid w:val="008F5187"/>
    <w:rsid w:val="008F60D8"/>
    <w:rsid w:val="0090023A"/>
    <w:rsid w:val="00902727"/>
    <w:rsid w:val="0090312B"/>
    <w:rsid w:val="0090562F"/>
    <w:rsid w:val="00906A38"/>
    <w:rsid w:val="00915077"/>
    <w:rsid w:val="0091736D"/>
    <w:rsid w:val="0093037A"/>
    <w:rsid w:val="0093353A"/>
    <w:rsid w:val="009354E8"/>
    <w:rsid w:val="00940562"/>
    <w:rsid w:val="0094154D"/>
    <w:rsid w:val="00942150"/>
    <w:rsid w:val="00942FAC"/>
    <w:rsid w:val="00944106"/>
    <w:rsid w:val="009455D8"/>
    <w:rsid w:val="00946DD0"/>
    <w:rsid w:val="0095155F"/>
    <w:rsid w:val="0095244B"/>
    <w:rsid w:val="00954429"/>
    <w:rsid w:val="00954A22"/>
    <w:rsid w:val="009563CE"/>
    <w:rsid w:val="00956DC5"/>
    <w:rsid w:val="009606BE"/>
    <w:rsid w:val="00960AB7"/>
    <w:rsid w:val="00960BFA"/>
    <w:rsid w:val="00960FDA"/>
    <w:rsid w:val="009610BE"/>
    <w:rsid w:val="00965BE5"/>
    <w:rsid w:val="00973594"/>
    <w:rsid w:val="00975C29"/>
    <w:rsid w:val="009762D0"/>
    <w:rsid w:val="00976328"/>
    <w:rsid w:val="0097680D"/>
    <w:rsid w:val="00976E93"/>
    <w:rsid w:val="00982438"/>
    <w:rsid w:val="0098404C"/>
    <w:rsid w:val="00985283"/>
    <w:rsid w:val="00986ACD"/>
    <w:rsid w:val="00987C5F"/>
    <w:rsid w:val="00995992"/>
    <w:rsid w:val="0099706B"/>
    <w:rsid w:val="009A03E5"/>
    <w:rsid w:val="009A0F3B"/>
    <w:rsid w:val="009A1BB4"/>
    <w:rsid w:val="009A2628"/>
    <w:rsid w:val="009A3200"/>
    <w:rsid w:val="009B0897"/>
    <w:rsid w:val="009B4E38"/>
    <w:rsid w:val="009B4E41"/>
    <w:rsid w:val="009B604D"/>
    <w:rsid w:val="009B7BD9"/>
    <w:rsid w:val="009C1643"/>
    <w:rsid w:val="009C3AEB"/>
    <w:rsid w:val="009C7DD5"/>
    <w:rsid w:val="009E227D"/>
    <w:rsid w:val="009E5019"/>
    <w:rsid w:val="009F09E8"/>
    <w:rsid w:val="009F24C7"/>
    <w:rsid w:val="009F33E0"/>
    <w:rsid w:val="009F50D6"/>
    <w:rsid w:val="00A04F1B"/>
    <w:rsid w:val="00A0501B"/>
    <w:rsid w:val="00A06D0E"/>
    <w:rsid w:val="00A11388"/>
    <w:rsid w:val="00A140AF"/>
    <w:rsid w:val="00A14947"/>
    <w:rsid w:val="00A203C2"/>
    <w:rsid w:val="00A21EA8"/>
    <w:rsid w:val="00A32A83"/>
    <w:rsid w:val="00A33C55"/>
    <w:rsid w:val="00A368DB"/>
    <w:rsid w:val="00A423AA"/>
    <w:rsid w:val="00A43204"/>
    <w:rsid w:val="00A44EF5"/>
    <w:rsid w:val="00A476A3"/>
    <w:rsid w:val="00A53EC6"/>
    <w:rsid w:val="00A54BE1"/>
    <w:rsid w:val="00A55C0F"/>
    <w:rsid w:val="00A61FE4"/>
    <w:rsid w:val="00A67F07"/>
    <w:rsid w:val="00A7052F"/>
    <w:rsid w:val="00A70C7A"/>
    <w:rsid w:val="00A71721"/>
    <w:rsid w:val="00A85A3F"/>
    <w:rsid w:val="00A86E7A"/>
    <w:rsid w:val="00A8713F"/>
    <w:rsid w:val="00A90BA1"/>
    <w:rsid w:val="00A93EB9"/>
    <w:rsid w:val="00A9701D"/>
    <w:rsid w:val="00A97A9A"/>
    <w:rsid w:val="00AA0671"/>
    <w:rsid w:val="00AA2531"/>
    <w:rsid w:val="00AB1D1A"/>
    <w:rsid w:val="00AB1E09"/>
    <w:rsid w:val="00AB5330"/>
    <w:rsid w:val="00AB7747"/>
    <w:rsid w:val="00AC14CE"/>
    <w:rsid w:val="00AC2A56"/>
    <w:rsid w:val="00AC42F1"/>
    <w:rsid w:val="00AC4AFD"/>
    <w:rsid w:val="00AC619F"/>
    <w:rsid w:val="00AC62DB"/>
    <w:rsid w:val="00AC7642"/>
    <w:rsid w:val="00AD055E"/>
    <w:rsid w:val="00AD0671"/>
    <w:rsid w:val="00AD14B9"/>
    <w:rsid w:val="00AD3878"/>
    <w:rsid w:val="00AD47A7"/>
    <w:rsid w:val="00AD49B1"/>
    <w:rsid w:val="00AD7F95"/>
    <w:rsid w:val="00AE02DE"/>
    <w:rsid w:val="00AE18F2"/>
    <w:rsid w:val="00AE1F95"/>
    <w:rsid w:val="00AE2A32"/>
    <w:rsid w:val="00AF0CBF"/>
    <w:rsid w:val="00AF257F"/>
    <w:rsid w:val="00AF2A8A"/>
    <w:rsid w:val="00AF33CF"/>
    <w:rsid w:val="00AF401F"/>
    <w:rsid w:val="00AF4D50"/>
    <w:rsid w:val="00AF6179"/>
    <w:rsid w:val="00B03EE0"/>
    <w:rsid w:val="00B04200"/>
    <w:rsid w:val="00B1295A"/>
    <w:rsid w:val="00B131FE"/>
    <w:rsid w:val="00B1521B"/>
    <w:rsid w:val="00B20019"/>
    <w:rsid w:val="00B20A45"/>
    <w:rsid w:val="00B22C5C"/>
    <w:rsid w:val="00B22DEB"/>
    <w:rsid w:val="00B24F30"/>
    <w:rsid w:val="00B2637A"/>
    <w:rsid w:val="00B31ABF"/>
    <w:rsid w:val="00B32019"/>
    <w:rsid w:val="00B33BE3"/>
    <w:rsid w:val="00B42AC4"/>
    <w:rsid w:val="00B45FB1"/>
    <w:rsid w:val="00B53B5D"/>
    <w:rsid w:val="00B53DCE"/>
    <w:rsid w:val="00B55ABE"/>
    <w:rsid w:val="00B56C3F"/>
    <w:rsid w:val="00B56C51"/>
    <w:rsid w:val="00B57F8D"/>
    <w:rsid w:val="00B6055E"/>
    <w:rsid w:val="00B60CDA"/>
    <w:rsid w:val="00B6122C"/>
    <w:rsid w:val="00B6317D"/>
    <w:rsid w:val="00B631ED"/>
    <w:rsid w:val="00B718F0"/>
    <w:rsid w:val="00B72B38"/>
    <w:rsid w:val="00B75644"/>
    <w:rsid w:val="00B7723F"/>
    <w:rsid w:val="00B80534"/>
    <w:rsid w:val="00B81585"/>
    <w:rsid w:val="00B82C88"/>
    <w:rsid w:val="00B8433C"/>
    <w:rsid w:val="00B85DA1"/>
    <w:rsid w:val="00B86AA9"/>
    <w:rsid w:val="00B87491"/>
    <w:rsid w:val="00B93099"/>
    <w:rsid w:val="00B965ED"/>
    <w:rsid w:val="00B972CE"/>
    <w:rsid w:val="00BA29E9"/>
    <w:rsid w:val="00BA5198"/>
    <w:rsid w:val="00BA52C3"/>
    <w:rsid w:val="00BA7142"/>
    <w:rsid w:val="00BB237C"/>
    <w:rsid w:val="00BB41A3"/>
    <w:rsid w:val="00BB548A"/>
    <w:rsid w:val="00BC28DB"/>
    <w:rsid w:val="00BC32DC"/>
    <w:rsid w:val="00BC35B6"/>
    <w:rsid w:val="00BC405F"/>
    <w:rsid w:val="00BC53AE"/>
    <w:rsid w:val="00BC62AF"/>
    <w:rsid w:val="00BD1B51"/>
    <w:rsid w:val="00BD4596"/>
    <w:rsid w:val="00BE0196"/>
    <w:rsid w:val="00BE0229"/>
    <w:rsid w:val="00BE04D4"/>
    <w:rsid w:val="00BE1405"/>
    <w:rsid w:val="00BE14C6"/>
    <w:rsid w:val="00BE312D"/>
    <w:rsid w:val="00BE5D3E"/>
    <w:rsid w:val="00BF1C20"/>
    <w:rsid w:val="00C01195"/>
    <w:rsid w:val="00C014D5"/>
    <w:rsid w:val="00C02BC3"/>
    <w:rsid w:val="00C10578"/>
    <w:rsid w:val="00C135BC"/>
    <w:rsid w:val="00C15C95"/>
    <w:rsid w:val="00C16D5F"/>
    <w:rsid w:val="00C236C8"/>
    <w:rsid w:val="00C23D70"/>
    <w:rsid w:val="00C24BF1"/>
    <w:rsid w:val="00C24D86"/>
    <w:rsid w:val="00C2596A"/>
    <w:rsid w:val="00C27537"/>
    <w:rsid w:val="00C27569"/>
    <w:rsid w:val="00C31C96"/>
    <w:rsid w:val="00C328FE"/>
    <w:rsid w:val="00C33507"/>
    <w:rsid w:val="00C356F3"/>
    <w:rsid w:val="00C35B8C"/>
    <w:rsid w:val="00C36A5C"/>
    <w:rsid w:val="00C44041"/>
    <w:rsid w:val="00C4409D"/>
    <w:rsid w:val="00C44E72"/>
    <w:rsid w:val="00C455E4"/>
    <w:rsid w:val="00C45A06"/>
    <w:rsid w:val="00C47E5B"/>
    <w:rsid w:val="00C524E9"/>
    <w:rsid w:val="00C55C47"/>
    <w:rsid w:val="00C56334"/>
    <w:rsid w:val="00C61E4B"/>
    <w:rsid w:val="00C643AC"/>
    <w:rsid w:val="00C64BFF"/>
    <w:rsid w:val="00C66CF6"/>
    <w:rsid w:val="00C704E9"/>
    <w:rsid w:val="00C70C05"/>
    <w:rsid w:val="00C742D9"/>
    <w:rsid w:val="00C763C9"/>
    <w:rsid w:val="00C80057"/>
    <w:rsid w:val="00C80A0B"/>
    <w:rsid w:val="00C81885"/>
    <w:rsid w:val="00C82232"/>
    <w:rsid w:val="00C82913"/>
    <w:rsid w:val="00C83205"/>
    <w:rsid w:val="00C972B1"/>
    <w:rsid w:val="00CA01CC"/>
    <w:rsid w:val="00CA035F"/>
    <w:rsid w:val="00CA2CCE"/>
    <w:rsid w:val="00CA43FD"/>
    <w:rsid w:val="00CA7EF8"/>
    <w:rsid w:val="00CB5924"/>
    <w:rsid w:val="00CC489B"/>
    <w:rsid w:val="00CD01D6"/>
    <w:rsid w:val="00CD1AAC"/>
    <w:rsid w:val="00CD2BCD"/>
    <w:rsid w:val="00CD3A4C"/>
    <w:rsid w:val="00CE10E9"/>
    <w:rsid w:val="00CE1AE0"/>
    <w:rsid w:val="00CE1F91"/>
    <w:rsid w:val="00CE2910"/>
    <w:rsid w:val="00CE5393"/>
    <w:rsid w:val="00CE732E"/>
    <w:rsid w:val="00CF2C80"/>
    <w:rsid w:val="00CF36BE"/>
    <w:rsid w:val="00CF5056"/>
    <w:rsid w:val="00CF5FE2"/>
    <w:rsid w:val="00CF6000"/>
    <w:rsid w:val="00CF6FE6"/>
    <w:rsid w:val="00D003F3"/>
    <w:rsid w:val="00D0364F"/>
    <w:rsid w:val="00D054E0"/>
    <w:rsid w:val="00D06834"/>
    <w:rsid w:val="00D07DE7"/>
    <w:rsid w:val="00D10E22"/>
    <w:rsid w:val="00D11426"/>
    <w:rsid w:val="00D13BB2"/>
    <w:rsid w:val="00D17440"/>
    <w:rsid w:val="00D267F2"/>
    <w:rsid w:val="00D2683C"/>
    <w:rsid w:val="00D308ED"/>
    <w:rsid w:val="00D33368"/>
    <w:rsid w:val="00D34D34"/>
    <w:rsid w:val="00D357A1"/>
    <w:rsid w:val="00D36D86"/>
    <w:rsid w:val="00D3755D"/>
    <w:rsid w:val="00D41ABB"/>
    <w:rsid w:val="00D428AA"/>
    <w:rsid w:val="00D42C59"/>
    <w:rsid w:val="00D459B5"/>
    <w:rsid w:val="00D50A34"/>
    <w:rsid w:val="00D53EFA"/>
    <w:rsid w:val="00D61899"/>
    <w:rsid w:val="00D76512"/>
    <w:rsid w:val="00D80A42"/>
    <w:rsid w:val="00D83B6A"/>
    <w:rsid w:val="00D846A0"/>
    <w:rsid w:val="00D92AC4"/>
    <w:rsid w:val="00D94138"/>
    <w:rsid w:val="00D94A7C"/>
    <w:rsid w:val="00D95896"/>
    <w:rsid w:val="00D95992"/>
    <w:rsid w:val="00D9696E"/>
    <w:rsid w:val="00D9738A"/>
    <w:rsid w:val="00DA0161"/>
    <w:rsid w:val="00DB2983"/>
    <w:rsid w:val="00DB5210"/>
    <w:rsid w:val="00DC0ECF"/>
    <w:rsid w:val="00DC1257"/>
    <w:rsid w:val="00DC3DC0"/>
    <w:rsid w:val="00DC5B2B"/>
    <w:rsid w:val="00DC6E6C"/>
    <w:rsid w:val="00DC6F35"/>
    <w:rsid w:val="00DD318D"/>
    <w:rsid w:val="00DD367C"/>
    <w:rsid w:val="00DE15CD"/>
    <w:rsid w:val="00DF26FD"/>
    <w:rsid w:val="00DF2E12"/>
    <w:rsid w:val="00DF48A0"/>
    <w:rsid w:val="00DF514A"/>
    <w:rsid w:val="00DF6690"/>
    <w:rsid w:val="00DF6804"/>
    <w:rsid w:val="00E02217"/>
    <w:rsid w:val="00E023D9"/>
    <w:rsid w:val="00E0358D"/>
    <w:rsid w:val="00E04323"/>
    <w:rsid w:val="00E06013"/>
    <w:rsid w:val="00E070A2"/>
    <w:rsid w:val="00E10978"/>
    <w:rsid w:val="00E112E8"/>
    <w:rsid w:val="00E12240"/>
    <w:rsid w:val="00E140B9"/>
    <w:rsid w:val="00E16DC9"/>
    <w:rsid w:val="00E22A1C"/>
    <w:rsid w:val="00E22B29"/>
    <w:rsid w:val="00E2656A"/>
    <w:rsid w:val="00E3750C"/>
    <w:rsid w:val="00E412D0"/>
    <w:rsid w:val="00E44279"/>
    <w:rsid w:val="00E4532F"/>
    <w:rsid w:val="00E46A15"/>
    <w:rsid w:val="00E47417"/>
    <w:rsid w:val="00E510A0"/>
    <w:rsid w:val="00E55E4F"/>
    <w:rsid w:val="00E56322"/>
    <w:rsid w:val="00E60982"/>
    <w:rsid w:val="00E62C62"/>
    <w:rsid w:val="00E654C1"/>
    <w:rsid w:val="00E65D97"/>
    <w:rsid w:val="00E67C9D"/>
    <w:rsid w:val="00E72A5A"/>
    <w:rsid w:val="00E73354"/>
    <w:rsid w:val="00E74C23"/>
    <w:rsid w:val="00E905D1"/>
    <w:rsid w:val="00E9147E"/>
    <w:rsid w:val="00E9218D"/>
    <w:rsid w:val="00E9242D"/>
    <w:rsid w:val="00E936D9"/>
    <w:rsid w:val="00EA46D4"/>
    <w:rsid w:val="00EA6DAD"/>
    <w:rsid w:val="00EB2283"/>
    <w:rsid w:val="00EB27C6"/>
    <w:rsid w:val="00EB5255"/>
    <w:rsid w:val="00EB5C47"/>
    <w:rsid w:val="00EC3EAF"/>
    <w:rsid w:val="00EC414D"/>
    <w:rsid w:val="00EC4AB8"/>
    <w:rsid w:val="00EC4E53"/>
    <w:rsid w:val="00EC5151"/>
    <w:rsid w:val="00EC623B"/>
    <w:rsid w:val="00ED0639"/>
    <w:rsid w:val="00ED6ECF"/>
    <w:rsid w:val="00ED7A3E"/>
    <w:rsid w:val="00EE1CF1"/>
    <w:rsid w:val="00EE4536"/>
    <w:rsid w:val="00EE754F"/>
    <w:rsid w:val="00EF328E"/>
    <w:rsid w:val="00EF39E4"/>
    <w:rsid w:val="00EF4755"/>
    <w:rsid w:val="00EF7135"/>
    <w:rsid w:val="00F027DB"/>
    <w:rsid w:val="00F03702"/>
    <w:rsid w:val="00F05148"/>
    <w:rsid w:val="00F05C2F"/>
    <w:rsid w:val="00F105A1"/>
    <w:rsid w:val="00F121FC"/>
    <w:rsid w:val="00F14A7A"/>
    <w:rsid w:val="00F162BE"/>
    <w:rsid w:val="00F216D4"/>
    <w:rsid w:val="00F21AD4"/>
    <w:rsid w:val="00F22985"/>
    <w:rsid w:val="00F2658A"/>
    <w:rsid w:val="00F3383E"/>
    <w:rsid w:val="00F355A6"/>
    <w:rsid w:val="00F465A7"/>
    <w:rsid w:val="00F46B64"/>
    <w:rsid w:val="00F46C3A"/>
    <w:rsid w:val="00F50477"/>
    <w:rsid w:val="00F50B7C"/>
    <w:rsid w:val="00F550E6"/>
    <w:rsid w:val="00F558BA"/>
    <w:rsid w:val="00F606B9"/>
    <w:rsid w:val="00F6661D"/>
    <w:rsid w:val="00F70863"/>
    <w:rsid w:val="00F73104"/>
    <w:rsid w:val="00F74345"/>
    <w:rsid w:val="00F80A0A"/>
    <w:rsid w:val="00F820D8"/>
    <w:rsid w:val="00F82B19"/>
    <w:rsid w:val="00F8433B"/>
    <w:rsid w:val="00F86307"/>
    <w:rsid w:val="00F86BE1"/>
    <w:rsid w:val="00F91B99"/>
    <w:rsid w:val="00F91EA0"/>
    <w:rsid w:val="00F91F5D"/>
    <w:rsid w:val="00F9212D"/>
    <w:rsid w:val="00F92CBC"/>
    <w:rsid w:val="00F965DA"/>
    <w:rsid w:val="00F96EDA"/>
    <w:rsid w:val="00FA25FE"/>
    <w:rsid w:val="00FA406A"/>
    <w:rsid w:val="00FA475F"/>
    <w:rsid w:val="00FA47DD"/>
    <w:rsid w:val="00FB503A"/>
    <w:rsid w:val="00FB516C"/>
    <w:rsid w:val="00FB7922"/>
    <w:rsid w:val="00FC31E1"/>
    <w:rsid w:val="00FC4458"/>
    <w:rsid w:val="00FC53D2"/>
    <w:rsid w:val="00FD0236"/>
    <w:rsid w:val="00FD18F4"/>
    <w:rsid w:val="00FD38AF"/>
    <w:rsid w:val="00FD54DB"/>
    <w:rsid w:val="00FD619F"/>
    <w:rsid w:val="00FD6700"/>
    <w:rsid w:val="00FE1E51"/>
    <w:rsid w:val="00FF1401"/>
    <w:rsid w:val="00FF238A"/>
    <w:rsid w:val="00FF3D07"/>
    <w:rsid w:val="00FF4B1C"/>
    <w:rsid w:val="00FF5562"/>
    <w:rsid w:val="01154186"/>
    <w:rsid w:val="01290F7E"/>
    <w:rsid w:val="015D1E09"/>
    <w:rsid w:val="017A3A45"/>
    <w:rsid w:val="019E3125"/>
    <w:rsid w:val="01BD6ECD"/>
    <w:rsid w:val="01F454F1"/>
    <w:rsid w:val="02021905"/>
    <w:rsid w:val="0204567E"/>
    <w:rsid w:val="02697903"/>
    <w:rsid w:val="029577CD"/>
    <w:rsid w:val="02AC2B73"/>
    <w:rsid w:val="02B340EB"/>
    <w:rsid w:val="02CC2FE7"/>
    <w:rsid w:val="02F96569"/>
    <w:rsid w:val="036C34DA"/>
    <w:rsid w:val="03847A45"/>
    <w:rsid w:val="03A964DC"/>
    <w:rsid w:val="03BB4139"/>
    <w:rsid w:val="03E4620F"/>
    <w:rsid w:val="03EA7B21"/>
    <w:rsid w:val="0400191F"/>
    <w:rsid w:val="0463317D"/>
    <w:rsid w:val="04A978C9"/>
    <w:rsid w:val="04B41175"/>
    <w:rsid w:val="05024800"/>
    <w:rsid w:val="05290B24"/>
    <w:rsid w:val="059111F6"/>
    <w:rsid w:val="05AC050C"/>
    <w:rsid w:val="05C0366A"/>
    <w:rsid w:val="05CB139B"/>
    <w:rsid w:val="05F83EAE"/>
    <w:rsid w:val="06092E16"/>
    <w:rsid w:val="061F5DFF"/>
    <w:rsid w:val="063E7D85"/>
    <w:rsid w:val="06C3598D"/>
    <w:rsid w:val="06CF26FD"/>
    <w:rsid w:val="06E56E93"/>
    <w:rsid w:val="06F537E7"/>
    <w:rsid w:val="06FE0384"/>
    <w:rsid w:val="0716019F"/>
    <w:rsid w:val="07293586"/>
    <w:rsid w:val="07295285"/>
    <w:rsid w:val="07310B57"/>
    <w:rsid w:val="074556FE"/>
    <w:rsid w:val="07636392"/>
    <w:rsid w:val="07770C56"/>
    <w:rsid w:val="077E48AC"/>
    <w:rsid w:val="079B78B0"/>
    <w:rsid w:val="07A76F9F"/>
    <w:rsid w:val="08114650"/>
    <w:rsid w:val="08315174"/>
    <w:rsid w:val="085F168C"/>
    <w:rsid w:val="088B22C0"/>
    <w:rsid w:val="088C1F29"/>
    <w:rsid w:val="0899155B"/>
    <w:rsid w:val="08ED47CE"/>
    <w:rsid w:val="092217DD"/>
    <w:rsid w:val="093A7294"/>
    <w:rsid w:val="094265A6"/>
    <w:rsid w:val="09B1296D"/>
    <w:rsid w:val="09B4439D"/>
    <w:rsid w:val="09B82DB4"/>
    <w:rsid w:val="0A135A12"/>
    <w:rsid w:val="0A150910"/>
    <w:rsid w:val="0A2148F3"/>
    <w:rsid w:val="0A263993"/>
    <w:rsid w:val="0A2D3AC2"/>
    <w:rsid w:val="0A336235"/>
    <w:rsid w:val="0A413A61"/>
    <w:rsid w:val="0A596CCC"/>
    <w:rsid w:val="0A5D5514"/>
    <w:rsid w:val="0A9B6453"/>
    <w:rsid w:val="0AA50C1E"/>
    <w:rsid w:val="0AA755DF"/>
    <w:rsid w:val="0AC260D6"/>
    <w:rsid w:val="0B120D44"/>
    <w:rsid w:val="0B3D5778"/>
    <w:rsid w:val="0BC75A97"/>
    <w:rsid w:val="0BD27BF6"/>
    <w:rsid w:val="0C3B3C7D"/>
    <w:rsid w:val="0C6F29E4"/>
    <w:rsid w:val="0C816193"/>
    <w:rsid w:val="0CAB2EAE"/>
    <w:rsid w:val="0CF02BD5"/>
    <w:rsid w:val="0CF60B8F"/>
    <w:rsid w:val="0D162709"/>
    <w:rsid w:val="0D621C7D"/>
    <w:rsid w:val="0D795C50"/>
    <w:rsid w:val="0DBC097E"/>
    <w:rsid w:val="0DBC5B31"/>
    <w:rsid w:val="0DD76679"/>
    <w:rsid w:val="0DDF2E5A"/>
    <w:rsid w:val="0DE960F6"/>
    <w:rsid w:val="0E24463F"/>
    <w:rsid w:val="0E451D37"/>
    <w:rsid w:val="0E6A4ABA"/>
    <w:rsid w:val="0E73034D"/>
    <w:rsid w:val="0E741495"/>
    <w:rsid w:val="0E8A5202"/>
    <w:rsid w:val="0E990EFC"/>
    <w:rsid w:val="0EA57A1B"/>
    <w:rsid w:val="0EAC1FDF"/>
    <w:rsid w:val="0EF3685E"/>
    <w:rsid w:val="0F044ADA"/>
    <w:rsid w:val="0F0516C6"/>
    <w:rsid w:val="0F13775A"/>
    <w:rsid w:val="0F182768"/>
    <w:rsid w:val="0F244C8A"/>
    <w:rsid w:val="0F3E6F7A"/>
    <w:rsid w:val="0F5F45FE"/>
    <w:rsid w:val="0F6E6A60"/>
    <w:rsid w:val="0F7972C5"/>
    <w:rsid w:val="0F7B0C61"/>
    <w:rsid w:val="0F9A112B"/>
    <w:rsid w:val="10106773"/>
    <w:rsid w:val="106D2F64"/>
    <w:rsid w:val="10B4359F"/>
    <w:rsid w:val="10B63710"/>
    <w:rsid w:val="10F10820"/>
    <w:rsid w:val="111C2F7A"/>
    <w:rsid w:val="11665CA1"/>
    <w:rsid w:val="11966099"/>
    <w:rsid w:val="119A4505"/>
    <w:rsid w:val="11AA5892"/>
    <w:rsid w:val="123D0CDA"/>
    <w:rsid w:val="123E012D"/>
    <w:rsid w:val="124155B8"/>
    <w:rsid w:val="128D521B"/>
    <w:rsid w:val="12E3081A"/>
    <w:rsid w:val="13271725"/>
    <w:rsid w:val="132E7AA5"/>
    <w:rsid w:val="136A69B4"/>
    <w:rsid w:val="13951726"/>
    <w:rsid w:val="13BB638B"/>
    <w:rsid w:val="13E66E7E"/>
    <w:rsid w:val="142810D0"/>
    <w:rsid w:val="14305E5E"/>
    <w:rsid w:val="14396509"/>
    <w:rsid w:val="14707152"/>
    <w:rsid w:val="14C121AD"/>
    <w:rsid w:val="14C16747"/>
    <w:rsid w:val="14CB1C36"/>
    <w:rsid w:val="14D10E78"/>
    <w:rsid w:val="14DD2C3C"/>
    <w:rsid w:val="14E06002"/>
    <w:rsid w:val="1509575D"/>
    <w:rsid w:val="1554671D"/>
    <w:rsid w:val="15F83EAA"/>
    <w:rsid w:val="16087E1D"/>
    <w:rsid w:val="160E641B"/>
    <w:rsid w:val="16156356"/>
    <w:rsid w:val="1663620B"/>
    <w:rsid w:val="1701702A"/>
    <w:rsid w:val="17660320"/>
    <w:rsid w:val="17701D14"/>
    <w:rsid w:val="17735226"/>
    <w:rsid w:val="178F03F3"/>
    <w:rsid w:val="17966920"/>
    <w:rsid w:val="17B31280"/>
    <w:rsid w:val="17D605B3"/>
    <w:rsid w:val="180E2A99"/>
    <w:rsid w:val="18204B18"/>
    <w:rsid w:val="185C7497"/>
    <w:rsid w:val="189F624C"/>
    <w:rsid w:val="18DB3D60"/>
    <w:rsid w:val="18F12E8D"/>
    <w:rsid w:val="19007A4A"/>
    <w:rsid w:val="190D06CD"/>
    <w:rsid w:val="19192975"/>
    <w:rsid w:val="19B17903"/>
    <w:rsid w:val="1A1C66C0"/>
    <w:rsid w:val="1A42393B"/>
    <w:rsid w:val="1AAD45DE"/>
    <w:rsid w:val="1AE41750"/>
    <w:rsid w:val="1B046F80"/>
    <w:rsid w:val="1B3267B5"/>
    <w:rsid w:val="1B3F58FC"/>
    <w:rsid w:val="1B40161D"/>
    <w:rsid w:val="1B4072CF"/>
    <w:rsid w:val="1B441859"/>
    <w:rsid w:val="1B6606B1"/>
    <w:rsid w:val="1B666609"/>
    <w:rsid w:val="1B7022B0"/>
    <w:rsid w:val="1BB93D75"/>
    <w:rsid w:val="1C5E7925"/>
    <w:rsid w:val="1C8470E9"/>
    <w:rsid w:val="1C867746"/>
    <w:rsid w:val="1CA84011"/>
    <w:rsid w:val="1CF450F3"/>
    <w:rsid w:val="1CF802D8"/>
    <w:rsid w:val="1CFD070F"/>
    <w:rsid w:val="1D370260"/>
    <w:rsid w:val="1D3A7FC4"/>
    <w:rsid w:val="1D5F6196"/>
    <w:rsid w:val="1D6132A5"/>
    <w:rsid w:val="1D7A7612"/>
    <w:rsid w:val="1D8E3BF5"/>
    <w:rsid w:val="1D8E56D5"/>
    <w:rsid w:val="1D9E47D3"/>
    <w:rsid w:val="1DB26A69"/>
    <w:rsid w:val="1DE17B0C"/>
    <w:rsid w:val="1E6107A3"/>
    <w:rsid w:val="1E7A43DA"/>
    <w:rsid w:val="1FE7539E"/>
    <w:rsid w:val="1FF540F7"/>
    <w:rsid w:val="1FF871A3"/>
    <w:rsid w:val="20671BE0"/>
    <w:rsid w:val="20963CB8"/>
    <w:rsid w:val="20A81A1B"/>
    <w:rsid w:val="20B07FB6"/>
    <w:rsid w:val="20B646FB"/>
    <w:rsid w:val="212D0374"/>
    <w:rsid w:val="213B74B1"/>
    <w:rsid w:val="21463165"/>
    <w:rsid w:val="215A2310"/>
    <w:rsid w:val="216D496B"/>
    <w:rsid w:val="217B79F0"/>
    <w:rsid w:val="217D3D79"/>
    <w:rsid w:val="21BD2336"/>
    <w:rsid w:val="21DE318A"/>
    <w:rsid w:val="21EF5B80"/>
    <w:rsid w:val="2200723B"/>
    <w:rsid w:val="22467939"/>
    <w:rsid w:val="22576990"/>
    <w:rsid w:val="22990ED5"/>
    <w:rsid w:val="22A531AF"/>
    <w:rsid w:val="22AE33CB"/>
    <w:rsid w:val="22B941F6"/>
    <w:rsid w:val="22CB6CA4"/>
    <w:rsid w:val="22F47480"/>
    <w:rsid w:val="2318468D"/>
    <w:rsid w:val="236713C7"/>
    <w:rsid w:val="23DE1C48"/>
    <w:rsid w:val="23ED650A"/>
    <w:rsid w:val="240210CD"/>
    <w:rsid w:val="24911905"/>
    <w:rsid w:val="24BF09F7"/>
    <w:rsid w:val="25167329"/>
    <w:rsid w:val="252D53FE"/>
    <w:rsid w:val="25801DA3"/>
    <w:rsid w:val="25913271"/>
    <w:rsid w:val="25A501B3"/>
    <w:rsid w:val="25B4794F"/>
    <w:rsid w:val="25EC2D81"/>
    <w:rsid w:val="25F35D03"/>
    <w:rsid w:val="25FE744E"/>
    <w:rsid w:val="26921F67"/>
    <w:rsid w:val="26F6389B"/>
    <w:rsid w:val="2711031F"/>
    <w:rsid w:val="275A2A5B"/>
    <w:rsid w:val="277057A2"/>
    <w:rsid w:val="27A42C72"/>
    <w:rsid w:val="28372A20"/>
    <w:rsid w:val="285E3344"/>
    <w:rsid w:val="289266D6"/>
    <w:rsid w:val="289F315B"/>
    <w:rsid w:val="28E446CE"/>
    <w:rsid w:val="290D3007"/>
    <w:rsid w:val="2910075E"/>
    <w:rsid w:val="29206EB8"/>
    <w:rsid w:val="29471B8A"/>
    <w:rsid w:val="29595666"/>
    <w:rsid w:val="297B20F3"/>
    <w:rsid w:val="29874881"/>
    <w:rsid w:val="29E325E0"/>
    <w:rsid w:val="29E70AF3"/>
    <w:rsid w:val="2A273DE6"/>
    <w:rsid w:val="2A452503"/>
    <w:rsid w:val="2A4C202D"/>
    <w:rsid w:val="2AAD1B5F"/>
    <w:rsid w:val="2B034774"/>
    <w:rsid w:val="2B0E6A1C"/>
    <w:rsid w:val="2B2B7F6F"/>
    <w:rsid w:val="2B801E44"/>
    <w:rsid w:val="2B830B12"/>
    <w:rsid w:val="2B9A7CC8"/>
    <w:rsid w:val="2B9C42F6"/>
    <w:rsid w:val="2BA936A8"/>
    <w:rsid w:val="2C315A5A"/>
    <w:rsid w:val="2C4B1C25"/>
    <w:rsid w:val="2C594595"/>
    <w:rsid w:val="2C5B788B"/>
    <w:rsid w:val="2C870C74"/>
    <w:rsid w:val="2C8929FD"/>
    <w:rsid w:val="2D4820F0"/>
    <w:rsid w:val="2D5B56D3"/>
    <w:rsid w:val="2D5E5F47"/>
    <w:rsid w:val="2D9E56F5"/>
    <w:rsid w:val="2DD53A01"/>
    <w:rsid w:val="2E4722CA"/>
    <w:rsid w:val="2E65687B"/>
    <w:rsid w:val="2E667F96"/>
    <w:rsid w:val="2E8226AB"/>
    <w:rsid w:val="2E8861C3"/>
    <w:rsid w:val="2EA90170"/>
    <w:rsid w:val="2F446CFF"/>
    <w:rsid w:val="2F5F3BD2"/>
    <w:rsid w:val="2FC35949"/>
    <w:rsid w:val="2FD065E6"/>
    <w:rsid w:val="2FD96870"/>
    <w:rsid w:val="30580BC9"/>
    <w:rsid w:val="30BD5F13"/>
    <w:rsid w:val="311E2ED7"/>
    <w:rsid w:val="31206DDA"/>
    <w:rsid w:val="315619EE"/>
    <w:rsid w:val="315B4580"/>
    <w:rsid w:val="315C449C"/>
    <w:rsid w:val="31B4028E"/>
    <w:rsid w:val="31B82709"/>
    <w:rsid w:val="31D05482"/>
    <w:rsid w:val="31F03F85"/>
    <w:rsid w:val="32400B34"/>
    <w:rsid w:val="325E7BE3"/>
    <w:rsid w:val="326A595D"/>
    <w:rsid w:val="328B1A0B"/>
    <w:rsid w:val="329E6876"/>
    <w:rsid w:val="32C043F9"/>
    <w:rsid w:val="331C6D4C"/>
    <w:rsid w:val="333015F2"/>
    <w:rsid w:val="33332E1D"/>
    <w:rsid w:val="3348545B"/>
    <w:rsid w:val="334B6320"/>
    <w:rsid w:val="33AE0B09"/>
    <w:rsid w:val="33B232A1"/>
    <w:rsid w:val="33D42EA5"/>
    <w:rsid w:val="33D934D4"/>
    <w:rsid w:val="33FE2F6A"/>
    <w:rsid w:val="340E07E5"/>
    <w:rsid w:val="34235BF7"/>
    <w:rsid w:val="342A7A2B"/>
    <w:rsid w:val="344A596D"/>
    <w:rsid w:val="34DA0A32"/>
    <w:rsid w:val="34DB42A0"/>
    <w:rsid w:val="351256CE"/>
    <w:rsid w:val="358C5FA8"/>
    <w:rsid w:val="35C15DF1"/>
    <w:rsid w:val="35E5096B"/>
    <w:rsid w:val="35FD4F3C"/>
    <w:rsid w:val="36074A7F"/>
    <w:rsid w:val="367C0FDF"/>
    <w:rsid w:val="36864A9D"/>
    <w:rsid w:val="36922A38"/>
    <w:rsid w:val="36923549"/>
    <w:rsid w:val="36B75FBF"/>
    <w:rsid w:val="36BB1D6C"/>
    <w:rsid w:val="36BD0C45"/>
    <w:rsid w:val="370B7C47"/>
    <w:rsid w:val="371670C2"/>
    <w:rsid w:val="37211265"/>
    <w:rsid w:val="37212514"/>
    <w:rsid w:val="37262A19"/>
    <w:rsid w:val="3736112E"/>
    <w:rsid w:val="379613D7"/>
    <w:rsid w:val="37AD6FC9"/>
    <w:rsid w:val="37C46749"/>
    <w:rsid w:val="37E00298"/>
    <w:rsid w:val="38210F58"/>
    <w:rsid w:val="387C0DC3"/>
    <w:rsid w:val="38B302F9"/>
    <w:rsid w:val="38E17DC2"/>
    <w:rsid w:val="38F12CD3"/>
    <w:rsid w:val="38F25925"/>
    <w:rsid w:val="38F94775"/>
    <w:rsid w:val="392971ED"/>
    <w:rsid w:val="39325651"/>
    <w:rsid w:val="396A61B4"/>
    <w:rsid w:val="39E4699F"/>
    <w:rsid w:val="3A2C681C"/>
    <w:rsid w:val="3A592FEA"/>
    <w:rsid w:val="3A872856"/>
    <w:rsid w:val="3B1016CD"/>
    <w:rsid w:val="3B3763D1"/>
    <w:rsid w:val="3B873017"/>
    <w:rsid w:val="3BB12563"/>
    <w:rsid w:val="3C1934F8"/>
    <w:rsid w:val="3C1F3ADE"/>
    <w:rsid w:val="3C2F6E1E"/>
    <w:rsid w:val="3C4E4F9C"/>
    <w:rsid w:val="3C4E6ED4"/>
    <w:rsid w:val="3C4F64BA"/>
    <w:rsid w:val="3CDA245A"/>
    <w:rsid w:val="3D1E06B7"/>
    <w:rsid w:val="3D40060F"/>
    <w:rsid w:val="3D651623"/>
    <w:rsid w:val="3E0110BE"/>
    <w:rsid w:val="3E335122"/>
    <w:rsid w:val="3E462316"/>
    <w:rsid w:val="3EAE23FA"/>
    <w:rsid w:val="3ECC2484"/>
    <w:rsid w:val="3ECE0946"/>
    <w:rsid w:val="3EDA0523"/>
    <w:rsid w:val="3EF51F1B"/>
    <w:rsid w:val="3FB97A91"/>
    <w:rsid w:val="3FC7442B"/>
    <w:rsid w:val="3FFC5F15"/>
    <w:rsid w:val="400A4AA6"/>
    <w:rsid w:val="40283FDE"/>
    <w:rsid w:val="405A79DE"/>
    <w:rsid w:val="407A6407"/>
    <w:rsid w:val="40F26047"/>
    <w:rsid w:val="414C6557"/>
    <w:rsid w:val="41B11ADD"/>
    <w:rsid w:val="4200449D"/>
    <w:rsid w:val="423A3BCC"/>
    <w:rsid w:val="424E57D2"/>
    <w:rsid w:val="42B26C49"/>
    <w:rsid w:val="42E030FD"/>
    <w:rsid w:val="42ED3B5A"/>
    <w:rsid w:val="432A3F75"/>
    <w:rsid w:val="433A6FE6"/>
    <w:rsid w:val="43480868"/>
    <w:rsid w:val="434D77B5"/>
    <w:rsid w:val="4350713C"/>
    <w:rsid w:val="435766B4"/>
    <w:rsid w:val="436653E0"/>
    <w:rsid w:val="43681598"/>
    <w:rsid w:val="43C4431A"/>
    <w:rsid w:val="43D50022"/>
    <w:rsid w:val="43EC3897"/>
    <w:rsid w:val="44246EDE"/>
    <w:rsid w:val="444D3986"/>
    <w:rsid w:val="447C42B6"/>
    <w:rsid w:val="44B951CC"/>
    <w:rsid w:val="44BF1087"/>
    <w:rsid w:val="44C674A1"/>
    <w:rsid w:val="44CD14E0"/>
    <w:rsid w:val="44F20B0B"/>
    <w:rsid w:val="452E5F4C"/>
    <w:rsid w:val="45612018"/>
    <w:rsid w:val="458946E9"/>
    <w:rsid w:val="45A47C0E"/>
    <w:rsid w:val="45A9310F"/>
    <w:rsid w:val="45CC61BB"/>
    <w:rsid w:val="46577FD6"/>
    <w:rsid w:val="46913736"/>
    <w:rsid w:val="46D955A7"/>
    <w:rsid w:val="47133957"/>
    <w:rsid w:val="47134AD4"/>
    <w:rsid w:val="474F0898"/>
    <w:rsid w:val="47816B1D"/>
    <w:rsid w:val="478B62E5"/>
    <w:rsid w:val="47A07E0C"/>
    <w:rsid w:val="481371B5"/>
    <w:rsid w:val="483941CF"/>
    <w:rsid w:val="4855039A"/>
    <w:rsid w:val="485D066B"/>
    <w:rsid w:val="4870272E"/>
    <w:rsid w:val="48802072"/>
    <w:rsid w:val="48994BB2"/>
    <w:rsid w:val="48F5643E"/>
    <w:rsid w:val="49310F9E"/>
    <w:rsid w:val="493F20C4"/>
    <w:rsid w:val="494871CB"/>
    <w:rsid w:val="49DC7715"/>
    <w:rsid w:val="4A023139"/>
    <w:rsid w:val="4A0F5998"/>
    <w:rsid w:val="4A42385A"/>
    <w:rsid w:val="4A7B576F"/>
    <w:rsid w:val="4ADE58F2"/>
    <w:rsid w:val="4AF561A9"/>
    <w:rsid w:val="4B3227C8"/>
    <w:rsid w:val="4B624E50"/>
    <w:rsid w:val="4B69212F"/>
    <w:rsid w:val="4C4A0649"/>
    <w:rsid w:val="4C7E5ECA"/>
    <w:rsid w:val="4C876AA5"/>
    <w:rsid w:val="4D0E00FB"/>
    <w:rsid w:val="4D176606"/>
    <w:rsid w:val="4D2F1140"/>
    <w:rsid w:val="4D34340A"/>
    <w:rsid w:val="4D6D183E"/>
    <w:rsid w:val="4D994E29"/>
    <w:rsid w:val="4DEC4FB0"/>
    <w:rsid w:val="4E075D8A"/>
    <w:rsid w:val="4E157A52"/>
    <w:rsid w:val="4E247939"/>
    <w:rsid w:val="4EC00FAD"/>
    <w:rsid w:val="4F147B4F"/>
    <w:rsid w:val="4F37196C"/>
    <w:rsid w:val="4F4E74E7"/>
    <w:rsid w:val="4F6E3703"/>
    <w:rsid w:val="4F9843DC"/>
    <w:rsid w:val="4FC62A8C"/>
    <w:rsid w:val="4FC926E8"/>
    <w:rsid w:val="4FE20F0D"/>
    <w:rsid w:val="4FE51552"/>
    <w:rsid w:val="50504C4B"/>
    <w:rsid w:val="508F6F73"/>
    <w:rsid w:val="509C6E7C"/>
    <w:rsid w:val="50B111E6"/>
    <w:rsid w:val="50C63987"/>
    <w:rsid w:val="50EC3FDB"/>
    <w:rsid w:val="514069D9"/>
    <w:rsid w:val="5162104E"/>
    <w:rsid w:val="5181293B"/>
    <w:rsid w:val="5181346C"/>
    <w:rsid w:val="51977C5C"/>
    <w:rsid w:val="51B043C6"/>
    <w:rsid w:val="51E23F34"/>
    <w:rsid w:val="52A631B4"/>
    <w:rsid w:val="52B641F1"/>
    <w:rsid w:val="52EB6140"/>
    <w:rsid w:val="532C1C4D"/>
    <w:rsid w:val="53512494"/>
    <w:rsid w:val="53837051"/>
    <w:rsid w:val="53A039CC"/>
    <w:rsid w:val="53A1505A"/>
    <w:rsid w:val="53A5572C"/>
    <w:rsid w:val="53B37FCA"/>
    <w:rsid w:val="53C733E2"/>
    <w:rsid w:val="53DF0DAF"/>
    <w:rsid w:val="54063E08"/>
    <w:rsid w:val="543437E8"/>
    <w:rsid w:val="54D526BD"/>
    <w:rsid w:val="54ED747F"/>
    <w:rsid w:val="54F73313"/>
    <w:rsid w:val="54F80955"/>
    <w:rsid w:val="55346855"/>
    <w:rsid w:val="553B2320"/>
    <w:rsid w:val="555170A7"/>
    <w:rsid w:val="5587536D"/>
    <w:rsid w:val="55970346"/>
    <w:rsid w:val="559B174B"/>
    <w:rsid w:val="55CE0CF4"/>
    <w:rsid w:val="55D66658"/>
    <w:rsid w:val="56102E1E"/>
    <w:rsid w:val="562C1C22"/>
    <w:rsid w:val="56561B41"/>
    <w:rsid w:val="56997C71"/>
    <w:rsid w:val="56B22A9C"/>
    <w:rsid w:val="56C91E0E"/>
    <w:rsid w:val="56CB0504"/>
    <w:rsid w:val="56CD10CC"/>
    <w:rsid w:val="56E32475"/>
    <w:rsid w:val="577A7585"/>
    <w:rsid w:val="57AA2DFF"/>
    <w:rsid w:val="57B72A76"/>
    <w:rsid w:val="57B9325B"/>
    <w:rsid w:val="57C3426C"/>
    <w:rsid w:val="57CE1F93"/>
    <w:rsid w:val="57FD5624"/>
    <w:rsid w:val="58461F8B"/>
    <w:rsid w:val="5859488C"/>
    <w:rsid w:val="588743D1"/>
    <w:rsid w:val="5887701A"/>
    <w:rsid w:val="58A2554B"/>
    <w:rsid w:val="58F24A5D"/>
    <w:rsid w:val="591C3342"/>
    <w:rsid w:val="5928504E"/>
    <w:rsid w:val="593535AD"/>
    <w:rsid w:val="596C0CB3"/>
    <w:rsid w:val="59C0439F"/>
    <w:rsid w:val="59E90B92"/>
    <w:rsid w:val="5A050C0D"/>
    <w:rsid w:val="5A2C28B8"/>
    <w:rsid w:val="5A417C6B"/>
    <w:rsid w:val="5A5752C7"/>
    <w:rsid w:val="5A5A62B1"/>
    <w:rsid w:val="5A6257DB"/>
    <w:rsid w:val="5ABE2233"/>
    <w:rsid w:val="5ACB5DC5"/>
    <w:rsid w:val="5ACF7241"/>
    <w:rsid w:val="5AF61DEA"/>
    <w:rsid w:val="5AF725D0"/>
    <w:rsid w:val="5B353A9E"/>
    <w:rsid w:val="5B526E24"/>
    <w:rsid w:val="5BA85F06"/>
    <w:rsid w:val="5BDF5D95"/>
    <w:rsid w:val="5BFE7528"/>
    <w:rsid w:val="5C2D0239"/>
    <w:rsid w:val="5C365696"/>
    <w:rsid w:val="5C675762"/>
    <w:rsid w:val="5C763521"/>
    <w:rsid w:val="5C9C22F4"/>
    <w:rsid w:val="5DA90C92"/>
    <w:rsid w:val="5DF81785"/>
    <w:rsid w:val="5E08087F"/>
    <w:rsid w:val="5E2467F1"/>
    <w:rsid w:val="5E4F0B0C"/>
    <w:rsid w:val="5EA37711"/>
    <w:rsid w:val="5EB00823"/>
    <w:rsid w:val="5F1A2B43"/>
    <w:rsid w:val="5F1F604D"/>
    <w:rsid w:val="5F2B196A"/>
    <w:rsid w:val="5F55367B"/>
    <w:rsid w:val="5F5629B4"/>
    <w:rsid w:val="5F5B71E1"/>
    <w:rsid w:val="5F6874D9"/>
    <w:rsid w:val="5F7A1C50"/>
    <w:rsid w:val="5F981124"/>
    <w:rsid w:val="5FAA432D"/>
    <w:rsid w:val="5FB837BB"/>
    <w:rsid w:val="601259E5"/>
    <w:rsid w:val="60320D37"/>
    <w:rsid w:val="60687CA9"/>
    <w:rsid w:val="60792ED3"/>
    <w:rsid w:val="60820DBC"/>
    <w:rsid w:val="609D5BF6"/>
    <w:rsid w:val="60AC3BE1"/>
    <w:rsid w:val="60BB1432"/>
    <w:rsid w:val="60CC405A"/>
    <w:rsid w:val="60F12B46"/>
    <w:rsid w:val="60F938E8"/>
    <w:rsid w:val="61021EFD"/>
    <w:rsid w:val="6110461A"/>
    <w:rsid w:val="612C0560"/>
    <w:rsid w:val="612C2BCE"/>
    <w:rsid w:val="61962DE1"/>
    <w:rsid w:val="619F5FD1"/>
    <w:rsid w:val="61B428E0"/>
    <w:rsid w:val="61E215D8"/>
    <w:rsid w:val="621B3775"/>
    <w:rsid w:val="62364782"/>
    <w:rsid w:val="624B571C"/>
    <w:rsid w:val="629152E7"/>
    <w:rsid w:val="6394356A"/>
    <w:rsid w:val="63972DD1"/>
    <w:rsid w:val="63B26763"/>
    <w:rsid w:val="63BB5677"/>
    <w:rsid w:val="63BD7215"/>
    <w:rsid w:val="63C61B2C"/>
    <w:rsid w:val="63D40BE9"/>
    <w:rsid w:val="640E54A7"/>
    <w:rsid w:val="64102431"/>
    <w:rsid w:val="642537F2"/>
    <w:rsid w:val="64A5243A"/>
    <w:rsid w:val="64E8140A"/>
    <w:rsid w:val="64E81786"/>
    <w:rsid w:val="64F531DE"/>
    <w:rsid w:val="65102E3B"/>
    <w:rsid w:val="65263C25"/>
    <w:rsid w:val="65373578"/>
    <w:rsid w:val="654518E8"/>
    <w:rsid w:val="6568324E"/>
    <w:rsid w:val="659E02B8"/>
    <w:rsid w:val="65AE09F4"/>
    <w:rsid w:val="65C87174"/>
    <w:rsid w:val="65F622D0"/>
    <w:rsid w:val="66DE1EA4"/>
    <w:rsid w:val="66E520A5"/>
    <w:rsid w:val="671F124A"/>
    <w:rsid w:val="67390C13"/>
    <w:rsid w:val="6739419F"/>
    <w:rsid w:val="677A33C6"/>
    <w:rsid w:val="677B4CCB"/>
    <w:rsid w:val="678C66E4"/>
    <w:rsid w:val="67B4513B"/>
    <w:rsid w:val="67CD65F3"/>
    <w:rsid w:val="67FB3202"/>
    <w:rsid w:val="68002368"/>
    <w:rsid w:val="681F6961"/>
    <w:rsid w:val="68610A2F"/>
    <w:rsid w:val="68805514"/>
    <w:rsid w:val="689E3C27"/>
    <w:rsid w:val="68B65AA7"/>
    <w:rsid w:val="68C752F2"/>
    <w:rsid w:val="68E343C2"/>
    <w:rsid w:val="68F16050"/>
    <w:rsid w:val="69316E2F"/>
    <w:rsid w:val="693331DD"/>
    <w:rsid w:val="69394A85"/>
    <w:rsid w:val="694E2071"/>
    <w:rsid w:val="696A3AE2"/>
    <w:rsid w:val="69766163"/>
    <w:rsid w:val="697A3B33"/>
    <w:rsid w:val="69D44760"/>
    <w:rsid w:val="6A227095"/>
    <w:rsid w:val="6A2E78BF"/>
    <w:rsid w:val="6A4C217C"/>
    <w:rsid w:val="6A520EC7"/>
    <w:rsid w:val="6A9F445B"/>
    <w:rsid w:val="6AA722B9"/>
    <w:rsid w:val="6AA91911"/>
    <w:rsid w:val="6ADF7D69"/>
    <w:rsid w:val="6AEB6692"/>
    <w:rsid w:val="6AF87E20"/>
    <w:rsid w:val="6B120DB0"/>
    <w:rsid w:val="6B322639"/>
    <w:rsid w:val="6B870E2E"/>
    <w:rsid w:val="6BFE1BC4"/>
    <w:rsid w:val="6C636C38"/>
    <w:rsid w:val="6CA53F07"/>
    <w:rsid w:val="6CDC5687"/>
    <w:rsid w:val="6D060801"/>
    <w:rsid w:val="6D33059E"/>
    <w:rsid w:val="6DB34098"/>
    <w:rsid w:val="6DB545B6"/>
    <w:rsid w:val="6DD7389B"/>
    <w:rsid w:val="6DE02FB4"/>
    <w:rsid w:val="6E1D33A4"/>
    <w:rsid w:val="6E514CED"/>
    <w:rsid w:val="6EB563D5"/>
    <w:rsid w:val="6ED92677"/>
    <w:rsid w:val="6F225983"/>
    <w:rsid w:val="6F3C0982"/>
    <w:rsid w:val="6F3E5467"/>
    <w:rsid w:val="6FA81EC2"/>
    <w:rsid w:val="6FCF6356"/>
    <w:rsid w:val="6FDD14C9"/>
    <w:rsid w:val="6FF97511"/>
    <w:rsid w:val="6FFC5590"/>
    <w:rsid w:val="702074A4"/>
    <w:rsid w:val="706D1DD0"/>
    <w:rsid w:val="707D1860"/>
    <w:rsid w:val="70856B87"/>
    <w:rsid w:val="70B623BC"/>
    <w:rsid w:val="70C3128F"/>
    <w:rsid w:val="70D527EE"/>
    <w:rsid w:val="71202899"/>
    <w:rsid w:val="7145290B"/>
    <w:rsid w:val="715B5300"/>
    <w:rsid w:val="716E7B7F"/>
    <w:rsid w:val="71915A59"/>
    <w:rsid w:val="719B7F30"/>
    <w:rsid w:val="71D27F8A"/>
    <w:rsid w:val="71D417DE"/>
    <w:rsid w:val="71E04C6F"/>
    <w:rsid w:val="721B3C17"/>
    <w:rsid w:val="7231619E"/>
    <w:rsid w:val="72553024"/>
    <w:rsid w:val="726B5776"/>
    <w:rsid w:val="72A037FD"/>
    <w:rsid w:val="72CE2C6F"/>
    <w:rsid w:val="72DF5BFA"/>
    <w:rsid w:val="73122968"/>
    <w:rsid w:val="731F2940"/>
    <w:rsid w:val="731F5D5E"/>
    <w:rsid w:val="73552361"/>
    <w:rsid w:val="73643796"/>
    <w:rsid w:val="73A375FB"/>
    <w:rsid w:val="73A8137D"/>
    <w:rsid w:val="73C51AD5"/>
    <w:rsid w:val="73D256FF"/>
    <w:rsid w:val="73FE47A6"/>
    <w:rsid w:val="740970D2"/>
    <w:rsid w:val="741E793C"/>
    <w:rsid w:val="745E3944"/>
    <w:rsid w:val="74736F42"/>
    <w:rsid w:val="74D9415B"/>
    <w:rsid w:val="75B275F6"/>
    <w:rsid w:val="75BA2EF9"/>
    <w:rsid w:val="75BE5F9B"/>
    <w:rsid w:val="7612665D"/>
    <w:rsid w:val="761B5A1A"/>
    <w:rsid w:val="7635099D"/>
    <w:rsid w:val="76990467"/>
    <w:rsid w:val="76D55DD6"/>
    <w:rsid w:val="76E35530"/>
    <w:rsid w:val="76F0795A"/>
    <w:rsid w:val="76FE0619"/>
    <w:rsid w:val="77026A79"/>
    <w:rsid w:val="77061516"/>
    <w:rsid w:val="77762421"/>
    <w:rsid w:val="77907C4F"/>
    <w:rsid w:val="77943E04"/>
    <w:rsid w:val="77B56B1F"/>
    <w:rsid w:val="77EF4EB7"/>
    <w:rsid w:val="780F09F4"/>
    <w:rsid w:val="78163572"/>
    <w:rsid w:val="78282279"/>
    <w:rsid w:val="78621BF3"/>
    <w:rsid w:val="78686622"/>
    <w:rsid w:val="78993EAA"/>
    <w:rsid w:val="78A90480"/>
    <w:rsid w:val="78B8435A"/>
    <w:rsid w:val="793E6303"/>
    <w:rsid w:val="798B772D"/>
    <w:rsid w:val="799210D1"/>
    <w:rsid w:val="79957FC1"/>
    <w:rsid w:val="79BC241C"/>
    <w:rsid w:val="7A026F5B"/>
    <w:rsid w:val="7A364017"/>
    <w:rsid w:val="7A3E00A8"/>
    <w:rsid w:val="7A74000B"/>
    <w:rsid w:val="7A7E219D"/>
    <w:rsid w:val="7A8265E1"/>
    <w:rsid w:val="7A9773F8"/>
    <w:rsid w:val="7B686D42"/>
    <w:rsid w:val="7B841746"/>
    <w:rsid w:val="7C374F53"/>
    <w:rsid w:val="7C3919DE"/>
    <w:rsid w:val="7C3B4F67"/>
    <w:rsid w:val="7C6C5AC7"/>
    <w:rsid w:val="7C750CEE"/>
    <w:rsid w:val="7C8634D2"/>
    <w:rsid w:val="7CC6544B"/>
    <w:rsid w:val="7CCF6CE0"/>
    <w:rsid w:val="7D0239FF"/>
    <w:rsid w:val="7D2A03BA"/>
    <w:rsid w:val="7D5E40CD"/>
    <w:rsid w:val="7D621902"/>
    <w:rsid w:val="7D982AFF"/>
    <w:rsid w:val="7DB303AF"/>
    <w:rsid w:val="7DCD56F2"/>
    <w:rsid w:val="7DDD387C"/>
    <w:rsid w:val="7E9A7E8D"/>
    <w:rsid w:val="7E9F1F4C"/>
    <w:rsid w:val="7EB53415"/>
    <w:rsid w:val="7EBE393A"/>
    <w:rsid w:val="7ED21D6F"/>
    <w:rsid w:val="7ED93E49"/>
    <w:rsid w:val="7F001CE7"/>
    <w:rsid w:val="7F5F565D"/>
    <w:rsid w:val="7FBB354B"/>
    <w:rsid w:val="7FC902AA"/>
    <w:rsid w:val="7FD1222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iPriority="99"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4"/>
      <w:lang w:val="en-US" w:eastAsia="zh-CN" w:bidi="ar-SA"/>
    </w:rPr>
  </w:style>
  <w:style w:type="paragraph" w:styleId="6">
    <w:name w:val="heading 1"/>
    <w:basedOn w:val="1"/>
    <w:next w:val="1"/>
    <w:qFormat/>
    <w:locked/>
    <w:uiPriority w:val="99"/>
    <w:pPr>
      <w:keepNext/>
      <w:overflowPunct w:val="0"/>
      <w:snapToGrid w:val="0"/>
      <w:spacing w:before="120" w:after="40" w:line="460" w:lineRule="exact"/>
      <w:ind w:left="431" w:hanging="431"/>
      <w:outlineLvl w:val="0"/>
    </w:pPr>
    <w:rPr>
      <w:rFonts w:ascii="Times New Roman" w:hAnsi="Times New Roman" w:eastAsia="黑体"/>
      <w:b/>
      <w:bCs/>
      <w:color w:val="000000"/>
      <w:kern w:val="44"/>
      <w:sz w:val="28"/>
      <w:szCs w:val="30"/>
    </w:rPr>
  </w:style>
  <w:style w:type="paragraph" w:styleId="7">
    <w:name w:val="heading 2"/>
    <w:basedOn w:val="1"/>
    <w:next w:val="1"/>
    <w:qFormat/>
    <w:locked/>
    <w:uiPriority w:val="0"/>
    <w:pPr>
      <w:keepNext/>
      <w:keepLines/>
      <w:spacing w:before="260" w:after="260" w:line="413" w:lineRule="auto"/>
      <w:outlineLvl w:val="1"/>
    </w:pPr>
    <w:rPr>
      <w:rFonts w:ascii="Arial" w:hAnsi="Arial" w:eastAsia="黑体"/>
      <w:b/>
      <w:sz w:val="32"/>
    </w:rPr>
  </w:style>
  <w:style w:type="paragraph" w:styleId="8">
    <w:name w:val="heading 3"/>
    <w:basedOn w:val="1"/>
    <w:next w:val="1"/>
    <w:qFormat/>
    <w:locked/>
    <w:uiPriority w:val="9"/>
    <w:pPr>
      <w:keepNext/>
      <w:keepLines/>
      <w:numPr>
        <w:ilvl w:val="2"/>
        <w:numId w:val="1"/>
      </w:numPr>
      <w:spacing w:line="360" w:lineRule="auto"/>
      <w:jc w:val="left"/>
      <w:outlineLvl w:val="2"/>
    </w:pPr>
    <w:rPr>
      <w:rFonts w:eastAsia="黑体"/>
      <w:b/>
      <w:bCs/>
      <w:szCs w:val="32"/>
    </w:rPr>
  </w:style>
  <w:style w:type="paragraph" w:styleId="9">
    <w:name w:val="heading 4"/>
    <w:basedOn w:val="1"/>
    <w:next w:val="1"/>
    <w:qFormat/>
    <w:locked/>
    <w:uiPriority w:val="9"/>
    <w:pPr>
      <w:keepNext/>
      <w:keepLines/>
      <w:numPr>
        <w:ilvl w:val="3"/>
        <w:numId w:val="1"/>
      </w:numPr>
      <w:spacing w:line="360" w:lineRule="auto"/>
      <w:outlineLvl w:val="3"/>
    </w:pPr>
    <w:rPr>
      <w:rFonts w:ascii="等线 Light" w:hAnsi="等线 Light" w:eastAsia="黑体"/>
      <w:b/>
      <w:bCs/>
      <w:szCs w:val="28"/>
    </w:rPr>
  </w:style>
  <w:style w:type="paragraph" w:styleId="10">
    <w:name w:val="heading 9"/>
    <w:basedOn w:val="1"/>
    <w:next w:val="1"/>
    <w:link w:val="71"/>
    <w:semiHidden/>
    <w:unhideWhenUsed/>
    <w:qFormat/>
    <w:locked/>
    <w:uiPriority w:val="0"/>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1"/>
    <w:next w:val="3"/>
    <w:qFormat/>
    <w:locked/>
    <w:uiPriority w:val="0"/>
    <w:pPr>
      <w:tabs>
        <w:tab w:val="left" w:pos="2377"/>
      </w:tabs>
      <w:ind w:left="480" w:firstLine="482" w:firstLineChars="200"/>
      <w:pPrChange w:id="0" w:author="congcheng kang" w:date="2024-04-08T17:41:00Z">
        <w:pPr>
          <w:widowControl w:val="0"/>
          <w:spacing w:after="120"/>
          <w:ind w:left="420" w:leftChars="200" w:firstLine="420" w:firstLineChars="200"/>
          <w:jc w:val="both"/>
        </w:pPr>
      </w:pPrChange>
    </w:pPr>
    <w:rPr>
      <w:b/>
      <w:bCs/>
      <w:rPrChange w:id="1" w:author="congcheng kang" w:date="2024-04-08T17:41:00Z">
        <w:rPr>
          <w:rFonts w:ascii="Calibri" w:hAnsi="Calibri" w:eastAsia="宋体"/>
          <w:b/>
          <w:bCs/>
          <w:kern w:val="2"/>
          <w:sz w:val="24"/>
          <w:szCs w:val="24"/>
          <w:lang w:val="en-US" w:eastAsia="zh-CN" w:bidi="ar-SA"/>
        </w:rPr>
      </w:rPrChange>
    </w:rPr>
  </w:style>
  <w:style w:type="paragraph" w:styleId="3">
    <w:name w:val="Body Text First Indent"/>
    <w:basedOn w:val="4"/>
    <w:next w:val="1"/>
    <w:unhideWhenUsed/>
    <w:qFormat/>
    <w:locked/>
    <w:uiPriority w:val="99"/>
    <w:pPr>
      <w:adjustRightInd w:val="0"/>
      <w:spacing w:before="0" w:after="120" w:line="360" w:lineRule="auto"/>
      <w:ind w:right="0" w:firstLine="420" w:firstLineChars="100"/>
    </w:pPr>
    <w:rPr>
      <w:sz w:val="24"/>
    </w:rPr>
  </w:style>
  <w:style w:type="paragraph" w:styleId="4">
    <w:name w:val="Body Text"/>
    <w:basedOn w:val="1"/>
    <w:next w:val="5"/>
    <w:link w:val="48"/>
    <w:qFormat/>
    <w:uiPriority w:val="0"/>
    <w:pPr>
      <w:widowControl/>
      <w:snapToGrid w:val="0"/>
      <w:spacing w:before="60" w:after="160" w:line="259" w:lineRule="auto"/>
      <w:ind w:right="113"/>
    </w:pPr>
    <w:rPr>
      <w:kern w:val="0"/>
      <w:sz w:val="18"/>
      <w:szCs w:val="20"/>
    </w:rPr>
  </w:style>
  <w:style w:type="paragraph" w:styleId="5">
    <w:name w:val="Note Heading"/>
    <w:basedOn w:val="1"/>
    <w:next w:val="1"/>
    <w:qFormat/>
    <w:locked/>
    <w:uiPriority w:val="0"/>
    <w:pPr>
      <w:spacing w:line="360" w:lineRule="auto"/>
      <w:ind w:firstLine="200" w:firstLineChars="200"/>
      <w:jc w:val="center"/>
    </w:pPr>
    <w:rPr>
      <w:sz w:val="18"/>
      <w:lang w:val="zh-CN"/>
    </w:rPr>
  </w:style>
  <w:style w:type="paragraph" w:styleId="11">
    <w:name w:val="Normal Indent"/>
    <w:basedOn w:val="1"/>
    <w:link w:val="66"/>
    <w:qFormat/>
    <w:locked/>
    <w:uiPriority w:val="0"/>
    <w:pPr>
      <w:ind w:firstLine="420" w:firstLineChars="200"/>
    </w:pPr>
  </w:style>
  <w:style w:type="paragraph" w:styleId="12">
    <w:name w:val="annotation text"/>
    <w:basedOn w:val="1"/>
    <w:link w:val="55"/>
    <w:semiHidden/>
    <w:qFormat/>
    <w:uiPriority w:val="0"/>
    <w:pPr>
      <w:jc w:val="left"/>
    </w:pPr>
    <w:rPr>
      <w:kern w:val="0"/>
      <w:szCs w:val="20"/>
    </w:rPr>
  </w:style>
  <w:style w:type="paragraph" w:styleId="13">
    <w:name w:val="Body Text Indent"/>
    <w:basedOn w:val="1"/>
    <w:link w:val="58"/>
    <w:qFormat/>
    <w:uiPriority w:val="0"/>
    <w:pPr>
      <w:spacing w:after="120"/>
      <w:ind w:left="420" w:leftChars="200"/>
    </w:pPr>
    <w:rPr>
      <w:kern w:val="0"/>
      <w:szCs w:val="20"/>
    </w:rPr>
  </w:style>
  <w:style w:type="paragraph" w:styleId="14">
    <w:name w:val="Block Text"/>
    <w:basedOn w:val="1"/>
    <w:qFormat/>
    <w:locked/>
    <w:uiPriority w:val="0"/>
    <w:pPr>
      <w:adjustRightInd w:val="0"/>
      <w:snapToGrid w:val="0"/>
      <w:spacing w:line="460" w:lineRule="exact"/>
      <w:ind w:left="113" w:right="113" w:firstLine="425"/>
      <w:textAlignment w:val="baseline"/>
    </w:pPr>
    <w:rPr>
      <w:rFonts w:ascii="楷体_GB2312" w:eastAsia="楷体_GB2312"/>
      <w:kern w:val="0"/>
      <w:sz w:val="28"/>
      <w:szCs w:val="20"/>
    </w:rPr>
  </w:style>
  <w:style w:type="paragraph" w:styleId="15">
    <w:name w:val="Plain Text"/>
    <w:basedOn w:val="1"/>
    <w:link w:val="67"/>
    <w:qFormat/>
    <w:locked/>
    <w:uiPriority w:val="0"/>
    <w:rPr>
      <w:rFonts w:ascii="宋体" w:hAnsi="Courier New"/>
      <w:szCs w:val="20"/>
    </w:rPr>
  </w:style>
  <w:style w:type="paragraph" w:styleId="16">
    <w:name w:val="Date"/>
    <w:basedOn w:val="1"/>
    <w:next w:val="1"/>
    <w:link w:val="50"/>
    <w:qFormat/>
    <w:uiPriority w:val="0"/>
    <w:pPr>
      <w:ind w:left="100" w:leftChars="2500"/>
    </w:pPr>
    <w:rPr>
      <w:kern w:val="0"/>
      <w:szCs w:val="20"/>
    </w:rPr>
  </w:style>
  <w:style w:type="paragraph" w:styleId="17">
    <w:name w:val="Body Text Indent 2"/>
    <w:basedOn w:val="1"/>
    <w:semiHidden/>
    <w:unhideWhenUsed/>
    <w:qFormat/>
    <w:locked/>
    <w:uiPriority w:val="99"/>
    <w:pPr>
      <w:spacing w:after="120" w:line="480" w:lineRule="auto"/>
      <w:ind w:left="420" w:leftChars="200"/>
    </w:pPr>
  </w:style>
  <w:style w:type="paragraph" w:styleId="18">
    <w:name w:val="Balloon Text"/>
    <w:basedOn w:val="1"/>
    <w:link w:val="47"/>
    <w:semiHidden/>
    <w:qFormat/>
    <w:uiPriority w:val="0"/>
    <w:rPr>
      <w:kern w:val="0"/>
      <w:sz w:val="18"/>
      <w:szCs w:val="20"/>
    </w:rPr>
  </w:style>
  <w:style w:type="paragraph" w:styleId="19">
    <w:name w:val="footer"/>
    <w:basedOn w:val="1"/>
    <w:link w:val="54"/>
    <w:qFormat/>
    <w:uiPriority w:val="99"/>
    <w:pPr>
      <w:tabs>
        <w:tab w:val="center" w:pos="4153"/>
        <w:tab w:val="right" w:pos="8306"/>
      </w:tabs>
      <w:snapToGrid w:val="0"/>
      <w:jc w:val="left"/>
    </w:pPr>
    <w:rPr>
      <w:kern w:val="0"/>
      <w:sz w:val="18"/>
      <w:szCs w:val="20"/>
    </w:rPr>
  </w:style>
  <w:style w:type="paragraph" w:styleId="20">
    <w:name w:val="header"/>
    <w:basedOn w:val="1"/>
    <w:link w:val="53"/>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99"/>
  </w:style>
  <w:style w:type="paragraph" w:styleId="22">
    <w:name w:val="Subtitle"/>
    <w:basedOn w:val="1"/>
    <w:next w:val="1"/>
    <w:link w:val="77"/>
    <w:qFormat/>
    <w:locked/>
    <w:uiPriority w:val="11"/>
    <w:pPr>
      <w:spacing w:before="240" w:after="60" w:line="312" w:lineRule="auto"/>
      <w:jc w:val="center"/>
      <w:outlineLvl w:val="1"/>
    </w:pPr>
    <w:rPr>
      <w:rFonts w:ascii="Cambria" w:hAnsi="Cambria"/>
      <w:b/>
      <w:bCs/>
      <w:kern w:val="28"/>
      <w:sz w:val="32"/>
      <w:szCs w:val="32"/>
    </w:rPr>
  </w:style>
  <w:style w:type="paragraph" w:styleId="23">
    <w:name w:val="Normal (Web)"/>
    <w:basedOn w:val="1"/>
    <w:link w:val="56"/>
    <w:qFormat/>
    <w:uiPriority w:val="0"/>
    <w:pPr>
      <w:widowControl/>
      <w:spacing w:before="100" w:beforeAutospacing="1" w:after="100" w:afterAutospacing="1"/>
      <w:jc w:val="center"/>
      <w:outlineLvl w:val="0"/>
    </w:pPr>
    <w:rPr>
      <w:rFonts w:ascii="Times New Roman" w:hAnsi="Times New Roman" w:eastAsia="黑体"/>
      <w:snapToGrid w:val="0"/>
      <w:color w:val="FF0000"/>
      <w:kern w:val="0"/>
      <w:sz w:val="30"/>
      <w:szCs w:val="30"/>
    </w:rPr>
  </w:style>
  <w:style w:type="paragraph" w:styleId="24">
    <w:name w:val="annotation subject"/>
    <w:basedOn w:val="12"/>
    <w:next w:val="12"/>
    <w:link w:val="59"/>
    <w:semiHidden/>
    <w:qFormat/>
    <w:uiPriority w:val="0"/>
    <w:rPr>
      <w:b/>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locked/>
    <w:uiPriority w:val="0"/>
  </w:style>
  <w:style w:type="character" w:styleId="29">
    <w:name w:val="Emphasis"/>
    <w:qFormat/>
    <w:locked/>
    <w:uiPriority w:val="0"/>
    <w:rPr>
      <w:i/>
    </w:rPr>
  </w:style>
  <w:style w:type="character" w:styleId="30">
    <w:name w:val="Hyperlink"/>
    <w:basedOn w:val="27"/>
    <w:unhideWhenUsed/>
    <w:qFormat/>
    <w:locked/>
    <w:uiPriority w:val="99"/>
    <w:rPr>
      <w:color w:val="0000FF"/>
      <w:u w:val="single"/>
    </w:rPr>
  </w:style>
  <w:style w:type="character" w:styleId="31">
    <w:name w:val="annotation reference"/>
    <w:semiHidden/>
    <w:qFormat/>
    <w:uiPriority w:val="0"/>
    <w:rPr>
      <w:sz w:val="21"/>
    </w:rPr>
  </w:style>
  <w:style w:type="paragraph" w:customStyle="1" w:styleId="32">
    <w:name w:val="表格标题（居中）"/>
    <w:basedOn w:val="15"/>
    <w:semiHidden/>
    <w:qFormat/>
    <w:uiPriority w:val="0"/>
    <w:pPr>
      <w:numPr>
        <w:ilvl w:val="0"/>
        <w:numId w:val="2"/>
      </w:numPr>
      <w:adjustRightInd w:val="0"/>
      <w:snapToGrid w:val="0"/>
      <w:spacing w:before="120" w:beforeLines="50" w:after="120" w:afterLines="50"/>
      <w:jc w:val="center"/>
    </w:pPr>
    <w:rPr>
      <w:rFonts w:ascii="Times New Roman" w:hAnsi="Times New Roman" w:eastAsia="黑体"/>
      <w:color w:val="000000"/>
    </w:rPr>
  </w:style>
  <w:style w:type="paragraph" w:customStyle="1" w:styleId="33">
    <w:name w:val="自定义——表（图）头6"/>
    <w:basedOn w:val="1"/>
    <w:qFormat/>
    <w:uiPriority w:val="0"/>
    <w:pPr>
      <w:widowControl/>
      <w:spacing w:before="50" w:beforeLines="50"/>
      <w:jc w:val="center"/>
    </w:pPr>
    <w:rPr>
      <w:rFonts w:ascii="宋体" w:hAnsi="宋体" w:eastAsia="黑体"/>
      <w:kern w:val="0"/>
      <w:szCs w:val="22"/>
    </w:rPr>
  </w:style>
  <w:style w:type="paragraph" w:customStyle="1" w:styleId="34">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正文格式]"/>
    <w:basedOn w:val="1"/>
    <w:qFormat/>
    <w:uiPriority w:val="0"/>
    <w:pPr>
      <w:adjustRightInd w:val="0"/>
      <w:snapToGrid w:val="0"/>
      <w:spacing w:line="440" w:lineRule="exact"/>
      <w:ind w:firstLine="500" w:firstLineChars="200"/>
    </w:pPr>
    <w:rPr>
      <w:rFonts w:cs="宋体"/>
      <w:sz w:val="25"/>
      <w:szCs w:val="20"/>
    </w:rPr>
  </w:style>
  <w:style w:type="paragraph" w:customStyle="1" w:styleId="37">
    <w:name w:val="表格内容"/>
    <w:basedOn w:val="1"/>
    <w:link w:val="78"/>
    <w:qFormat/>
    <w:uiPriority w:val="0"/>
    <w:pPr>
      <w:adjustRightInd w:val="0"/>
      <w:snapToGrid w:val="0"/>
      <w:jc w:val="center"/>
    </w:pPr>
  </w:style>
  <w:style w:type="paragraph" w:customStyle="1" w:styleId="38">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39">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_Style 29"/>
    <w:unhideWhenUsed/>
    <w:qFormat/>
    <w:uiPriority w:val="99"/>
    <w:rPr>
      <w:rFonts w:ascii="Calibri" w:hAnsi="Calibri" w:eastAsia="宋体" w:cs="Times New Roman"/>
      <w:kern w:val="2"/>
      <w:sz w:val="24"/>
      <w:szCs w:val="24"/>
      <w:lang w:val="en-US" w:eastAsia="zh-CN" w:bidi="ar-SA"/>
    </w:rPr>
  </w:style>
  <w:style w:type="paragraph" w:customStyle="1" w:styleId="41">
    <w:name w:val="报告正文"/>
    <w:basedOn w:val="1"/>
    <w:qFormat/>
    <w:uiPriority w:val="0"/>
    <w:pPr>
      <w:spacing w:line="360" w:lineRule="auto"/>
      <w:ind w:firstLine="200" w:firstLineChars="200"/>
    </w:pPr>
  </w:style>
  <w:style w:type="paragraph" w:customStyle="1" w:styleId="42">
    <w:name w:val="【表格文字】"/>
    <w:basedOn w:val="1"/>
    <w:next w:val="1"/>
    <w:qFormat/>
    <w:uiPriority w:val="0"/>
    <w:pPr>
      <w:spacing w:line="320" w:lineRule="atLeast"/>
      <w:jc w:val="center"/>
    </w:pPr>
  </w:style>
  <w:style w:type="paragraph" w:customStyle="1" w:styleId="43">
    <w:name w:val="表内容"/>
    <w:qFormat/>
    <w:uiPriority w:val="0"/>
    <w:pPr>
      <w:widowControl w:val="0"/>
      <w:jc w:val="center"/>
    </w:pPr>
    <w:rPr>
      <w:rFonts w:ascii="Calibri" w:hAnsi="Calibri" w:eastAsia="宋体" w:cs="Times New Roman"/>
      <w:kern w:val="2"/>
      <w:sz w:val="21"/>
      <w:szCs w:val="21"/>
      <w:lang w:val="en-US" w:eastAsia="zh-CN" w:bidi="ar-SA"/>
    </w:rPr>
  </w:style>
  <w:style w:type="paragraph" w:customStyle="1" w:styleId="44">
    <w:name w:val="表格"/>
    <w:basedOn w:val="45"/>
    <w:next w:val="1"/>
    <w:link w:val="46"/>
    <w:qFormat/>
    <w:uiPriority w:val="0"/>
    <w:pPr>
      <w:spacing w:beforeLines="10" w:afterLines="10" w:line="259" w:lineRule="auto"/>
    </w:pPr>
    <w:rPr>
      <w:rFonts w:ascii="宋体"/>
      <w:kern w:val="0"/>
      <w:szCs w:val="20"/>
    </w:rPr>
  </w:style>
  <w:style w:type="paragraph" w:customStyle="1" w:styleId="45">
    <w:name w:val="表格的格式"/>
    <w:basedOn w:val="1"/>
    <w:qFormat/>
    <w:uiPriority w:val="99"/>
    <w:pPr>
      <w:adjustRightInd w:val="0"/>
      <w:snapToGrid w:val="0"/>
      <w:jc w:val="center"/>
    </w:pPr>
    <w:rPr>
      <w:szCs w:val="21"/>
    </w:rPr>
  </w:style>
  <w:style w:type="character" w:customStyle="1" w:styleId="46">
    <w:name w:val="表格 Char"/>
    <w:link w:val="44"/>
    <w:qFormat/>
    <w:locked/>
    <w:uiPriority w:val="0"/>
    <w:rPr>
      <w:rFonts w:ascii="宋体"/>
      <w:sz w:val="21"/>
    </w:rPr>
  </w:style>
  <w:style w:type="character" w:customStyle="1" w:styleId="47">
    <w:name w:val="批注框文本 Char"/>
    <w:link w:val="18"/>
    <w:semiHidden/>
    <w:qFormat/>
    <w:locked/>
    <w:uiPriority w:val="0"/>
    <w:rPr>
      <w:rFonts w:ascii="Times New Roman" w:hAnsi="Times New Roman" w:eastAsia="宋体"/>
      <w:sz w:val="18"/>
    </w:rPr>
  </w:style>
  <w:style w:type="character" w:customStyle="1" w:styleId="48">
    <w:name w:val="正文文本 Char"/>
    <w:link w:val="4"/>
    <w:qFormat/>
    <w:locked/>
    <w:uiPriority w:val="0"/>
    <w:rPr>
      <w:sz w:val="18"/>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日期 Char"/>
    <w:link w:val="16"/>
    <w:qFormat/>
    <w:locked/>
    <w:uiPriority w:val="0"/>
    <w:rPr>
      <w:rFonts w:ascii="Times New Roman" w:hAnsi="Times New Roman" w:eastAsia="宋体"/>
      <w:sz w:val="24"/>
    </w:rPr>
  </w:style>
  <w:style w:type="character" w:customStyle="1" w:styleId="51">
    <w:name w:val="批注文字 字符1"/>
    <w:semiHidden/>
    <w:qFormat/>
    <w:uiPriority w:val="0"/>
    <w:rPr>
      <w:rFonts w:ascii="Times New Roman" w:hAnsi="Times New Roman" w:eastAsia="宋体"/>
      <w:sz w:val="24"/>
    </w:rPr>
  </w:style>
  <w:style w:type="character" w:customStyle="1" w:styleId="52">
    <w:name w:val="页脚 字符"/>
    <w:basedOn w:val="27"/>
    <w:qFormat/>
    <w:uiPriority w:val="99"/>
  </w:style>
  <w:style w:type="character" w:customStyle="1" w:styleId="53">
    <w:name w:val="页眉 Char"/>
    <w:link w:val="20"/>
    <w:qFormat/>
    <w:locked/>
    <w:uiPriority w:val="0"/>
    <w:rPr>
      <w:sz w:val="18"/>
    </w:rPr>
  </w:style>
  <w:style w:type="character" w:customStyle="1" w:styleId="54">
    <w:name w:val="页脚 Char"/>
    <w:link w:val="19"/>
    <w:qFormat/>
    <w:locked/>
    <w:uiPriority w:val="99"/>
    <w:rPr>
      <w:sz w:val="18"/>
    </w:rPr>
  </w:style>
  <w:style w:type="character" w:customStyle="1" w:styleId="55">
    <w:name w:val="批注文字 Char"/>
    <w:link w:val="12"/>
    <w:qFormat/>
    <w:locked/>
    <w:uiPriority w:val="0"/>
    <w:rPr>
      <w:rFonts w:ascii="Times New Roman" w:hAnsi="Times New Roman" w:eastAsia="宋体"/>
      <w:sz w:val="24"/>
    </w:rPr>
  </w:style>
  <w:style w:type="character" w:customStyle="1" w:styleId="56">
    <w:name w:val="普通(网站) Char"/>
    <w:link w:val="23"/>
    <w:qFormat/>
    <w:locked/>
    <w:uiPriority w:val="0"/>
    <w:rPr>
      <w:rFonts w:eastAsia="黑体"/>
      <w:snapToGrid w:val="0"/>
      <w:color w:val="FF0000"/>
      <w:sz w:val="30"/>
      <w:szCs w:val="30"/>
    </w:rPr>
  </w:style>
  <w:style w:type="character" w:customStyle="1" w:styleId="57">
    <w:name w:val="日期 字符"/>
    <w:semiHidden/>
    <w:qFormat/>
    <w:uiPriority w:val="0"/>
    <w:rPr>
      <w:rFonts w:ascii="Times New Roman" w:hAnsi="Times New Roman" w:eastAsia="宋体"/>
      <w:sz w:val="24"/>
    </w:rPr>
  </w:style>
  <w:style w:type="character" w:customStyle="1" w:styleId="58">
    <w:name w:val="正文文本缩进 Char"/>
    <w:link w:val="13"/>
    <w:semiHidden/>
    <w:qFormat/>
    <w:locked/>
    <w:uiPriority w:val="0"/>
    <w:rPr>
      <w:rFonts w:ascii="Times New Roman" w:hAnsi="Times New Roman" w:eastAsia="宋体"/>
      <w:sz w:val="24"/>
    </w:rPr>
  </w:style>
  <w:style w:type="character" w:customStyle="1" w:styleId="59">
    <w:name w:val="批注主题 Char"/>
    <w:link w:val="24"/>
    <w:semiHidden/>
    <w:qFormat/>
    <w:locked/>
    <w:uiPriority w:val="0"/>
    <w:rPr>
      <w:rFonts w:ascii="Times New Roman" w:hAnsi="Times New Roman" w:eastAsia="宋体"/>
      <w:b/>
      <w:kern w:val="2"/>
      <w:sz w:val="24"/>
    </w:rPr>
  </w:style>
  <w:style w:type="paragraph" w:customStyle="1" w:styleId="60">
    <w:name w:val="样式 样式 12.5 磅 行距: 固定值 22 磅 首行缩进:  2 字符 + 首行缩进:  2 字符"/>
    <w:basedOn w:val="1"/>
    <w:qFormat/>
    <w:uiPriority w:val="0"/>
    <w:pPr>
      <w:spacing w:line="440" w:lineRule="exact"/>
      <w:ind w:firstLine="500" w:firstLineChars="200"/>
    </w:pPr>
    <w:rPr>
      <w:rFonts w:ascii="宋体"/>
      <w:kern w:val="0"/>
      <w:sz w:val="25"/>
      <w:szCs w:val="20"/>
    </w:rPr>
  </w:style>
  <w:style w:type="paragraph" w:customStyle="1" w:styleId="61">
    <w:name w:val="正文A"/>
    <w:basedOn w:val="1"/>
    <w:qFormat/>
    <w:uiPriority w:val="0"/>
    <w:pPr>
      <w:autoSpaceDE w:val="0"/>
      <w:autoSpaceDN w:val="0"/>
      <w:adjustRightInd w:val="0"/>
      <w:snapToGrid w:val="0"/>
      <w:spacing w:line="400" w:lineRule="atLeast"/>
      <w:ind w:firstLine="539"/>
      <w:textAlignment w:val="baseline"/>
    </w:pPr>
    <w:rPr>
      <w:rFonts w:ascii="宋体" w:hAnsi="宋体"/>
      <w:kern w:val="0"/>
      <w:szCs w:val="20"/>
    </w:rPr>
  </w:style>
  <w:style w:type="paragraph" w:styleId="62">
    <w:name w:val="List Paragraph"/>
    <w:basedOn w:val="1"/>
    <w:qFormat/>
    <w:uiPriority w:val="34"/>
    <w:pPr>
      <w:ind w:firstLine="420" w:firstLineChars="200"/>
    </w:pPr>
  </w:style>
  <w:style w:type="paragraph" w:customStyle="1" w:styleId="63">
    <w:name w:val="报告表正文样式"/>
    <w:basedOn w:val="1"/>
    <w:qFormat/>
    <w:uiPriority w:val="0"/>
    <w:pPr>
      <w:spacing w:line="360" w:lineRule="auto"/>
      <w:ind w:firstLine="480" w:firstLineChars="200"/>
    </w:pPr>
  </w:style>
  <w:style w:type="character" w:customStyle="1" w:styleId="64">
    <w:name w:val="正文(修改)-wd Char"/>
    <w:link w:val="65"/>
    <w:qFormat/>
    <w:uiPriority w:val="0"/>
    <w:rPr>
      <w:kern w:val="2"/>
      <w:sz w:val="24"/>
      <w:szCs w:val="24"/>
      <w:lang w:val="en-US" w:eastAsia="zh-CN"/>
    </w:rPr>
  </w:style>
  <w:style w:type="paragraph" w:customStyle="1" w:styleId="65">
    <w:name w:val="正文(修改)-wd"/>
    <w:basedOn w:val="1"/>
    <w:link w:val="64"/>
    <w:qFormat/>
    <w:uiPriority w:val="0"/>
    <w:pPr>
      <w:spacing w:line="360" w:lineRule="auto"/>
      <w:ind w:firstLine="480" w:firstLineChars="200"/>
    </w:pPr>
  </w:style>
  <w:style w:type="character" w:customStyle="1" w:styleId="66">
    <w:name w:val="正文缩进 Char"/>
    <w:link w:val="11"/>
    <w:qFormat/>
    <w:uiPriority w:val="0"/>
    <w:rPr>
      <w:kern w:val="2"/>
      <w:sz w:val="24"/>
      <w:szCs w:val="24"/>
    </w:rPr>
  </w:style>
  <w:style w:type="character" w:customStyle="1" w:styleId="67">
    <w:name w:val="纯文本 Char"/>
    <w:link w:val="15"/>
    <w:qFormat/>
    <w:uiPriority w:val="0"/>
    <w:rPr>
      <w:rFonts w:ascii="宋体" w:hAnsi="Courier New"/>
      <w:kern w:val="2"/>
      <w:sz w:val="24"/>
    </w:rPr>
  </w:style>
  <w:style w:type="paragraph" w:customStyle="1" w:styleId="68">
    <w:name w:val="Table Paragraph"/>
    <w:basedOn w:val="1"/>
    <w:qFormat/>
    <w:uiPriority w:val="0"/>
    <w:pPr>
      <w:widowControl/>
      <w:jc w:val="left"/>
    </w:pPr>
    <w:rPr>
      <w:rFonts w:ascii="Times New Roman" w:hAnsi="Times New Roman"/>
      <w:kern w:val="0"/>
      <w:sz w:val="20"/>
      <w:szCs w:val="20"/>
    </w:rPr>
  </w:style>
  <w:style w:type="paragraph" w:customStyle="1" w:styleId="69">
    <w:name w:val="规范正文"/>
    <w:basedOn w:val="4"/>
    <w:qFormat/>
    <w:uiPriority w:val="0"/>
    <w:pPr>
      <w:widowControl w:val="0"/>
      <w:topLinePunct/>
      <w:snapToGrid/>
      <w:spacing w:before="0" w:after="0" w:line="440" w:lineRule="exact"/>
      <w:ind w:right="0" w:firstLine="480" w:firstLineChars="200"/>
      <w:textAlignment w:val="baseline"/>
      <w:pPrChange w:id="2" w:author="congcheng kang" w:date="2024-04-08T17:36:00Z">
        <w:pPr>
          <w:widowControl w:val="0"/>
          <w:topLinePunct/>
          <w:spacing w:after="120" w:line="420" w:lineRule="auto"/>
          <w:ind w:firstLine="200" w:firstLineChars="200"/>
          <w:jc w:val="both"/>
          <w:textAlignment w:val="baseline"/>
        </w:pPr>
      </w:pPrChange>
    </w:pPr>
    <w:rPr>
      <w:rFonts w:ascii="Times New Roman" w:hAnsi="Times New Roman"/>
      <w:color w:val="000000"/>
      <w:kern w:val="2"/>
      <w:sz w:val="21"/>
      <w:szCs w:val="24"/>
      <w:rPrChange w:id="3" w:author="congcheng kang" w:date="2024-04-08T17:36:00Z">
        <w:rPr>
          <w:rFonts w:eastAsia="宋体"/>
          <w:color w:val="000000"/>
          <w:kern w:val="2"/>
          <w:sz w:val="21"/>
          <w:szCs w:val="24"/>
          <w:lang w:val="en-US" w:eastAsia="zh-CN" w:bidi="ar-SA"/>
        </w:rPr>
      </w:rPrChange>
    </w:rPr>
  </w:style>
  <w:style w:type="paragraph" w:customStyle="1" w:styleId="70">
    <w:name w:val="正文01"/>
    <w:basedOn w:val="1"/>
    <w:qFormat/>
    <w:uiPriority w:val="0"/>
    <w:pPr>
      <w:spacing w:before="60" w:line="460" w:lineRule="exact"/>
      <w:ind w:firstLine="200" w:firstLineChars="200"/>
    </w:pPr>
    <w:rPr>
      <w:rFonts w:ascii="Times New Roman" w:hAnsi="Times New Roman"/>
      <w:szCs w:val="20"/>
    </w:rPr>
  </w:style>
  <w:style w:type="character" w:customStyle="1" w:styleId="71">
    <w:name w:val="标题 9 Char"/>
    <w:basedOn w:val="27"/>
    <w:link w:val="10"/>
    <w:qFormat/>
    <w:uiPriority w:val="9"/>
    <w:rPr>
      <w:rFonts w:asciiTheme="majorHAnsi" w:hAnsiTheme="majorHAnsi" w:eastAsiaTheme="majorEastAsia" w:cstheme="majorBidi"/>
      <w:kern w:val="2"/>
      <w:sz w:val="21"/>
      <w:szCs w:val="21"/>
    </w:rPr>
  </w:style>
  <w:style w:type="paragraph" w:customStyle="1" w:styleId="72">
    <w:name w:val="正文的格式52"/>
    <w:basedOn w:val="1"/>
    <w:qFormat/>
    <w:uiPriority w:val="0"/>
    <w:pPr>
      <w:spacing w:line="360" w:lineRule="auto"/>
      <w:ind w:firstLine="200" w:firstLineChars="200"/>
    </w:pPr>
    <w:rPr>
      <w:rFonts w:ascii="Times New Roman" w:hAnsi="Times New Roman"/>
      <w:szCs w:val="20"/>
    </w:rPr>
  </w:style>
  <w:style w:type="character" w:customStyle="1" w:styleId="73">
    <w:name w:val="样式1 Char"/>
    <w:link w:val="74"/>
    <w:qFormat/>
    <w:uiPriority w:val="0"/>
    <w:rPr>
      <w:color w:val="000000"/>
      <w:kern w:val="2"/>
      <w:sz w:val="24"/>
      <w:szCs w:val="28"/>
    </w:rPr>
  </w:style>
  <w:style w:type="paragraph" w:customStyle="1" w:styleId="74">
    <w:name w:val="样式1"/>
    <w:basedOn w:val="1"/>
    <w:link w:val="73"/>
    <w:qFormat/>
    <w:uiPriority w:val="0"/>
    <w:pPr>
      <w:tabs>
        <w:tab w:val="left" w:pos="1440"/>
      </w:tabs>
      <w:spacing w:line="360" w:lineRule="auto"/>
      <w:ind w:firstLine="480" w:firstLineChars="200"/>
    </w:pPr>
    <w:rPr>
      <w:color w:val="000000"/>
      <w:szCs w:val="28"/>
    </w:rPr>
  </w:style>
  <w:style w:type="paragraph" w:customStyle="1" w:styleId="75">
    <w:name w:val="表格内容五号"/>
    <w:basedOn w:val="1"/>
    <w:qFormat/>
    <w:uiPriority w:val="0"/>
    <w:pPr>
      <w:jc w:val="center"/>
    </w:pPr>
    <w:rPr>
      <w:rFonts w:ascii="Times New Roman" w:hAnsi="Times New Roman"/>
      <w:color w:val="FF0000"/>
      <w:sz w:val="21"/>
      <w:szCs w:val="21"/>
    </w:rPr>
  </w:style>
  <w:style w:type="paragraph" w:customStyle="1" w:styleId="76">
    <w:name w:val="样式3"/>
    <w:basedOn w:val="1"/>
    <w:qFormat/>
    <w:uiPriority w:val="0"/>
    <w:pPr>
      <w:spacing w:line="360" w:lineRule="auto"/>
      <w:ind w:firstLine="200" w:firstLineChars="200"/>
    </w:pPr>
    <w:rPr>
      <w:rFonts w:ascii="Times New Roman" w:hAnsi="Times New Roman" w:eastAsia="楷体_GB2312"/>
      <w:sz w:val="28"/>
      <w:szCs w:val="20"/>
    </w:rPr>
  </w:style>
  <w:style w:type="character" w:customStyle="1" w:styleId="77">
    <w:name w:val="副标题 Char"/>
    <w:link w:val="22"/>
    <w:qFormat/>
    <w:uiPriority w:val="11"/>
    <w:rPr>
      <w:rFonts w:ascii="Cambria" w:hAnsi="Cambria"/>
      <w:b/>
      <w:bCs/>
      <w:kern w:val="28"/>
      <w:sz w:val="32"/>
      <w:szCs w:val="32"/>
    </w:rPr>
  </w:style>
  <w:style w:type="character" w:customStyle="1" w:styleId="78">
    <w:name w:val="表格内容 Char"/>
    <w:link w:val="37"/>
    <w:qFormat/>
    <w:uiPriority w:val="0"/>
    <w:rPr>
      <w:kern w:val="2"/>
      <w:sz w:val="24"/>
      <w:szCs w:val="24"/>
    </w:rPr>
  </w:style>
  <w:style w:type="paragraph" w:customStyle="1" w:styleId="79">
    <w:name w:val="z正文"/>
    <w:basedOn w:val="13"/>
    <w:qFormat/>
    <w:uiPriority w:val="0"/>
    <w:pPr>
      <w:autoSpaceDE w:val="0"/>
      <w:autoSpaceDN w:val="0"/>
      <w:spacing w:after="0" w:line="360" w:lineRule="auto"/>
      <w:ind w:left="0" w:leftChars="0" w:firstLine="200" w:firstLineChars="200"/>
      <w:textAlignment w:val="baseline"/>
    </w:pPr>
    <w:rPr>
      <w:rFonts w:ascii="Times New Roman"/>
    </w:rPr>
  </w:style>
  <w:style w:type="paragraph" w:customStyle="1" w:styleId="80">
    <w:name w:val="zhang正文"/>
    <w:basedOn w:val="13"/>
    <w:qFormat/>
    <w:uiPriority w:val="0"/>
    <w:pPr>
      <w:autoSpaceDE w:val="0"/>
      <w:autoSpaceDN w:val="0"/>
      <w:adjustRightInd w:val="0"/>
      <w:snapToGrid w:val="0"/>
      <w:spacing w:line="500" w:lineRule="exact"/>
      <w:ind w:firstLine="539"/>
      <w:textAlignment w:val="baseline"/>
    </w:pPr>
    <w:rPr>
      <w:rFonts w:ascii="Times New Roman" w:eastAsia="楷体_GB2312"/>
    </w:rPr>
  </w:style>
  <w:style w:type="paragraph" w:customStyle="1" w:styleId="81">
    <w:name w:val="6表(图)头(治)"/>
    <w:next w:val="1"/>
    <w:qFormat/>
    <w:uiPriority w:val="0"/>
    <w:pPr>
      <w:widowControl w:val="0"/>
      <w:jc w:val="center"/>
    </w:pPr>
    <w:rPr>
      <w:rFonts w:ascii="Times New Roman" w:hAnsi="Times New Roman" w:eastAsia="黑体" w:cstheme="minorBidi"/>
      <w:b/>
      <w:bCs/>
      <w:sz w:val="24"/>
      <w:lang w:val="en-US" w:eastAsia="zh-CN" w:bidi="ar-SA"/>
    </w:rPr>
  </w:style>
  <w:style w:type="character" w:customStyle="1" w:styleId="82">
    <w:name w:val="cf01"/>
    <w:basedOn w:val="27"/>
    <w:qFormat/>
    <w:uiPriority w:val="0"/>
    <w:rPr>
      <w:rFonts w:hint="eastAsia" w:ascii="Microsoft YaHei UI" w:hAnsi="Microsoft YaHei UI" w:eastAsia="Microsoft YaHei UI"/>
      <w:sz w:val="18"/>
      <w:szCs w:val="18"/>
    </w:rPr>
  </w:style>
  <w:style w:type="paragraph" w:customStyle="1" w:styleId="83">
    <w:name w:val="5文章(治)"/>
    <w:basedOn w:val="1"/>
    <w:qFormat/>
    <w:uiPriority w:val="99"/>
    <w:pPr>
      <w:spacing w:line="360" w:lineRule="auto"/>
      <w:ind w:firstLine="200" w:firstLineChars="200"/>
    </w:pPr>
  </w:style>
  <w:style w:type="paragraph" w:customStyle="1" w:styleId="8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85">
    <w:name w:val="修订1"/>
    <w:hidden/>
    <w:unhideWhenUsed/>
    <w:qFormat/>
    <w:uiPriority w:val="99"/>
    <w:rPr>
      <w:rFonts w:ascii="Calibri" w:hAnsi="Calibri" w:eastAsia="宋体" w:cs="Times New Roman"/>
      <w:kern w:val="2"/>
      <w:sz w:val="24"/>
      <w:szCs w:val="24"/>
      <w:lang w:val="en-US" w:eastAsia="zh-CN" w:bidi="ar-SA"/>
    </w:rPr>
  </w:style>
  <w:style w:type="paragraph" w:customStyle="1" w:styleId="86">
    <w:name w:val="4"/>
    <w:basedOn w:val="1"/>
    <w:next w:val="15"/>
    <w:qFormat/>
    <w:uiPriority w:val="0"/>
    <w:rPr>
      <w:rFonts w:ascii="宋体" w:hAnsi="Courier New" w:cs="Courier New"/>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tiff"/><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398781-48C3-4DB0-A742-B5038693D43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35403</Words>
  <Characters>40062</Characters>
  <Lines>306</Lines>
  <Paragraphs>86</Paragraphs>
  <TotalTime>1221</TotalTime>
  <ScaleCrop>false</ScaleCrop>
  <LinksUpToDate>false</LinksUpToDate>
  <CharactersWithSpaces>40224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2023-11-16T09:29:00Z</dcterms:created>
  <dc:creator>lhj</dc:creator>
  <cp:lastModifiedBy>发呆</cp:lastModifiedBy>
  <cp:lastPrinted>2020-12-29T02:43:00Z</cp:lastPrinted>
  <dcterms:modified xsi:type="dcterms:W3CDTF">2024-06-06T06:54:37Z</dcterms:modified>
  <dc:title>附件2</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A77C71914AB04966BC14405E42C9D978_13</vt:lpwstr>
  </property>
</Properties>
</file>